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52"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FORM 10-K</w:t>
      </w:r>
    </w:p>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UNITED STATES</w:t>
      </w:r>
    </w:p>
    <w:p>
      <w:pPr>
        <w:spacing w:after="0" w:line="23"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399"/>
        <w:spacing w:after="0"/>
        <w:rPr>
          <w:sz w:val="20"/>
          <w:szCs w:val="20"/>
          <w:color w:val="auto"/>
        </w:rPr>
      </w:pPr>
      <w:r>
        <w:rPr>
          <w:rFonts w:ascii="Courier New" w:cs="Courier New" w:eastAsia="Courier New" w:hAnsi="Courier New"/>
          <w:sz w:val="15"/>
          <w:szCs w:val="15"/>
          <w:color w:val="auto"/>
        </w:rPr>
        <w:t>WASHINGTON, D.C. 20549</w:t>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24" w:lineRule="exact"/>
        <w:rPr>
          <w:sz w:val="24"/>
          <w:szCs w:val="24"/>
          <w:color w:val="auto"/>
        </w:rPr>
      </w:pPr>
    </w:p>
    <w:p>
      <w:pPr>
        <w:ind w:left="360" w:right="3239" w:hanging="350"/>
        <w:spacing w:after="0" w:line="307" w:lineRule="auto"/>
        <w:tabs>
          <w:tab w:leader="none" w:pos="3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 [FEE REQUIRED]</w:t>
      </w:r>
    </w:p>
    <w:p>
      <w:pPr>
        <w:spacing w:after="0" w:line="44" w:lineRule="exact"/>
        <w:rPr>
          <w:sz w:val="24"/>
          <w:szCs w:val="24"/>
          <w:color w:val="auto"/>
        </w:rPr>
      </w:pPr>
    </w:p>
    <w:p>
      <w:pPr>
        <w:spacing w:after="0"/>
        <w:tabs>
          <w:tab w:leader="none" w:pos="2780" w:val="left"/>
        </w:tabs>
        <w:rPr>
          <w:sz w:val="20"/>
          <w:szCs w:val="20"/>
          <w:color w:val="auto"/>
        </w:rPr>
      </w:pPr>
      <w:r>
        <w:rPr>
          <w:rFonts w:ascii="Courier New" w:cs="Courier New" w:eastAsia="Courier New" w:hAnsi="Courier New"/>
          <w:sz w:val="15"/>
          <w:szCs w:val="15"/>
          <w:color w:val="auto"/>
        </w:rPr>
        <w:t>FOR THE FISCAL YEAR ENDED</w:t>
      </w:r>
      <w:r>
        <w:rPr>
          <w:sz w:val="20"/>
          <w:szCs w:val="20"/>
          <w:color w:val="auto"/>
        </w:rPr>
        <w:tab/>
      </w:r>
      <w:r>
        <w:rPr>
          <w:rFonts w:ascii="Courier New" w:cs="Courier New" w:eastAsia="Courier New" w:hAnsi="Courier New"/>
          <w:sz w:val="14"/>
          <w:szCs w:val="14"/>
          <w:color w:val="auto"/>
        </w:rPr>
        <w:t>AUGUST 29, 1996</w:t>
      </w:r>
    </w:p>
    <w:p>
      <w:pPr>
        <w:spacing w:after="0" w:line="166"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OR</w:t>
      </w:r>
    </w:p>
    <w:p>
      <w:pPr>
        <w:spacing w:after="0" w:line="166" w:lineRule="exact"/>
        <w:rPr>
          <w:sz w:val="24"/>
          <w:szCs w:val="24"/>
          <w:color w:val="auto"/>
        </w:rPr>
      </w:pPr>
    </w:p>
    <w:p>
      <w:pPr>
        <w:ind w:left="360" w:right="3239" w:hanging="349"/>
        <w:spacing w:after="0" w:line="344" w:lineRule="auto"/>
        <w:rPr>
          <w:sz w:val="20"/>
          <w:szCs w:val="20"/>
          <w:color w:val="auto"/>
        </w:rPr>
      </w:pPr>
      <w:r>
        <w:rPr>
          <w:rFonts w:ascii="Courier New" w:cs="Courier New" w:eastAsia="Courier New" w:hAnsi="Courier New"/>
          <w:sz w:val="15"/>
          <w:szCs w:val="15"/>
          <w:color w:val="auto"/>
        </w:rPr>
        <w:t>[_] TRANSITION REPORT PURSUANT TO SECTION 13 OR 15(D) OF THE SECURITIES EXCHANGE ACT OF 1934 [NO FEE REQUIRED]</w:t>
      </w:r>
    </w:p>
    <w:p>
      <w:pPr>
        <w:sectPr>
          <w:pgSz w:w="11900" w:h="16838" w:orient="portrait"/>
          <w:cols w:equalWidth="0" w:num="1">
            <w:col w:w="10239"/>
          </w:cols>
          <w:pgMar w:left="220" w:top="542" w:right="1440" w:bottom="1440" w:gutter="0" w:footer="0" w:header="0"/>
        </w:sectPr>
      </w:pP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2"/>
          <w:szCs w:val="12"/>
          <w:color w:val="auto"/>
        </w:rPr>
        <w:t>TO</w:t>
      </w:r>
    </w:p>
    <w:p>
      <w:pPr>
        <w:spacing w:after="0" w:line="200" w:lineRule="exact"/>
        <w:rPr>
          <w:sz w:val="24"/>
          <w:szCs w:val="24"/>
          <w:color w:val="auto"/>
        </w:rPr>
      </w:pPr>
    </w:p>
    <w:p>
      <w:pPr>
        <w:sectPr>
          <w:pgSz w:w="11900" w:h="16838" w:orient="portrait"/>
          <w:cols w:equalWidth="0" w:num="2">
            <w:col w:w="2640" w:space="700"/>
            <w:col w:w="6899"/>
          </w:cols>
          <w:pgMar w:left="220" w:top="54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1-10658</w:t>
      </w:r>
    </w:p>
    <w:p>
      <w:pPr>
        <w:spacing w:after="0" w:line="178" w:lineRule="exact"/>
        <w:rPr>
          <w:sz w:val="24"/>
          <w:szCs w:val="24"/>
          <w:color w:val="auto"/>
        </w:rPr>
      </w:pPr>
    </w:p>
    <w:p>
      <w:pPr>
        <w:sectPr>
          <w:pgSz w:w="11900" w:h="16838" w:orient="portrait"/>
          <w:cols w:equalWidth="0" w:num="2">
            <w:col w:w="2440" w:space="720"/>
            <w:col w:w="7079"/>
          </w:cols>
          <w:pgMar w:left="220" w:top="542" w:right="1440" w:bottom="1440" w:gutter="0" w:footer="0" w:header="0"/>
          <w:type w:val="continuous"/>
        </w:sectPr>
      </w:pPr>
    </w:p>
    <w:p>
      <w:pPr>
        <w:jc w:val="center"/>
        <w:ind w:right="3319"/>
        <w:spacing w:after="0"/>
        <w:rPr>
          <w:sz w:val="20"/>
          <w:szCs w:val="20"/>
          <w:color w:val="auto"/>
        </w:rPr>
      </w:pPr>
      <w:r>
        <w:rPr>
          <w:rFonts w:ascii="Courier New" w:cs="Courier New" w:eastAsia="Courier New" w:hAnsi="Courier New"/>
          <w:sz w:val="15"/>
          <w:szCs w:val="15"/>
          <w:color w:val="auto"/>
        </w:rPr>
        <w:t>MICRON TECHNOLOGY, INC.</w:t>
      </w:r>
    </w:p>
    <w:p>
      <w:pPr>
        <w:spacing w:after="0" w:line="24"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42" w:right="1440" w:bottom="1440" w:gutter="0" w:footer="0" w:header="0"/>
          <w:type w:val="continuous"/>
        </w:sectPr>
      </w:pPr>
    </w:p>
    <w:p>
      <w:pPr>
        <w:spacing w:after="0" w:line="152" w:lineRule="exact"/>
        <w:rPr>
          <w:sz w:val="24"/>
          <w:szCs w:val="24"/>
          <w:color w:val="auto"/>
        </w:rPr>
      </w:pPr>
    </w:p>
    <w:p>
      <w:pPr>
        <w:ind w:left="1580"/>
        <w:spacing w:after="0"/>
        <w:rPr>
          <w:sz w:val="20"/>
          <w:szCs w:val="20"/>
          <w:color w:val="auto"/>
        </w:rPr>
      </w:pPr>
      <w:r>
        <w:rPr>
          <w:rFonts w:ascii="Courier New" w:cs="Courier New" w:eastAsia="Courier New" w:hAnsi="Courier New"/>
          <w:sz w:val="15"/>
          <w:szCs w:val="15"/>
          <w:color w:val="auto"/>
        </w:rPr>
        <w:t>DELAWARE</w:t>
      </w:r>
    </w:p>
    <w:p>
      <w:pPr>
        <w:spacing w:after="0" w:line="24"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(STATE OR OTHER JURISDICTION OF</w:t>
      </w:r>
    </w:p>
    <w:p>
      <w:pPr>
        <w:spacing w:after="0" w:line="10"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75-1618004</w:t>
      </w:r>
    </w:p>
    <w:p>
      <w:pPr>
        <w:spacing w:after="0" w:line="23"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(I.R.S. EMPLOYER</w:t>
      </w:r>
    </w:p>
    <w:p>
      <w:pPr>
        <w:spacing w:after="0"/>
        <w:rPr>
          <w:sz w:val="20"/>
          <w:szCs w:val="20"/>
          <w:color w:val="auto"/>
        </w:rPr>
      </w:pPr>
      <w:r>
        <w:rPr>
          <w:rFonts w:ascii="Courier New" w:cs="Courier New" w:eastAsia="Courier New" w:hAnsi="Courier New"/>
          <w:sz w:val="14"/>
          <w:szCs w:val="14"/>
          <w:color w:val="auto"/>
        </w:rPr>
        <w:t>IDENTIFICATION NO.)</w:t>
      </w:r>
    </w:p>
    <w:p>
      <w:pPr>
        <w:spacing w:after="0" w:line="151" w:lineRule="exact"/>
        <w:rPr>
          <w:sz w:val="24"/>
          <w:szCs w:val="24"/>
          <w:color w:val="auto"/>
        </w:rPr>
      </w:pPr>
    </w:p>
    <w:p>
      <w:pPr>
        <w:sectPr>
          <w:pgSz w:w="11900" w:h="16838" w:orient="portrait"/>
          <w:cols w:equalWidth="0" w:num="2">
            <w:col w:w="3840" w:space="720"/>
            <w:col w:w="5679"/>
          </w:cols>
          <w:pgMar w:left="220" w:top="542" w:right="1440" w:bottom="1440" w:gutter="0" w:footer="0" w:header="0"/>
          <w:type w:val="continuous"/>
        </w:sectPr>
      </w:pPr>
    </w:p>
    <w:p>
      <w:pPr>
        <w:ind w:left="180" w:right="340" w:hanging="174"/>
        <w:spacing w:after="0" w:line="381" w:lineRule="auto"/>
        <w:rPr>
          <w:sz w:val="20"/>
          <w:szCs w:val="20"/>
          <w:color w:val="auto"/>
        </w:rPr>
      </w:pPr>
      <w:r>
        <w:rPr>
          <w:rFonts w:ascii="Courier New" w:cs="Courier New" w:eastAsia="Courier New" w:hAnsi="Courier New"/>
          <w:sz w:val="14"/>
          <w:szCs w:val="14"/>
          <w:color w:val="auto"/>
        </w:rPr>
        <w:t>8000 S. FEDERAL WAY, P.O. BOX 6, BOISE, IDAHO (ADDRESS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83707-0006</w:t>
      </w:r>
    </w:p>
    <w:p>
      <w:pPr>
        <w:spacing w:after="0" w:line="3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51" w:lineRule="exact"/>
        <w:rPr>
          <w:sz w:val="24"/>
          <w:szCs w:val="24"/>
          <w:color w:val="auto"/>
        </w:rPr>
      </w:pPr>
    </w:p>
    <w:p>
      <w:pPr>
        <w:sectPr>
          <w:pgSz w:w="11900" w:h="16838" w:orient="portrait"/>
          <w:cols w:equalWidth="0" w:num="2">
            <w:col w:w="4280" w:space="720"/>
            <w:col w:w="5239"/>
          </w:cols>
          <w:pgMar w:left="220" w:top="54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(208) 368-4000</w:t>
      </w:r>
    </w:p>
    <w:p>
      <w:pPr>
        <w:spacing w:after="0" w:line="178" w:lineRule="exact"/>
        <w:rPr>
          <w:sz w:val="24"/>
          <w:szCs w:val="24"/>
          <w:color w:val="auto"/>
        </w:rPr>
      </w:pPr>
    </w:p>
    <w:p>
      <w:pPr>
        <w:sectPr>
          <w:pgSz w:w="11900" w:h="16838" w:orient="portrait"/>
          <w:cols w:equalWidth="0" w:num="2">
            <w:col w:w="4300" w:space="520"/>
            <w:col w:w="5419"/>
          </w:cols>
          <w:pgMar w:left="220" w:top="542"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SECURITIES REGISTERED PURSUANT TO SECTION</w:t>
      </w:r>
    </w:p>
    <w:p>
      <w:pPr>
        <w:spacing w:after="0" w:line="34"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12(B) OF THE ACT:</w:t>
      </w:r>
    </w:p>
    <w:p>
      <w:pPr>
        <w:ind w:left="1140"/>
        <w:spacing w:after="0" w:line="237" w:lineRule="auto"/>
        <w:rPr>
          <w:sz w:val="20"/>
          <w:szCs w:val="20"/>
          <w:color w:val="auto"/>
        </w:rPr>
      </w:pPr>
      <w:r>
        <w:rPr>
          <w:rFonts w:ascii="Courier New" w:cs="Courier New" w:eastAsia="Courier New" w:hAnsi="Courier New"/>
          <w:sz w:val="15"/>
          <w:szCs w:val="15"/>
          <w:color w:val="auto"/>
        </w:rPr>
        <w:t>TITLE OF EACH CLASS</w:t>
      </w:r>
    </w:p>
    <w:p>
      <w:pPr>
        <w:ind w:left="280"/>
        <w:spacing w:after="0"/>
        <w:rPr>
          <w:sz w:val="20"/>
          <w:szCs w:val="20"/>
          <w:color w:val="auto"/>
        </w:rPr>
      </w:pPr>
      <w:r>
        <w:rPr>
          <w:rFonts w:ascii="Courier New" w:cs="Courier New" w:eastAsia="Courier New" w:hAnsi="Courier New"/>
          <w:sz w:val="15"/>
          <w:szCs w:val="15"/>
          <w:color w:val="auto"/>
        </w:rPr>
        <w:t>COMMON STOCK, PAR VALUE $.10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NAME OF EACH EXCHANGE ON WHICH</w:t>
      </w:r>
    </w:p>
    <w:p>
      <w:pPr>
        <w:spacing w:after="0" w:line="34"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REGISTERED</w:t>
      </w:r>
    </w:p>
    <w:p>
      <w:pPr>
        <w:ind w:left="180"/>
        <w:spacing w:after="0"/>
        <w:rPr>
          <w:sz w:val="20"/>
          <w:szCs w:val="20"/>
          <w:color w:val="auto"/>
        </w:rPr>
      </w:pPr>
      <w:r>
        <w:rPr>
          <w:rFonts w:ascii="Courier New" w:cs="Courier New" w:eastAsia="Courier New" w:hAnsi="Courier New"/>
          <w:sz w:val="15"/>
          <w:szCs w:val="15"/>
          <w:color w:val="auto"/>
        </w:rPr>
        <w:t>NEW YORK STOCK EXCHANGE</w:t>
      </w:r>
    </w:p>
    <w:p>
      <w:pPr>
        <w:spacing w:after="0" w:line="308" w:lineRule="exact"/>
        <w:rPr>
          <w:sz w:val="24"/>
          <w:szCs w:val="24"/>
          <w:color w:val="auto"/>
        </w:rPr>
      </w:pPr>
    </w:p>
    <w:p>
      <w:pPr>
        <w:sectPr>
          <w:pgSz w:w="11900" w:h="16838" w:orient="portrait"/>
          <w:cols w:equalWidth="0" w:num="2">
            <w:col w:w="3780" w:space="420"/>
            <w:col w:w="6039"/>
          </w:cols>
          <w:pgMar w:left="220" w:top="542" w:right="1440" w:bottom="1440" w:gutter="0" w:footer="0" w:header="0"/>
          <w:type w:val="continuous"/>
        </w:sectPr>
      </w:pPr>
    </w:p>
    <w:p>
      <w:pPr>
        <w:jc w:val="center"/>
        <w:ind w:right="3319"/>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23"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NONE</w:t>
      </w:r>
    </w:p>
    <w:p>
      <w:pPr>
        <w:jc w:val="center"/>
        <w:ind w:right="3399"/>
        <w:spacing w:after="0"/>
        <w:rPr>
          <w:sz w:val="20"/>
          <w:szCs w:val="20"/>
          <w:color w:val="auto"/>
        </w:rPr>
      </w:pPr>
      <w:r>
        <w:rPr>
          <w:rFonts w:ascii="Courier New" w:cs="Courier New" w:eastAsia="Courier New" w:hAnsi="Courier New"/>
          <w:sz w:val="15"/>
          <w:szCs w:val="15"/>
          <w:color w:val="auto"/>
        </w:rPr>
        <w:t>(TITLE OF CLASS)</w:t>
      </w:r>
    </w:p>
    <w:p>
      <w:pPr>
        <w:spacing w:after="0" w:line="140" w:lineRule="exact"/>
        <w:rPr>
          <w:sz w:val="24"/>
          <w:szCs w:val="24"/>
          <w:color w:val="auto"/>
        </w:rPr>
      </w:pPr>
    </w:p>
    <w:p>
      <w:pPr>
        <w:ind w:right="3499" w:firstLine="175"/>
        <w:spacing w:after="0" w:line="264"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75" w:lineRule="exact"/>
        <w:rPr>
          <w:sz w:val="24"/>
          <w:szCs w:val="24"/>
          <w:color w:val="auto"/>
        </w:rPr>
      </w:pPr>
    </w:p>
    <w:p>
      <w:pPr>
        <w:ind w:right="3579" w:firstLine="175"/>
        <w:spacing w:after="0" w:line="264"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75" w:lineRule="exact"/>
        <w:rPr>
          <w:sz w:val="24"/>
          <w:szCs w:val="24"/>
          <w:color w:val="auto"/>
        </w:rPr>
      </w:pPr>
    </w:p>
    <w:p>
      <w:pPr>
        <w:jc w:val="both"/>
        <w:ind w:right="3499" w:firstLine="175"/>
        <w:spacing w:after="0" w:line="267" w:lineRule="auto"/>
        <w:rPr>
          <w:sz w:val="20"/>
          <w:szCs w:val="20"/>
          <w:color w:val="auto"/>
        </w:rPr>
      </w:pPr>
      <w:r>
        <w:rPr>
          <w:rFonts w:ascii="Courier New" w:cs="Courier New" w:eastAsia="Courier New" w:hAnsi="Courier New"/>
          <w:sz w:val="14"/>
          <w:szCs w:val="14"/>
          <w:color w:val="auto"/>
        </w:rPr>
        <w:t>The aggregate market value of the voting stock held by nonaffiliates of the registrant, based upon the closing price of such stock on August 29, 1996, as reported by the New York Stock Exchange, was approximately $3.9 billion.</w:t>
      </w:r>
    </w:p>
    <w:p>
      <w:pPr>
        <w:spacing w:after="0" w:line="1" w:lineRule="exact"/>
        <w:rPr>
          <w:sz w:val="24"/>
          <w:szCs w:val="24"/>
          <w:color w:val="auto"/>
        </w:rPr>
      </w:pPr>
    </w:p>
    <w:p>
      <w:pPr>
        <w:ind w:right="3399"/>
        <w:spacing w:after="0" w:line="285" w:lineRule="auto"/>
        <w:rPr>
          <w:sz w:val="20"/>
          <w:szCs w:val="20"/>
          <w:color w:val="auto"/>
        </w:rPr>
      </w:pPr>
      <w:r>
        <w:rPr>
          <w:rFonts w:ascii="Courier New" w:cs="Courier New" w:eastAsia="Courier New" w:hAnsi="Courier New"/>
          <w:sz w:val="14"/>
          <w:szCs w:val="14"/>
          <w:color w:val="auto"/>
        </w:rPr>
        <w:t>Shares of Common Stock held by each officer and director and by each person who owns 5% or more of the outstanding Common Stock have been excluded in that such persons may be deemed to be affiliates. This determination of affiliate status is not necessarily a conclusive determination for other purposes.</w:t>
      </w:r>
    </w:p>
    <w:p>
      <w:pPr>
        <w:spacing w:after="0" w:line="62" w:lineRule="exact"/>
        <w:rPr>
          <w:sz w:val="24"/>
          <w:szCs w:val="24"/>
          <w:color w:val="auto"/>
        </w:rPr>
      </w:pPr>
    </w:p>
    <w:p>
      <w:pPr>
        <w:ind w:right="3579" w:firstLine="175"/>
        <w:spacing w:after="0" w:line="344" w:lineRule="auto"/>
        <w:rPr>
          <w:sz w:val="20"/>
          <w:szCs w:val="20"/>
          <w:color w:val="auto"/>
        </w:rPr>
      </w:pPr>
      <w:r>
        <w:rPr>
          <w:rFonts w:ascii="Courier New" w:cs="Courier New" w:eastAsia="Courier New" w:hAnsi="Courier New"/>
          <w:sz w:val="15"/>
          <w:szCs w:val="15"/>
          <w:color w:val="auto"/>
        </w:rPr>
        <w:t>The number of outstanding shares of the registrants Common Stock on August 29, 1996 was 208,834,820.</w:t>
      </w:r>
    </w:p>
    <w:p>
      <w:pPr>
        <w:spacing w:after="0" w:line="17"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66" w:lineRule="exact"/>
        <w:rPr>
          <w:sz w:val="24"/>
          <w:szCs w:val="24"/>
          <w:color w:val="auto"/>
        </w:rPr>
      </w:pPr>
    </w:p>
    <w:p>
      <w:pPr>
        <w:ind w:right="3679" w:firstLine="175"/>
        <w:spacing w:after="0" w:line="290" w:lineRule="auto"/>
        <w:rPr>
          <w:sz w:val="20"/>
          <w:szCs w:val="20"/>
          <w:color w:val="auto"/>
        </w:rPr>
      </w:pPr>
      <w:r>
        <w:rPr>
          <w:rFonts w:ascii="Courier New" w:cs="Courier New" w:eastAsia="Courier New" w:hAnsi="Courier New"/>
          <w:sz w:val="15"/>
          <w:szCs w:val="15"/>
          <w:color w:val="auto"/>
        </w:rPr>
        <w:t>Portions of the Proxy Statement for registrant's 1996 Annual Meeting of Shareholders to be held on November 18, 1996, are incorporated by reference into Part III of this Annual Report on Form 10-K.</w:t>
      </w:r>
    </w:p>
    <w:p>
      <w:pPr>
        <w:spacing w:after="0" w:line="57" w:lineRule="exact"/>
        <w:rPr>
          <w:sz w:val="24"/>
          <w:szCs w:val="24"/>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542" w:right="1440" w:bottom="1440" w:gutter="0" w:footer="0" w:header="0"/>
          <w:type w:val="continuous"/>
        </w:sectPr>
      </w:pPr>
    </w:p>
    <w:bookmarkStart w:id="1" w:name="page2"/>
    <w:bookmarkEnd w:id="1"/>
    <w:p>
      <w:pPr>
        <w:ind w:left="316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66" w:lineRule="exact"/>
        <w:rPr>
          <w:sz w:val="20"/>
          <w:szCs w:val="20"/>
          <w:color w:val="auto"/>
        </w:rPr>
      </w:pPr>
    </w:p>
    <w:p>
      <w:pPr>
        <w:ind w:right="3399" w:firstLine="175"/>
        <w:spacing w:after="0" w:line="249" w:lineRule="auto"/>
        <w:rPr>
          <w:sz w:val="20"/>
          <w:szCs w:val="20"/>
          <w:color w:val="auto"/>
        </w:rPr>
      </w:pPr>
      <w:r>
        <w:rPr>
          <w:rFonts w:ascii="Courier New" w:cs="Courier New" w:eastAsia="Courier New" w:hAnsi="Courier New"/>
          <w:sz w:val="15"/>
          <w:szCs w:val="15"/>
          <w:color w:val="auto"/>
        </w:rPr>
        <w:t>The following discussion contains trend information and other forward-looking statements that involve a number of risks and uncertainties. The actual results of Micron Technology, Inc. ("MTI") could differ materially from MTI's historical results of operations and those discussed in the forward-looking statements. Factors that could cause actual results to differ materially include, but are not limited to, those identified in "Item 7. Management's Discussion and Analysis of Financial Condition and Results of Operations--Certain Factors." All period references are to MTI's fiscal periods ended August 29, 1996, August 31, 1995 or September 1, 1994, unless otherwise indicated.</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66" w:lineRule="exact"/>
        <w:rPr>
          <w:sz w:val="20"/>
          <w:szCs w:val="20"/>
          <w:color w:val="auto"/>
        </w:rPr>
      </w:pPr>
    </w:p>
    <w:p>
      <w:pPr>
        <w:ind w:right="3759" w:firstLine="175"/>
        <w:spacing w:after="0" w:line="264" w:lineRule="auto"/>
        <w:rPr>
          <w:sz w:val="20"/>
          <w:szCs w:val="20"/>
          <w:color w:val="auto"/>
        </w:rPr>
      </w:pPr>
      <w:r>
        <w:rPr>
          <w:rFonts w:ascii="Courier New" w:cs="Courier New" w:eastAsia="Courier New" w:hAnsi="Courier New"/>
          <w:sz w:val="15"/>
          <w:szCs w:val="15"/>
          <w:color w:val="auto"/>
        </w:rPr>
        <w:t>Micron Technology, Inc. and its subsidiaries (hereinafter referred to collectively as "MTI" or the "Company") principally design, develop, manufacture and market semiconductor memory products, personal computers ("PCs") and custom complex printed circuit board, memory module and system level assemblies.</w:t>
      </w:r>
    </w:p>
    <w:p>
      <w:pPr>
        <w:spacing w:after="0" w:line="75" w:lineRule="exact"/>
        <w:rPr>
          <w:sz w:val="20"/>
          <w:szCs w:val="20"/>
          <w:color w:val="auto"/>
        </w:rPr>
      </w:pPr>
    </w:p>
    <w:p>
      <w:pPr>
        <w:ind w:right="3399" w:firstLine="175"/>
        <w:spacing w:after="0" w:line="273" w:lineRule="auto"/>
        <w:rPr>
          <w:sz w:val="20"/>
          <w:szCs w:val="20"/>
          <w:color w:val="auto"/>
        </w:rPr>
      </w:pPr>
      <w:r>
        <w:rPr>
          <w:rFonts w:ascii="Courier New" w:cs="Courier New" w:eastAsia="Courier New" w:hAnsi="Courier New"/>
          <w:sz w:val="14"/>
          <w:szCs w:val="14"/>
          <w:color w:val="auto"/>
        </w:rPr>
        <w:t>Micron's semiconductor memory operations focus on the design, development, manufacture and marketing of semiconductor memory components primarily for use in PCs. The Company's primary semiconductor products are dynamic random access memory ("DRAM") components. Micron Semiconductor Products, Inc., which began operations on August 30, 1996, Micron Europe Limited, and Micron Semiconductor Asia Pacific Pte., Ltd., are all wholly-owned subsidiaries of MTI, which provide sales and support services for the Company's semiconductor operations in North America, Europe and Asia Pacific, respectively.</w:t>
      </w:r>
    </w:p>
    <w:p>
      <w:pPr>
        <w:spacing w:after="0" w:line="71" w:lineRule="exact"/>
        <w:rPr>
          <w:sz w:val="20"/>
          <w:szCs w:val="20"/>
          <w:color w:val="auto"/>
        </w:rPr>
      </w:pPr>
    </w:p>
    <w:p>
      <w:pPr>
        <w:ind w:right="3499" w:firstLine="175"/>
        <w:spacing w:after="0" w:line="246" w:lineRule="auto"/>
        <w:rPr>
          <w:sz w:val="20"/>
          <w:szCs w:val="20"/>
          <w:color w:val="auto"/>
        </w:rPr>
      </w:pPr>
      <w:r>
        <w:rPr>
          <w:rFonts w:ascii="Courier New" w:cs="Courier New" w:eastAsia="Courier New" w:hAnsi="Courier New"/>
          <w:sz w:val="15"/>
          <w:szCs w:val="15"/>
          <w:color w:val="auto"/>
        </w:rPr>
        <w:t>Micron Electronics, Inc. ("MEI") is a majority-owned, publicly traded subsidiary of MTI. As of August 29, 1996, MTI owned approximately 79% of the outstanding common stock of MEI. MEI's businesses include the Company's PC, contract manufacturing and component recovery operations. MEI's PC operations design, develop, market, manufacture and support the Micron brand name PC systems and related hardware incorporating third-party operating systems and application software. MEI's contract manufacturing operation provides a full range of turnkey manufacturing services, including the assembly and test of complex printed circuit boards, memory modules and system level assemblies, design layout and product engineering, materials procurement, inventory management, quality assurance and just-in-time delivery. The component recovery operation recovers nonstandard memory components for specific applications.</w:t>
      </w:r>
    </w:p>
    <w:p>
      <w:pPr>
        <w:spacing w:after="0" w:line="91"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5"/>
          <w:szCs w:val="15"/>
          <w:color w:val="auto"/>
        </w:rPr>
        <w:t>Additional majority-owned subsidiaries of MTI include Micron Communications, Inc., which designs and develops remote intelligent communications products; Micron Construction, Inc., which provides construction management and general contractor services; Micron Display Technology, Inc., which designs and develops field emission flat panel displays; and Micron Quantum Devices, Inc., which designs and develops non-volatile semiconductor memory ("Flash") devices.</w:t>
      </w:r>
    </w:p>
    <w:p>
      <w:pPr>
        <w:spacing w:after="0" w:line="82" w:lineRule="exact"/>
        <w:rPr>
          <w:sz w:val="20"/>
          <w:szCs w:val="20"/>
          <w:color w:val="auto"/>
        </w:rPr>
      </w:pPr>
    </w:p>
    <w:p>
      <w:pPr>
        <w:ind w:right="3579" w:firstLine="175"/>
        <w:spacing w:after="0" w:line="273" w:lineRule="auto"/>
        <w:rPr>
          <w:sz w:val="20"/>
          <w:szCs w:val="20"/>
          <w:color w:val="auto"/>
        </w:rPr>
      </w:pPr>
      <w:r>
        <w:rPr>
          <w:rFonts w:ascii="Courier New" w:cs="Courier New" w:eastAsia="Courier New" w:hAnsi="Courier New"/>
          <w:sz w:val="15"/>
          <w:szCs w:val="15"/>
          <w:color w:val="auto"/>
        </w:rPr>
        <w:t>MTI was incorporated in Idaho in 1978 and reincorporated in Delaware in 1984. The Company's executive offices and principal manufacturing operations are located at 8000 South Federal Way, Boise, Idaho, 83707-0006 and its telephone number is (208) 368-4000.</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66" w:lineRule="exact"/>
        <w:rPr>
          <w:sz w:val="20"/>
          <w:szCs w:val="20"/>
          <w:color w:val="auto"/>
        </w:rPr>
      </w:pPr>
    </w:p>
    <w:p>
      <w:pPr>
        <w:ind w:right="3399" w:firstLine="175"/>
        <w:spacing w:after="0" w:line="290" w:lineRule="auto"/>
        <w:rPr>
          <w:sz w:val="20"/>
          <w:szCs w:val="20"/>
          <w:color w:val="auto"/>
        </w:rPr>
      </w:pPr>
      <w:r>
        <w:rPr>
          <w:rFonts w:ascii="Courier New" w:cs="Courier New" w:eastAsia="Courier New" w:hAnsi="Courier New"/>
          <w:sz w:val="15"/>
          <w:szCs w:val="15"/>
          <w:color w:val="auto"/>
        </w:rPr>
        <w:t>The Company's principal product categories are semiconductor memory products (primarily DRAM), PC systems and custom complex printed circuit board assemblies.</w:t>
      </w:r>
    </w:p>
    <w:p>
      <w:pPr>
        <w:spacing w:after="0" w:line="2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598" w:right="1440" w:bottom="1440" w:gutter="0" w:footer="0" w:header="0"/>
        </w:sectPr>
      </w:pPr>
    </w:p>
    <w:bookmarkStart w:id="2" w:name="page3"/>
    <w:bookmarkEnd w:id="2"/>
    <w:p>
      <w:pPr>
        <w:ind w:left="100"/>
        <w:spacing w:after="0"/>
        <w:rPr>
          <w:sz w:val="20"/>
          <w:szCs w:val="20"/>
          <w:color w:val="auto"/>
        </w:rPr>
      </w:pPr>
      <w:r>
        <w:rPr>
          <w:rFonts w:ascii="Courier New" w:cs="Courier New" w:eastAsia="Courier New" w:hAnsi="Courier New"/>
          <w:sz w:val="15"/>
          <w:szCs w:val="15"/>
          <w:color w:val="auto"/>
        </w:rPr>
        <w:t>SEMICONDUCTOR MEMORY PRODUCTS</w:t>
      </w:r>
    </w:p>
    <w:p>
      <w:pPr>
        <w:spacing w:after="0" w:line="166" w:lineRule="exact"/>
        <w:rPr>
          <w:sz w:val="20"/>
          <w:szCs w:val="20"/>
          <w:color w:val="auto"/>
        </w:rPr>
      </w:pPr>
    </w:p>
    <w:p>
      <w:pPr>
        <w:ind w:right="3499" w:firstLine="175"/>
        <w:spacing w:after="0" w:line="273" w:lineRule="auto"/>
        <w:rPr>
          <w:sz w:val="20"/>
          <w:szCs w:val="20"/>
          <w:color w:val="auto"/>
        </w:rPr>
      </w:pPr>
      <w:r>
        <w:rPr>
          <w:rFonts w:ascii="Courier New" w:cs="Courier New" w:eastAsia="Courier New" w:hAnsi="Courier New"/>
          <w:sz w:val="15"/>
          <w:szCs w:val="15"/>
          <w:color w:val="auto"/>
        </w:rPr>
        <w:t>The Company's semiconductor manufacturing operations focus primarily on the design, development and manufacture of semiconductor memory products for standard memory applications, with various packaging and configuration options, architectures and performance characteristics.</w:t>
      </w:r>
    </w:p>
    <w:p>
      <w:pPr>
        <w:spacing w:after="0" w:line="68" w:lineRule="exact"/>
        <w:rPr>
          <w:sz w:val="20"/>
          <w:szCs w:val="20"/>
          <w:color w:val="auto"/>
        </w:rPr>
      </w:pPr>
    </w:p>
    <w:p>
      <w:pPr>
        <w:ind w:right="3399" w:firstLine="175"/>
        <w:spacing w:after="0" w:line="258" w:lineRule="auto"/>
        <w:rPr>
          <w:sz w:val="20"/>
          <w:szCs w:val="20"/>
          <w:color w:val="auto"/>
        </w:rPr>
      </w:pPr>
      <w:r>
        <w:rPr>
          <w:rFonts w:ascii="Courier New" w:cs="Courier New" w:eastAsia="Courier New" w:hAnsi="Courier New"/>
          <w:sz w:val="14"/>
          <w:szCs w:val="14"/>
          <w:color w:val="auto"/>
        </w:rPr>
        <w:t>DYNAMIC RANDOM ACCESS MEMORY. A DRAM is a semiconductor device which stores digital information in the form of bits and provides high speed storage and retrieval of data. A DRAM is a high density, low cost per bit random access memory component, and is the most widely used semiconductor memory component in most PC systems. The Company's primary product during fiscal 1996 was the 4 Meg DRAM which sells in multiple configurations, speeds and package types. More recently, the Company has begun to transition its manufacturing resources to 16 Meg DRAM. At fiscal 1996 year end, approximately 50% of DRAM wafer starts were 4 Meg and 50% were 16 Meg. The transition to the 16 Meg DRAM as the Company's primary memory device is expected to occur in late calendar</w:t>
      </w:r>
    </w:p>
    <w:p>
      <w:pPr>
        <w:spacing w:after="0" w:line="3" w:lineRule="exact"/>
        <w:rPr>
          <w:sz w:val="20"/>
          <w:szCs w:val="20"/>
          <w:color w:val="auto"/>
        </w:rPr>
      </w:pPr>
    </w:p>
    <w:p>
      <w:pPr>
        <w:jc w:val="both"/>
        <w:ind w:right="3399"/>
        <w:spacing w:after="0" w:line="254" w:lineRule="auto"/>
        <w:rPr>
          <w:sz w:val="20"/>
          <w:szCs w:val="20"/>
          <w:color w:val="auto"/>
        </w:rPr>
      </w:pPr>
      <w:r>
        <w:rPr>
          <w:rFonts w:ascii="Courier New" w:cs="Courier New" w:eastAsia="Courier New" w:hAnsi="Courier New"/>
          <w:sz w:val="14"/>
          <w:szCs w:val="14"/>
          <w:color w:val="auto"/>
        </w:rPr>
        <w:t>1996. The Company is developing its 64 Meg DRAM and is in the design phase of its 256 Meg DRAM. DRAM sales represented approximately 57%, 68% and 73% of the Company's total net sales in fiscal 1996, 1995 and 1994, respectively.</w:t>
      </w:r>
    </w:p>
    <w:p>
      <w:pPr>
        <w:spacing w:after="0" w:line="1" w:lineRule="exact"/>
        <w:rPr>
          <w:sz w:val="20"/>
          <w:szCs w:val="20"/>
          <w:color w:val="auto"/>
        </w:rPr>
      </w:pPr>
    </w:p>
    <w:p>
      <w:pPr>
        <w:ind w:right="3939"/>
        <w:spacing w:after="0" w:line="272" w:lineRule="auto"/>
        <w:rPr>
          <w:sz w:val="20"/>
          <w:szCs w:val="20"/>
          <w:color w:val="auto"/>
        </w:rPr>
      </w:pPr>
      <w:r>
        <w:rPr>
          <w:rFonts w:ascii="Courier New" w:cs="Courier New" w:eastAsia="Courier New" w:hAnsi="Courier New"/>
          <w:sz w:val="15"/>
          <w:szCs w:val="15"/>
          <w:color w:val="auto"/>
        </w:rPr>
        <w:t>Manufacture of the Company's DRAM products utilizes proprietary advanced complementary metal-oxide-semiconductor ("CMOS") silicon-gate process technology.</w:t>
      </w:r>
    </w:p>
    <w:p>
      <w:pPr>
        <w:spacing w:after="0" w:line="69" w:lineRule="exact"/>
        <w:rPr>
          <w:sz w:val="20"/>
          <w:szCs w:val="20"/>
          <w:color w:val="auto"/>
        </w:rPr>
      </w:pPr>
    </w:p>
    <w:p>
      <w:pPr>
        <w:ind w:right="3399" w:firstLine="175"/>
        <w:spacing w:after="0" w:line="245" w:lineRule="auto"/>
        <w:rPr>
          <w:sz w:val="20"/>
          <w:szCs w:val="20"/>
          <w:color w:val="auto"/>
        </w:rPr>
      </w:pPr>
      <w:r>
        <w:rPr>
          <w:rFonts w:ascii="Courier New" w:cs="Courier New" w:eastAsia="Courier New" w:hAnsi="Courier New"/>
          <w:sz w:val="15"/>
          <w:szCs w:val="15"/>
          <w:color w:val="auto"/>
        </w:rPr>
        <w:t>The Company's DRAM products use Extended Data Out ("EDO") and Fast Page Mode ("FPM") technology, which in 1996 accounted for approximately 92% of all DRAM sales in the industry. The Company expects a gradual transition by PC manufacturers to faster types of DRAM-based main memory over the next several years. Conventional FPM and EDO DRAM are not expected to meet the bandwidth required for future CPU and video/graphics designs. To that end, the Company is developing synchronous DRAM ("SDRAM") devices expected to be ready for volume production in fiscal 1998. SDRAM is a next generation memory component that operates faster than regular DRAM, due in part to the addition of a clock input that synchronizes all operations and allows PC systems to run faster. The Company is currently sampling an 8 Meg SDRAM that is designed specifically for graphics applications and which is referred to as the synchronous graphics random access memory ("SGRAM"). The Company continues to investigate other designs which will allow future DRAM devices to run even faster than current SDRAM devices.</w:t>
      </w:r>
    </w:p>
    <w:p>
      <w:pPr>
        <w:spacing w:after="0" w:line="89" w:lineRule="exact"/>
        <w:rPr>
          <w:sz w:val="20"/>
          <w:szCs w:val="20"/>
          <w:color w:val="auto"/>
        </w:rPr>
      </w:pPr>
    </w:p>
    <w:p>
      <w:pPr>
        <w:ind w:right="3399" w:firstLine="175"/>
        <w:spacing w:after="0" w:line="263" w:lineRule="auto"/>
        <w:rPr>
          <w:sz w:val="20"/>
          <w:szCs w:val="20"/>
          <w:color w:val="auto"/>
        </w:rPr>
      </w:pPr>
      <w:r>
        <w:rPr>
          <w:rFonts w:ascii="Courier New" w:cs="Courier New" w:eastAsia="Courier New" w:hAnsi="Courier New"/>
          <w:sz w:val="14"/>
          <w:szCs w:val="14"/>
          <w:color w:val="auto"/>
        </w:rPr>
        <w:t>FLASH MEMORY. Flash memory devices are non-volatile semiconductor devices which retain the contents of their memory when the power is turned off and are electrically erasable and reprogrammable. This means Flash memory can be updated in the system, with new revisions of code, different user parameters or settings and data collected over time. The Company is currently sampling the 2 Meg and 4 Meg SmartVoltage Technology Boot Block Flash. Internal qualification of both parts is expected to occur in the fall of 1996. The Company is also working on higher density Flash memory products to expand the boot block family to 8 Meg and introduce lower programming voltages. The major growth areas for Flash are expected to be in digital cellular phones and networking applications. Workstations, servers and PC manufacturers use Flash memory for BIOS storage with remote update facility, while combined Flash/modem/LAN PCMCIA cards are satisfying applications requiring high density, small packaged devices. Flash memory cards provide code and data file storage advantages to embedded systems and portable electronics systems.</w:t>
      </w:r>
    </w:p>
    <w:p>
      <w:pPr>
        <w:spacing w:after="0" w:line="84" w:lineRule="exact"/>
        <w:rPr>
          <w:sz w:val="20"/>
          <w:szCs w:val="20"/>
          <w:color w:val="auto"/>
        </w:rPr>
      </w:pPr>
    </w:p>
    <w:p>
      <w:pPr>
        <w:ind w:right="3399" w:firstLine="175"/>
        <w:spacing w:after="0" w:line="250" w:lineRule="auto"/>
        <w:rPr>
          <w:sz w:val="20"/>
          <w:szCs w:val="20"/>
          <w:color w:val="auto"/>
        </w:rPr>
      </w:pPr>
      <w:r>
        <w:rPr>
          <w:rFonts w:ascii="Courier New" w:cs="Courier New" w:eastAsia="Courier New" w:hAnsi="Courier New"/>
          <w:sz w:val="15"/>
          <w:szCs w:val="15"/>
          <w:color w:val="auto"/>
        </w:rPr>
        <w:t>STATIC RANDOM ACCESS MEMORY ("SRAM"). A SRAM is a semiconductor device which performs memory functions much the same as a DRAM, but does not require its memory cells to be electronically refreshed. In addition, a SRAM can be designed to operate faster than a DRAM. A SRAM contains more complex electronic circuitry than a DRAM, and consequently has higher per bit production costs. The Company's SRAM family focuses on the high-performance, or "Very Fast," sector of the SRAM market which supports cache memory requirements in computers. Very Fast SRAM provides access times approximately five times faster than those of a DRAM. The market for</w:t>
      </w:r>
    </w:p>
    <w:p>
      <w:pPr>
        <w:spacing w:after="0" w:line="8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598" w:right="1440" w:bottom="1440" w:gutter="0" w:footer="0" w:header="0"/>
        </w:sectPr>
      </w:pPr>
    </w:p>
    <w:bookmarkStart w:id="3" w:name="page4"/>
    <w:bookmarkEnd w:id="3"/>
    <w:p>
      <w:pPr>
        <w:ind w:right="3499"/>
        <w:spacing w:after="0" w:line="250" w:lineRule="auto"/>
        <w:rPr>
          <w:sz w:val="20"/>
          <w:szCs w:val="20"/>
          <w:color w:val="auto"/>
        </w:rPr>
      </w:pPr>
      <w:r>
        <w:rPr>
          <w:rFonts w:ascii="Courier New" w:cs="Courier New" w:eastAsia="Courier New" w:hAnsi="Courier New"/>
          <w:sz w:val="15"/>
          <w:szCs w:val="15"/>
          <w:color w:val="auto"/>
        </w:rPr>
        <w:t>Very Fast SRAM has grown with the number of applications that require a "buffer" or "cache" of high speed memory between the central processing unit and the main DRAM-based memory. The Company manufactures its SRAM products utilizing CMOS silicon-gate process technology. The Company sells primarily 1 and 2 Meg SRAM components in a variety of configurations, speeds and package types, and has a 4 Meg SRAM under development. SRAM sales represented 2%, 6% and 8% of the Company's total net sales in fiscal 1996, 1995 and 1994, respectively. The Company reduced its SRAM sales due to lower profitability relative to DRAM sales.</w:t>
      </w:r>
    </w:p>
    <w:p>
      <w:pPr>
        <w:spacing w:after="0" w:line="89"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PERSONAL COMPUTER SYSTEMS</w:t>
      </w:r>
    </w:p>
    <w:p>
      <w:pPr>
        <w:spacing w:after="0" w:line="166" w:lineRule="exact"/>
        <w:rPr>
          <w:sz w:val="20"/>
          <w:szCs w:val="20"/>
          <w:color w:val="auto"/>
        </w:rPr>
      </w:pPr>
    </w:p>
    <w:p>
      <w:pPr>
        <w:ind w:right="3399" w:firstLine="175"/>
        <w:spacing w:after="0" w:line="252" w:lineRule="auto"/>
        <w:rPr>
          <w:sz w:val="20"/>
          <w:szCs w:val="20"/>
          <w:color w:val="auto"/>
        </w:rPr>
      </w:pPr>
      <w:r>
        <w:rPr>
          <w:rFonts w:ascii="Courier New" w:cs="Courier New" w:eastAsia="Courier New" w:hAnsi="Courier New"/>
          <w:sz w:val="15"/>
          <w:szCs w:val="15"/>
          <w:color w:val="auto"/>
        </w:rPr>
        <w:t>The Company designs, develops, markets, manufactures, sells and supports a range of memory intensive, high performance desktop and notebook PC systems and network servers under the Micron brand name. These systems use Intel Pentium and Pentium Pro microprocessors and are assembled to order with differing memory and storage capacities as well as operating and applications software. The Company also offers a variety of peripheral products with its PC systems, including monitors, modems, graphics cards, accelerators and CD-ROM drives.</w:t>
      </w:r>
    </w:p>
    <w:p>
      <w:pPr>
        <w:spacing w:after="0" w:line="86"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5"/>
          <w:szCs w:val="15"/>
          <w:color w:val="auto"/>
        </w:rPr>
        <w:t>The Company's assemble-to-order PC system sales and manufacturing structure enables customers to order custom system configurations and provides customers the flexibility to select modifications to certain standard configurations including, among others, a wide variety of Intel Pentium and Pentium Pro microprocessors, EDO main system memory in 8MB increments generally up to 128MB, Enhanced IDE or SCSI hard disk drives ranging from 1.0GB to 9.0GB, and monitors ranging from 14 inch to 21 inch.</w:t>
      </w:r>
    </w:p>
    <w:p>
      <w:pPr>
        <w:spacing w:after="0" w:line="8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CONTRACT MANUFACTURING</w:t>
      </w:r>
    </w:p>
    <w:p>
      <w:pPr>
        <w:spacing w:after="0" w:line="166" w:lineRule="exact"/>
        <w:rPr>
          <w:sz w:val="20"/>
          <w:szCs w:val="20"/>
          <w:color w:val="auto"/>
        </w:rPr>
      </w:pPr>
    </w:p>
    <w:p>
      <w:pPr>
        <w:ind w:right="3399" w:firstLine="175"/>
        <w:spacing w:after="0" w:line="264" w:lineRule="auto"/>
        <w:rPr>
          <w:sz w:val="20"/>
          <w:szCs w:val="20"/>
          <w:color w:val="auto"/>
        </w:rPr>
      </w:pPr>
      <w:r>
        <w:rPr>
          <w:rFonts w:ascii="Courier New" w:cs="Courier New" w:eastAsia="Courier New" w:hAnsi="Courier New"/>
          <w:sz w:val="14"/>
          <w:szCs w:val="14"/>
          <w:color w:val="auto"/>
        </w:rPr>
        <w:t>The Company's contract manufacturing operations specialize in custom complex printed circuit board, memory module and system level assemblies. The manufacture of electronic products has become increasingly sophisticated and complex and requires substantial capital investment. In response, many original equipment manufacturers ("OEMs") are adopting manufacturing outsourcing strategies and relying on manufacturing specialists to support their production needs. OEMs generally use contract manufacturers to gain access to leading manufacturing expertise, reduce time to market, enhance their financial flexibility and improve inventory management. The Company's contract manufacturing operations consist of assembling and testing complex printed circuit boards, memory modules and "box build" final product assembly services. In addition to assembly and test functions, the Company offers a broad range of manufacturing services, including design lay-out and product engineering, materials procurement, turnkey and consignment inventory management, quality assurance and just-in-time delivery.</w:t>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SEMICONDUCTOR MEMORY PRODUCTS</w:t>
      </w:r>
    </w:p>
    <w:p>
      <w:pPr>
        <w:spacing w:after="0" w:line="166" w:lineRule="exact"/>
        <w:rPr>
          <w:sz w:val="20"/>
          <w:szCs w:val="20"/>
          <w:color w:val="auto"/>
        </w:rPr>
      </w:pPr>
    </w:p>
    <w:p>
      <w:pPr>
        <w:ind w:right="3499" w:firstLine="175"/>
        <w:spacing w:after="0" w:line="245" w:lineRule="auto"/>
        <w:rPr>
          <w:sz w:val="20"/>
          <w:szCs w:val="20"/>
          <w:color w:val="auto"/>
        </w:rPr>
      </w:pPr>
      <w:r>
        <w:rPr>
          <w:rFonts w:ascii="Courier New" w:cs="Courier New" w:eastAsia="Courier New" w:hAnsi="Courier New"/>
          <w:sz w:val="15"/>
          <w:szCs w:val="15"/>
          <w:color w:val="auto"/>
        </w:rPr>
        <w:t>The manufacturing of the Company's semiconductor products is a complex process and involves a number of precise steps, including wafer fabrication, assembly, burn-in and final test. Efficient production of the Company's semiconductor memory products requires utilization of advanced semiconductor manufacturing techniques. Manufacturing cost per unit is primarily a function of die size (since the potential number of good die per wafer increases with reduced die size), number of mask layers and the yield of acceptable die produced on each wafer. Other contributing factors are wafer size, number of fabrication steps, cost and sophistication of the manufacturing equipment, package type, equipment utilization, process complexity and cleanliness. The Company is engaged in ongoing efforts to enhance its production processes to reduce the die size of existing products and increase capacity utilization. Smaller die sizes and higher production yields generally reduce manufacturing cost per unit.</w:t>
      </w:r>
    </w:p>
    <w:p>
      <w:pPr>
        <w:spacing w:after="0" w:line="26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598" w:right="1440" w:bottom="1440" w:gutter="0" w:footer="0" w:header="0"/>
        </w:sectPr>
      </w:pPr>
    </w:p>
    <w:bookmarkStart w:id="4" w:name="page5"/>
    <w:bookmarkEnd w:id="4"/>
    <w:p>
      <w:pPr>
        <w:ind w:right="3399" w:firstLine="175"/>
        <w:spacing w:after="0" w:line="262" w:lineRule="auto"/>
        <w:rPr>
          <w:sz w:val="20"/>
          <w:szCs w:val="20"/>
          <w:color w:val="auto"/>
        </w:rPr>
      </w:pPr>
      <w:r>
        <w:rPr>
          <w:rFonts w:ascii="Courier New" w:cs="Courier New" w:eastAsia="Courier New" w:hAnsi="Courier New"/>
          <w:sz w:val="14"/>
          <w:szCs w:val="14"/>
          <w:color w:val="auto"/>
        </w:rPr>
        <w:t>The Company's semiconductor manufacturing facility in Boise, Idaho includes two wafer fabs ("Fab I" and "Fab III") equipped with diffusion tubes, photolithography systems, ion implant equipment, chemical vapor deposition reactors, sputtering systems, plasma and wet etchers and automated mask inspection systems. The production facility operates in 12-hour shifts, 24 hours per day and 7 days per week to reduce down time during shift changes, and to reduce total fabrication costs by maximizing utilization of fabrication facilities. Wafer fabrication occurs in a highly controlled, clean environment to minimize dust and other yield- and quality-limiting contaminants. Despite stringent manufacturing controls, equipment does not consistently perform flawlessly and minute impurities, defects in the photomasks or other difficulties in the process may cause a substantial percentage of the wafers to be rejected or individual circuits to be nonfunctional. The success of the Company's manufacturing operation will be largely dependent on its ability to minimize such impurities and to maximize its yield of acceptable, high-quality circuits. In this regard, the Company employs rigorous quality controls throughout the manufacturing, screening and testing processes.</w:t>
      </w:r>
    </w:p>
    <w:p>
      <w:pPr>
        <w:spacing w:after="0" w:line="84" w:lineRule="exact"/>
        <w:rPr>
          <w:sz w:val="20"/>
          <w:szCs w:val="20"/>
          <w:color w:val="auto"/>
        </w:rPr>
      </w:pPr>
    </w:p>
    <w:p>
      <w:pPr>
        <w:ind w:right="3399" w:firstLine="175"/>
        <w:spacing w:after="0" w:line="266" w:lineRule="auto"/>
        <w:rPr>
          <w:sz w:val="20"/>
          <w:szCs w:val="20"/>
          <w:color w:val="auto"/>
        </w:rPr>
      </w:pPr>
      <w:r>
        <w:rPr>
          <w:rFonts w:ascii="Courier New" w:cs="Courier New" w:eastAsia="Courier New" w:hAnsi="Courier New"/>
          <w:sz w:val="14"/>
          <w:szCs w:val="14"/>
          <w:color w:val="auto"/>
        </w:rPr>
        <w:t>After fabrication, each silicon wafer is separated into individual die. Functional die are connected to external leads by extremely fine wire and are assembled into plastic packages. Each completed package is then inspected, sealed and tested. The assembly process uses high-speed automatic systems such as wire bonders, as well as semi-automatic plastic encapsulation and solder systems. The Company tests its products at various stages in the manufacturing process, performs high temperature burn-in on finished products and conducts numerous quality control inspections throughout the entire production flow. In addition, through the utilization of its proprietary AMBYX(R) line of intelligent test and burn-in systems, the Company simultaneously conducts circuit testing of all die during the burn-in process, improving quality and reliability data, and reducing testing time and cost.</w:t>
      </w:r>
    </w:p>
    <w:p>
      <w:pPr>
        <w:spacing w:after="0" w:line="77" w:lineRule="exact"/>
        <w:rPr>
          <w:sz w:val="20"/>
          <w:szCs w:val="20"/>
          <w:color w:val="auto"/>
        </w:rPr>
      </w:pPr>
    </w:p>
    <w:p>
      <w:pPr>
        <w:ind w:right="3399" w:firstLine="175"/>
        <w:spacing w:after="0" w:line="264" w:lineRule="auto"/>
        <w:rPr>
          <w:sz w:val="20"/>
          <w:szCs w:val="20"/>
          <w:color w:val="auto"/>
        </w:rPr>
      </w:pPr>
      <w:r>
        <w:rPr>
          <w:rFonts w:ascii="Courier New" w:cs="Courier New" w:eastAsia="Courier New" w:hAnsi="Courier New"/>
          <w:sz w:val="14"/>
          <w:szCs w:val="14"/>
          <w:color w:val="auto"/>
        </w:rPr>
        <w:t>The Fab III wafer fab was converted to 8-inch wafer processing during fiscal 1996. Completion of the conversion of Fab I to 8-inch wafers is anticipated prior to the end of calendar 1996. Completion of the Company's semiconductor memory manufacturing facility in Lehi, Utah, is on indefinite hold. See "Item</w:t>
      </w:r>
    </w:p>
    <w:p>
      <w:pPr>
        <w:spacing w:after="0" w:line="1" w:lineRule="exact"/>
        <w:rPr>
          <w:sz w:val="20"/>
          <w:szCs w:val="20"/>
          <w:color w:val="auto"/>
        </w:rPr>
      </w:pPr>
    </w:p>
    <w:p>
      <w:pPr>
        <w:ind w:right="3499" w:firstLine="10"/>
        <w:spacing w:after="0" w:line="346" w:lineRule="auto"/>
        <w:tabs>
          <w:tab w:leader="none" w:pos="262"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Management's Discussion and Analysis of Financial Condition and Results of Operations--Certain Factors--Manufacturing Risks and Volume Production."</w:t>
      </w:r>
    </w:p>
    <w:p>
      <w:pPr>
        <w:spacing w:after="0" w:line="2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PERSONAL COMPUTER SYSTEMS</w:t>
      </w:r>
    </w:p>
    <w:p>
      <w:pPr>
        <w:spacing w:after="0" w:line="166" w:lineRule="exact"/>
        <w:rPr>
          <w:sz w:val="20"/>
          <w:szCs w:val="20"/>
          <w:color w:val="auto"/>
        </w:rPr>
      </w:pPr>
    </w:p>
    <w:p>
      <w:pPr>
        <w:ind w:right="3399" w:firstLine="175"/>
        <w:spacing w:after="0" w:line="249" w:lineRule="auto"/>
        <w:rPr>
          <w:sz w:val="20"/>
          <w:szCs w:val="20"/>
          <w:color w:val="auto"/>
        </w:rPr>
      </w:pPr>
      <w:r>
        <w:rPr>
          <w:rFonts w:ascii="Courier New" w:cs="Courier New" w:eastAsia="Courier New" w:hAnsi="Courier New"/>
          <w:sz w:val="15"/>
          <w:szCs w:val="15"/>
          <w:color w:val="auto"/>
        </w:rPr>
        <w:t>The Company's PC system manufacturing process is designed to provide custom-configured PC products to its customers, and includes assembling components, loading software and testing each system prior to shipment. The Company's PC systems are generally assembled to customer specifications. Parts and components required for each customer order are selected from inventory and are prepared for assembly into a customized PC system. The Company's desktop PC systems are generally assembled in its own facilities. The Company's notebook PC systems are designed to include feature sets defined by the Company but are assembled by a third-party supplier and sent to the Company for final custom configuration and testing.</w:t>
      </w:r>
    </w:p>
    <w:p>
      <w:pPr>
        <w:spacing w:after="0" w:line="8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CONTRACT MANUFACTURING</w:t>
      </w:r>
    </w:p>
    <w:p>
      <w:pPr>
        <w:spacing w:after="0" w:line="166" w:lineRule="exact"/>
        <w:rPr>
          <w:sz w:val="20"/>
          <w:szCs w:val="20"/>
          <w:color w:val="auto"/>
        </w:rPr>
      </w:pPr>
    </w:p>
    <w:p>
      <w:pPr>
        <w:ind w:right="3399" w:firstLine="175"/>
        <w:spacing w:after="0" w:line="248" w:lineRule="auto"/>
        <w:rPr>
          <w:sz w:val="20"/>
          <w:szCs w:val="20"/>
          <w:color w:val="auto"/>
        </w:rPr>
      </w:pPr>
      <w:r>
        <w:rPr>
          <w:rFonts w:ascii="Courier New" w:cs="Courier New" w:eastAsia="Courier New" w:hAnsi="Courier New"/>
          <w:sz w:val="15"/>
          <w:szCs w:val="15"/>
          <w:color w:val="auto"/>
        </w:rPr>
        <w:t>Nearly all of the products manufactured by the Company's contract manufacturing operations are assembled utilizing surface mount technology ("SMT") whereby the leads on integrated circuits and other electronic components are soldered to the surface of printed circuit boards. SMT assembly requires expensive capital equipment and a high level of process expertise. The Company has seven SMT lines in its Boise, Idaho facility, which are currently being relocated to the Company's new Nampa, Idaho facility. In addition, the Company has three SMT lines at its Durham, North Carolina facility. The Company also utilizes chip on board ("COB") technology in its manufacturing processes. This emerging technology in packaging is typically utilized for high pin count integrated circuits.</w:t>
      </w:r>
    </w:p>
    <w:p>
      <w:pPr>
        <w:spacing w:after="0" w:line="2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598"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AVAILABILITY OF RAW MATERIALS</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SEMICONDUCTOR MEMORY PRODUCTS</w:t>
      </w:r>
    </w:p>
    <w:p>
      <w:pPr>
        <w:spacing w:after="0" w:line="166" w:lineRule="exact"/>
        <w:rPr>
          <w:sz w:val="20"/>
          <w:szCs w:val="20"/>
          <w:color w:val="auto"/>
        </w:rPr>
      </w:pPr>
    </w:p>
    <w:p>
      <w:pPr>
        <w:ind w:right="3399" w:firstLine="175"/>
        <w:spacing w:after="0" w:line="247" w:lineRule="auto"/>
        <w:rPr>
          <w:sz w:val="20"/>
          <w:szCs w:val="20"/>
          <w:color w:val="auto"/>
        </w:rPr>
      </w:pPr>
      <w:r>
        <w:rPr>
          <w:rFonts w:ascii="Courier New" w:cs="Courier New" w:eastAsia="Courier New" w:hAnsi="Courier New"/>
          <w:sz w:val="15"/>
          <w:szCs w:val="15"/>
          <w:color w:val="auto"/>
        </w:rPr>
        <w:t>Raw materials utilized by the Company's semiconductor memory manufacturing operation generally must meet exacting product specifications. The Company generally uses multiple sources of supply, but the number of suppliers capable of delivering certain raw materials is very limited. The availability of raw materials, such as silicon wafers, molding compound and lead frames, may decline due to the overall increase in worldwide semiconductor manufacturing. Although shortages have occurred from time to time and lead times in the industry have been extended on occasion, to date the Company has not experienced any significant interruption in operations as a result of a difficulty in obtaining raw materials for its semiconductor memory manufacturing operations. Interruption of any one raw material source could adversely affect the Company's operations.</w:t>
      </w:r>
    </w:p>
    <w:p>
      <w:pPr>
        <w:spacing w:after="0" w:line="8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PERSONAL COMPUTER SYSTEMS</w:t>
      </w:r>
    </w:p>
    <w:p>
      <w:pPr>
        <w:spacing w:after="0" w:line="166" w:lineRule="exact"/>
        <w:rPr>
          <w:sz w:val="20"/>
          <w:szCs w:val="20"/>
          <w:color w:val="auto"/>
        </w:rPr>
      </w:pPr>
    </w:p>
    <w:p>
      <w:pPr>
        <w:ind w:right="3399" w:firstLine="175"/>
        <w:spacing w:after="0" w:line="248" w:lineRule="auto"/>
        <w:rPr>
          <w:sz w:val="20"/>
          <w:szCs w:val="20"/>
          <w:color w:val="auto"/>
        </w:rPr>
      </w:pPr>
      <w:r>
        <w:rPr>
          <w:rFonts w:ascii="Courier New" w:cs="Courier New" w:eastAsia="Courier New" w:hAnsi="Courier New"/>
          <w:sz w:val="15"/>
          <w:szCs w:val="15"/>
          <w:color w:val="auto"/>
        </w:rPr>
        <w:t>The Company relies on third-party suppliers for its PC system components and seeks to identify suppliers which can provide state-of-the-art technology, product quality and prompt delivery at competitive prices. The Company purchases substantially all of its PC components, subassemblies and software from suppliers on a purchase order basis and generally does not have long-term supply arrangements with its suppliers. Any interruption in the supply of any of the components, subassemblies and software currently obtained from a single source or relatively few sources, or a decrease in the general availability of any other components, subassemblies or software used in the Company's PC systems, could result in production delays and adversely affect the Company's business and results of operations.</w:t>
      </w:r>
    </w:p>
    <w:p>
      <w:pPr>
        <w:spacing w:after="0" w:line="8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CONTRACT MANUFACTURING</w:t>
      </w:r>
    </w:p>
    <w:p>
      <w:pPr>
        <w:spacing w:after="0" w:line="166" w:lineRule="exact"/>
        <w:rPr>
          <w:sz w:val="20"/>
          <w:szCs w:val="20"/>
          <w:color w:val="auto"/>
        </w:rPr>
      </w:pPr>
    </w:p>
    <w:p>
      <w:pPr>
        <w:ind w:right="3399" w:firstLine="175"/>
        <w:spacing w:after="0" w:line="273" w:lineRule="auto"/>
        <w:rPr>
          <w:sz w:val="20"/>
          <w:szCs w:val="20"/>
          <w:color w:val="auto"/>
        </w:rPr>
      </w:pPr>
      <w:r>
        <w:rPr>
          <w:rFonts w:ascii="Courier New" w:cs="Courier New" w:eastAsia="Courier New" w:hAnsi="Courier New"/>
          <w:sz w:val="14"/>
          <w:szCs w:val="14"/>
          <w:color w:val="auto"/>
        </w:rPr>
        <w:t>The Company's contract manufacturing operations use numerous suppliers for the electronic components and materials, including RAM components, used in its operations. Shortages of certain types of electronic components have occurred in the past and may occur in the future. The Company's contract manufacturing operations procure its materials and components based on purchase orders received and accepted from its customers while seeking to minimize its overall level of inventory. Components shortages or price fluctuations could have an adverse effect on the Company's business and results of operations.</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CUSTOMERS</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SEMICONDUCTOR MEMORY PRODUCTS</w:t>
      </w:r>
    </w:p>
    <w:p>
      <w:pPr>
        <w:spacing w:after="0" w:line="166" w:lineRule="exact"/>
        <w:rPr>
          <w:sz w:val="20"/>
          <w:szCs w:val="20"/>
          <w:color w:val="auto"/>
        </w:rPr>
      </w:pPr>
    </w:p>
    <w:p>
      <w:pPr>
        <w:ind w:right="3579" w:firstLine="175"/>
        <w:spacing w:after="0" w:line="264" w:lineRule="auto"/>
        <w:rPr>
          <w:sz w:val="20"/>
          <w:szCs w:val="20"/>
          <w:color w:val="auto"/>
        </w:rPr>
      </w:pPr>
      <w:r>
        <w:rPr>
          <w:rFonts w:ascii="Courier New" w:cs="Courier New" w:eastAsia="Courier New" w:hAnsi="Courier New"/>
          <w:sz w:val="15"/>
          <w:szCs w:val="15"/>
          <w:color w:val="auto"/>
        </w:rPr>
        <w:t>The semiconductor memory industry is characterized by rapid technological change, relatively short product life cycles, frequent product introductions and enhancements, difficult product transitions and volatile market conditions. Historically, the semiconductor industry, and the DRAM market in particular, have been highly cyclical.</w:t>
      </w:r>
    </w:p>
    <w:p>
      <w:pPr>
        <w:spacing w:after="0" w:line="75" w:lineRule="exact"/>
        <w:rPr>
          <w:sz w:val="20"/>
          <w:szCs w:val="20"/>
          <w:color w:val="auto"/>
        </w:rPr>
      </w:pPr>
    </w:p>
    <w:p>
      <w:pPr>
        <w:ind w:right="3399" w:firstLine="175"/>
        <w:spacing w:after="0" w:line="266" w:lineRule="auto"/>
        <w:rPr>
          <w:sz w:val="20"/>
          <w:szCs w:val="20"/>
          <w:color w:val="auto"/>
        </w:rPr>
      </w:pPr>
      <w:r>
        <w:rPr>
          <w:rFonts w:ascii="Courier New" w:cs="Courier New" w:eastAsia="Courier New" w:hAnsi="Courier New"/>
          <w:sz w:val="14"/>
          <w:szCs w:val="14"/>
          <w:color w:val="auto"/>
        </w:rPr>
        <w:t>The Company's primary semiconductor memory products are essentially interchangeable with, and have similar functionality to, products offered by the Company's competition. Customers for the Company's semiconductor memory products include major domestic computer manufacturers and others in the computer, telecommunications and office automation industries. The Company markets its semiconductor memory products worldwide through independent sales representatives, distributors and its own direct sales force. The Company also maintains semiconductor sales offices in the United Kingdom, Germany, Singapore and Taiwan. Sales representatives are compensated on a commission basis and obtain orders subject to final acceptance by the Company. Shipments against these orders are made directly to the customer by the Company. Distributors carry the Company's products in</w:t>
      </w:r>
    </w:p>
    <w:p>
      <w:pPr>
        <w:spacing w:after="0" w:line="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598" w:right="1440" w:bottom="1440" w:gutter="0" w:footer="0" w:header="0"/>
        </w:sectPr>
      </w:pPr>
    </w:p>
    <w:bookmarkStart w:id="6" w:name="page7"/>
    <w:bookmarkEnd w:id="6"/>
    <w:p>
      <w:pPr>
        <w:ind w:right="3499"/>
        <w:spacing w:after="0" w:line="273" w:lineRule="auto"/>
        <w:rPr>
          <w:sz w:val="20"/>
          <w:szCs w:val="20"/>
          <w:color w:val="auto"/>
        </w:rPr>
      </w:pPr>
      <w:r>
        <w:rPr>
          <w:rFonts w:ascii="Courier New" w:cs="Courier New" w:eastAsia="Courier New" w:hAnsi="Courier New"/>
          <w:sz w:val="15"/>
          <w:szCs w:val="15"/>
          <w:color w:val="auto"/>
        </w:rPr>
        <w:t>inventory and typically sell a variety of other semiconductor products, including competitors' products. Semiconductor memory products sold through distributors approximated 8%, 10% and 12% of total net sales of such products in fiscal 1996, 1995 and 1994, respectively.</w:t>
      </w:r>
    </w:p>
    <w:p>
      <w:pPr>
        <w:spacing w:after="0" w:line="68"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5"/>
          <w:szCs w:val="15"/>
          <w:color w:val="auto"/>
        </w:rPr>
        <w:t>Many of MTI's customers require a thorough review or "qualification" of new semiconductor memory products and processes which may take several months. As the Company diversifies its product lines and reduces the die sizes of existing memory products, acceptance of these products and processes is subject to this qualification procedure. There can be no assurance that new products or processes will be qualified for purchase by existing or potential customers.</w:t>
      </w:r>
    </w:p>
    <w:p>
      <w:pPr>
        <w:spacing w:after="0" w:line="82" w:lineRule="exact"/>
        <w:rPr>
          <w:sz w:val="20"/>
          <w:szCs w:val="20"/>
          <w:color w:val="auto"/>
        </w:rPr>
      </w:pPr>
    </w:p>
    <w:p>
      <w:pPr>
        <w:ind w:right="3499" w:firstLine="175"/>
        <w:spacing w:after="0" w:line="280" w:lineRule="auto"/>
        <w:rPr>
          <w:sz w:val="20"/>
          <w:szCs w:val="20"/>
          <w:color w:val="auto"/>
        </w:rPr>
      </w:pPr>
      <w:r>
        <w:rPr>
          <w:rFonts w:ascii="Courier New" w:cs="Courier New" w:eastAsia="Courier New" w:hAnsi="Courier New"/>
          <w:sz w:val="14"/>
          <w:szCs w:val="14"/>
          <w:color w:val="auto"/>
        </w:rPr>
        <w:t>Sales to Compaq Computer Corporation represented approximately 11%, 11% and 13% of the Company's net sales of semiconductor memory products for fiscal 1996, 1995 and 1994, respectively. Sales to Intel Corporation represented approximately 11% of the Company's net sales of semiconductor memory products in fiscal 1995. No other customer individually accounted for 10% or more of the Company's net sales of semiconductor memory products.</w:t>
      </w:r>
    </w:p>
    <w:p>
      <w:pPr>
        <w:spacing w:after="0" w:line="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PERSONAL COMPUTER SYSTEMS</w:t>
      </w:r>
    </w:p>
    <w:p>
      <w:pPr>
        <w:spacing w:after="0" w:line="166" w:lineRule="exact"/>
        <w:rPr>
          <w:sz w:val="20"/>
          <w:szCs w:val="20"/>
          <w:color w:val="auto"/>
        </w:rPr>
      </w:pPr>
    </w:p>
    <w:p>
      <w:pPr>
        <w:ind w:right="3399" w:firstLine="175"/>
        <w:spacing w:after="0" w:line="266" w:lineRule="auto"/>
        <w:rPr>
          <w:sz w:val="20"/>
          <w:szCs w:val="20"/>
          <w:color w:val="auto"/>
        </w:rPr>
      </w:pPr>
      <w:r>
        <w:rPr>
          <w:rFonts w:ascii="Courier New" w:cs="Courier New" w:eastAsia="Courier New" w:hAnsi="Courier New"/>
          <w:sz w:val="14"/>
          <w:szCs w:val="14"/>
          <w:color w:val="auto"/>
        </w:rPr>
        <w:t>The Company's direct marketing approach is aimed toward PC users who evaluate products based on performance, price, reliability, service and support. The Company's PC customer base is comprised primarily of individuals, small to medium sized businesses, and governmental and educational entities. The Company markets its PC systems primarily by strategically placing advertisements in personal computer trade publications, submitting its products for review and evaluation by these publications and advertising its products on its home page on the Internet. The Company also markets its PC systems through direct-mail campaigns and sells a limited number of PCs through its three factory outlet stores located in Idaho, Minnesota and Utah. In addition, the Company sells its PC products through strategic relationships with third parties having large government procurement contracts.</w:t>
      </w:r>
    </w:p>
    <w:p>
      <w:pPr>
        <w:spacing w:after="0" w:line="77" w:lineRule="exact"/>
        <w:rPr>
          <w:sz w:val="20"/>
          <w:szCs w:val="20"/>
          <w:color w:val="auto"/>
        </w:rPr>
      </w:pPr>
    </w:p>
    <w:p>
      <w:pPr>
        <w:ind w:right="3399" w:firstLine="175"/>
        <w:spacing w:after="0" w:line="266" w:lineRule="auto"/>
        <w:rPr>
          <w:sz w:val="20"/>
          <w:szCs w:val="20"/>
          <w:color w:val="auto"/>
        </w:rPr>
      </w:pPr>
      <w:r>
        <w:rPr>
          <w:rFonts w:ascii="Courier New" w:cs="Courier New" w:eastAsia="Courier New" w:hAnsi="Courier New"/>
          <w:sz w:val="14"/>
          <w:szCs w:val="14"/>
          <w:color w:val="auto"/>
        </w:rPr>
        <w:t>By focusing on the direct sales channel, the Company is able to avoid dealer markups typically experienced in the retail sales channel, can limit inventory carrying costs and can maintain closer contact with its target markets. Direct sales orders are received primarily via telephone, facsimile and from the Company's home page on the Internet. The Company's sales representatives assist customers in determining system configuration, compatibility and current pricing. Customers generally order systems configured with varying feature sets differentiated by microprocessor speed, hard drive capacity, amount of memory, monitor size and resolution and bundled software, as well as other features. The Company offers its customers a variety of payment alternatives, including commercial trade terms, lease financing, cash on delivery, its own private label credit card and other credit cards.</w:t>
      </w:r>
    </w:p>
    <w:p>
      <w:pPr>
        <w:spacing w:after="0" w:line="7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CONTRACT MANUFACTURING</w:t>
      </w:r>
    </w:p>
    <w:p>
      <w:pPr>
        <w:spacing w:after="0" w:line="166" w:lineRule="exact"/>
        <w:rPr>
          <w:sz w:val="20"/>
          <w:szCs w:val="20"/>
          <w:color w:val="auto"/>
        </w:rPr>
      </w:pPr>
    </w:p>
    <w:p>
      <w:pPr>
        <w:ind w:right="3579" w:firstLine="175"/>
        <w:spacing w:after="0" w:line="298" w:lineRule="auto"/>
        <w:rPr>
          <w:sz w:val="20"/>
          <w:szCs w:val="20"/>
          <w:color w:val="auto"/>
        </w:rPr>
      </w:pPr>
      <w:r>
        <w:rPr>
          <w:rFonts w:ascii="Courier New" w:cs="Courier New" w:eastAsia="Courier New" w:hAnsi="Courier New"/>
          <w:sz w:val="14"/>
          <w:szCs w:val="14"/>
          <w:color w:val="auto"/>
        </w:rPr>
        <w:t>The Company markets its contract manufacturing services through a direct sales force that interfaces with independent sales representatives and OEMs. The Company's contract manufacturing marketing efforts include participating in industry conferences and publishing articles in trade journals.</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EXPORT SALES</w:t>
      </w:r>
    </w:p>
    <w:p>
      <w:pPr>
        <w:spacing w:after="0" w:line="166" w:lineRule="exact"/>
        <w:rPr>
          <w:sz w:val="20"/>
          <w:szCs w:val="20"/>
          <w:color w:val="auto"/>
        </w:rPr>
      </w:pPr>
    </w:p>
    <w:p>
      <w:pPr>
        <w:ind w:right="3399" w:firstLine="175"/>
        <w:spacing w:after="0" w:line="258" w:lineRule="auto"/>
        <w:rPr>
          <w:sz w:val="20"/>
          <w:szCs w:val="20"/>
          <w:color w:val="auto"/>
        </w:rPr>
      </w:pPr>
      <w:r>
        <w:rPr>
          <w:rFonts w:ascii="Courier New" w:cs="Courier New" w:eastAsia="Courier New" w:hAnsi="Courier New"/>
          <w:sz w:val="15"/>
          <w:szCs w:val="15"/>
          <w:color w:val="auto"/>
        </w:rPr>
        <w:t>Export sales totalled approximately $940 million for fiscal 1996, including approximately $375 million to Europe, $320 million to Asia Pacific and approximately $80 million to Japan. Export sales approximated $750 million and $470 million for fiscal 1995 and 1994, respectively. Export sales are transacted primarily in United States dollars. The Company incurs import duties on sales into Europe of up to 7% of the product value.</w:t>
      </w:r>
    </w:p>
    <w:p>
      <w:pPr>
        <w:spacing w:after="0" w:line="2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598"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BACKLOG</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SEMICONDUCTOR MEMORY PRODUCTS</w:t>
      </w:r>
    </w:p>
    <w:p>
      <w:pPr>
        <w:spacing w:after="0" w:line="166" w:lineRule="exact"/>
        <w:rPr>
          <w:sz w:val="20"/>
          <w:szCs w:val="20"/>
          <w:color w:val="auto"/>
        </w:rPr>
      </w:pPr>
    </w:p>
    <w:p>
      <w:pPr>
        <w:ind w:right="3399" w:firstLine="175"/>
        <w:spacing w:after="0" w:line="247" w:lineRule="auto"/>
        <w:rPr>
          <w:sz w:val="20"/>
          <w:szCs w:val="20"/>
          <w:color w:val="auto"/>
        </w:rPr>
      </w:pPr>
      <w:r>
        <w:rPr>
          <w:rFonts w:ascii="Courier New" w:cs="Courier New" w:eastAsia="Courier New" w:hAnsi="Courier New"/>
          <w:sz w:val="15"/>
          <w:szCs w:val="15"/>
          <w:color w:val="auto"/>
        </w:rPr>
        <w:t>The Company primarily manufactures and markets standard memory products. The rate of booking new orders varies from month to month and depends upon the ordering practices of individual customers. Cyclical industry conditions make it difficult for many customers to enter into long-term, fixed-price contracts. Orders for the Company's semiconductor memory products are typically accepted with acknowledgment that the terms may be adjusted to reflect market conditions at the delivery date. For the foregoing reasons, and because of the possibility of customer changes in delivery schedules or cancellation of orders without significant penalty, the Company does not believe that its backlog of semiconductor memory products as of any particular date is firm or a reliable indicator of actual sales for any succeeding period.</w:t>
      </w:r>
    </w:p>
    <w:p>
      <w:pPr>
        <w:spacing w:after="0" w:line="8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PERSONAL COMPUTER SYSTEMS</w:t>
      </w:r>
    </w:p>
    <w:p>
      <w:pPr>
        <w:spacing w:after="0" w:line="166" w:lineRule="exact"/>
        <w:rPr>
          <w:sz w:val="20"/>
          <w:szCs w:val="20"/>
          <w:color w:val="auto"/>
        </w:rPr>
      </w:pPr>
    </w:p>
    <w:p>
      <w:pPr>
        <w:ind w:right="3399" w:firstLine="175"/>
        <w:spacing w:after="0" w:line="247" w:lineRule="auto"/>
        <w:rPr>
          <w:sz w:val="20"/>
          <w:szCs w:val="20"/>
          <w:color w:val="auto"/>
        </w:rPr>
      </w:pPr>
      <w:r>
        <w:rPr>
          <w:rFonts w:ascii="Courier New" w:cs="Courier New" w:eastAsia="Courier New" w:hAnsi="Courier New"/>
          <w:sz w:val="15"/>
          <w:szCs w:val="15"/>
          <w:color w:val="auto"/>
        </w:rPr>
        <w:t>Levels of unfilled orders for PC systems fluctuate depending upon component availability, demand for certain products and the Company's production schedules. Customers frequently change delivery schedules and orders depending on market conditions and other reasons. Unfilled orders can be canceled by the customer prior to shipment. As of August 29, 1996, the Company had unfilled orders for PC systems of approximately $63 million compared to $46 million as of August 31, 1995. The Company anticipates that substantially all of the unfilled orders as of August 29, 1996, other than those subsequently canceled, will be shipped within 45 days. Due to a customer's ability to cancel or reschedule orders without penalty, industry seasonality and customer buying patterns, unfilled orders may not be representative of actual sales for any succeeding period.</w:t>
      </w:r>
    </w:p>
    <w:p>
      <w:pPr>
        <w:spacing w:after="0" w:line="8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CONTRACT MANUFACTURING</w:t>
      </w:r>
    </w:p>
    <w:p>
      <w:pPr>
        <w:spacing w:after="0" w:line="166" w:lineRule="exact"/>
        <w:rPr>
          <w:sz w:val="20"/>
          <w:szCs w:val="20"/>
          <w:color w:val="auto"/>
        </w:rPr>
      </w:pPr>
    </w:p>
    <w:p>
      <w:pPr>
        <w:ind w:right="3399" w:firstLine="175"/>
        <w:spacing w:after="0" w:line="249" w:lineRule="auto"/>
        <w:rPr>
          <w:sz w:val="20"/>
          <w:szCs w:val="20"/>
          <w:color w:val="auto"/>
        </w:rPr>
      </w:pPr>
      <w:r>
        <w:rPr>
          <w:rFonts w:ascii="Courier New" w:cs="Courier New" w:eastAsia="Courier New" w:hAnsi="Courier New"/>
          <w:sz w:val="15"/>
          <w:szCs w:val="15"/>
          <w:color w:val="auto"/>
        </w:rPr>
        <w:t>Backlog generally consists of purchase orders believed to be firm that are expected to be filled within the next three months. Backlog for the Company's contract manufacturing operations as of August 29, 1996 and August 31, 1995 was approximately $52 million and $95 million, respectively. The primary reason for the decline from August 31, 1995 to August 29, 1996 was the decline in selling prices for semiconductor memory. Because of variations in the timing of orders, delivery intervals, material availability, customer and product mix and delivery schedules, among other reasons, the Company's contract manufacturing backlog as of any particular date may not be representative of actual sales for any succeeding period.</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WARRANTY</w:t>
      </w:r>
    </w:p>
    <w:p>
      <w:pPr>
        <w:spacing w:after="0" w:line="166" w:lineRule="exact"/>
        <w:rPr>
          <w:sz w:val="20"/>
          <w:szCs w:val="20"/>
          <w:color w:val="auto"/>
        </w:rPr>
      </w:pPr>
    </w:p>
    <w:p>
      <w:pPr>
        <w:ind w:right="3499" w:firstLine="175"/>
        <w:spacing w:after="0" w:line="287" w:lineRule="auto"/>
        <w:rPr>
          <w:sz w:val="20"/>
          <w:szCs w:val="20"/>
          <w:color w:val="auto"/>
        </w:rPr>
      </w:pPr>
      <w:r>
        <w:rPr>
          <w:rFonts w:ascii="Courier New" w:cs="Courier New" w:eastAsia="Courier New" w:hAnsi="Courier New"/>
          <w:sz w:val="14"/>
          <w:szCs w:val="14"/>
          <w:color w:val="auto"/>
        </w:rPr>
        <w:t>Consistent with semiconductor memory industry practice, the Company generally provides a limited warranty that its semiconductor memory and contract manufactured products are in compliance with specifications existing at the time of delivery. Liability for a stated warranty period is usually limited to replacement of defective items or return of amounts paid.</w:t>
      </w:r>
    </w:p>
    <w:p>
      <w:pPr>
        <w:spacing w:after="0" w:line="61" w:lineRule="exact"/>
        <w:rPr>
          <w:sz w:val="20"/>
          <w:szCs w:val="20"/>
          <w:color w:val="auto"/>
        </w:rPr>
      </w:pPr>
    </w:p>
    <w:p>
      <w:pPr>
        <w:ind w:right="3399" w:firstLine="175"/>
        <w:spacing w:after="0" w:line="258" w:lineRule="auto"/>
        <w:rPr>
          <w:sz w:val="20"/>
          <w:szCs w:val="20"/>
          <w:color w:val="auto"/>
        </w:rPr>
      </w:pPr>
      <w:r>
        <w:rPr>
          <w:rFonts w:ascii="Courier New" w:cs="Courier New" w:eastAsia="Courier New" w:hAnsi="Courier New"/>
          <w:sz w:val="15"/>
          <w:szCs w:val="15"/>
          <w:color w:val="auto"/>
        </w:rPr>
        <w:t>Customers may generally return PC products within 30 days after shipment for a full refund of the purchase price. The Company generally sells each PC system with the Micron PowerWarranty, a five-year limited warranty on the microprocessor and main memory in its PC systems and a three-year limited warranty on the remaining hardware, covering repair or replacement for defects in workmanship or materials.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SEMICONDUCTOR MEMORY PRODUCTS</w:t>
      </w:r>
    </w:p>
    <w:p>
      <w:pPr>
        <w:spacing w:after="0" w:line="166" w:lineRule="exact"/>
        <w:rPr>
          <w:sz w:val="20"/>
          <w:szCs w:val="20"/>
          <w:color w:val="auto"/>
        </w:rPr>
      </w:pPr>
    </w:p>
    <w:p>
      <w:pPr>
        <w:ind w:right="3399" w:firstLine="175"/>
        <w:spacing w:after="0" w:line="290" w:lineRule="auto"/>
        <w:rPr>
          <w:sz w:val="20"/>
          <w:szCs w:val="20"/>
          <w:color w:val="auto"/>
        </w:rPr>
      </w:pPr>
      <w:r>
        <w:rPr>
          <w:rFonts w:ascii="Courier New" w:cs="Courier New" w:eastAsia="Courier New" w:hAnsi="Courier New"/>
          <w:sz w:val="15"/>
          <w:szCs w:val="15"/>
          <w:color w:val="auto"/>
        </w:rPr>
        <w:t>The Company's semiconductor memory operations experience intense competition from a number of substantially larger foreign and domestic companies, including Fujitsu, Ltd., Hitachi, Ltd., Hyundai</w:t>
      </w:r>
    </w:p>
    <w:p>
      <w:pPr>
        <w:spacing w:after="0" w:line="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598" w:right="1440" w:bottom="1440" w:gutter="0" w:footer="0" w:header="0"/>
        </w:sectPr>
      </w:pPr>
    </w:p>
    <w:bookmarkStart w:id="8" w:name="page9"/>
    <w:bookmarkEnd w:id="8"/>
    <w:p>
      <w:pPr>
        <w:ind w:right="3319"/>
        <w:spacing w:after="0" w:line="247" w:lineRule="auto"/>
        <w:rPr>
          <w:sz w:val="20"/>
          <w:szCs w:val="20"/>
          <w:color w:val="auto"/>
        </w:rPr>
      </w:pPr>
      <w:r>
        <w:rPr>
          <w:rFonts w:ascii="Courier New" w:cs="Courier New" w:eastAsia="Courier New" w:hAnsi="Courier New"/>
          <w:sz w:val="15"/>
          <w:szCs w:val="15"/>
          <w:color w:val="auto"/>
        </w:rPr>
        <w:t>Electronics, Co., Ltd., Mitsubishi Electric Corp., Motorola, Inc., NEC Corp., Samsung Semiconductor, Inc., LG Semicon, Texas Instruments Incorporated and Toshiba Corporation. The Company has captured only a small percentage of the semiconductor memory market and may be at a disadvantage in competing against larger manufacturers with significantly greater capital resources or manufacturing capacities, larger engineer and employee bases, larger portfolios of intellectual property and more diverse product lines. The Company's larger competitors may also have long-term advantages in research and new product development and in their ability to withstand current or future downturns in the semiconductor memory market. In addition, the Company believes its competitors have sufficient resources and manufacturing capacity to influence market pricing.</w:t>
      </w:r>
    </w:p>
    <w:p>
      <w:pPr>
        <w:spacing w:after="0" w:line="88" w:lineRule="exact"/>
        <w:rPr>
          <w:sz w:val="20"/>
          <w:szCs w:val="20"/>
          <w:color w:val="auto"/>
        </w:rPr>
      </w:pPr>
    </w:p>
    <w:p>
      <w:pPr>
        <w:ind w:right="3679" w:firstLine="175"/>
        <w:spacing w:after="0" w:line="252" w:lineRule="auto"/>
        <w:rPr>
          <w:sz w:val="20"/>
          <w:szCs w:val="20"/>
          <w:color w:val="auto"/>
        </w:rPr>
      </w:pPr>
      <w:r>
        <w:rPr>
          <w:rFonts w:ascii="Courier New" w:cs="Courier New" w:eastAsia="Courier New" w:hAnsi="Courier New"/>
          <w:sz w:val="15"/>
          <w:szCs w:val="15"/>
          <w:color w:val="auto"/>
        </w:rPr>
        <w:t>Although recently some of the Company's competitors have announced adjustments to the rate at which they will implement capacity expansion programs, many of the Company's competitors have already added new wafer fabrication facilities, significantly increasing worldwide capacity for the production of semiconductor memory products. Excess supply resulting from increased worldwide semiconductor manufacturing capacity, improved manufacturing yields and changes in demand for semiconductor memory have resulted in downward pricing pressure.</w:t>
      </w:r>
    </w:p>
    <w:p>
      <w:pPr>
        <w:spacing w:after="0" w:line="8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PERSONAL COMPUTER SYSTEMS</w:t>
      </w:r>
    </w:p>
    <w:p>
      <w:pPr>
        <w:spacing w:after="0" w:line="166" w:lineRule="exact"/>
        <w:rPr>
          <w:sz w:val="20"/>
          <w:szCs w:val="20"/>
          <w:color w:val="auto"/>
        </w:rPr>
      </w:pPr>
    </w:p>
    <w:p>
      <w:pPr>
        <w:ind w:right="3399" w:firstLine="175"/>
        <w:spacing w:after="0" w:line="257" w:lineRule="auto"/>
        <w:rPr>
          <w:sz w:val="20"/>
          <w:szCs w:val="20"/>
          <w:color w:val="auto"/>
        </w:rPr>
      </w:pPr>
      <w:r>
        <w:rPr>
          <w:rFonts w:ascii="Courier New" w:cs="Courier New" w:eastAsia="Courier New" w:hAnsi="Courier New"/>
          <w:sz w:val="14"/>
          <w:szCs w:val="14"/>
          <w:color w:val="auto"/>
        </w:rPr>
        <w:t>Competition in the PC industry is based primarily upon performance, price, reliability, service and support. The PC industry is highly competitive and has been characterized by intense pricing pressure, rapid technological advances in hardware and software, frequent introduction of new products, low gross margin percentages and rapidly declining component costs. The Company believes that the rate of growth in worldwide sales of PC systems, particularly in the United States, where the Company sells a substantial majority of its PC systems, has declined and may remain below the growth rates experienced in recent years. Any general decline in demand, or a decline in the rate of increase of demand, for PC systems could increase price competition and could have a material adverse effect on the Company's business and results of operations. To remain competitive, the Company must frequently introduce new products and price its products and offer customers lead times comparable to its competitors. In addition, to remain competitive, MEI generally reduces the selling prices of its PC systems in connection with declines in its cost of components. The Company competes with a number of PC manufacturers which sell their products primarily through direct channels, including Dell Computer, Inc. and Gateway 2000, Inc. The Company also competes with PC manufacturers, such as Apple Computer, Inc., Compaq Computer Corporation, Hewlett Packard Company, International Business Machines Corporation and Toshiba Corporation, among others, which have traditionally sold their products through national and regional distributors, dealers and value added resellers, retail stores and direct sales forces. Many of the Company's PC competitors offer broader product lines and have substantially greater financial, technical, marketing and other resources than the Company and may enjoy access to more favorable component volume purchasing arrangements than does the Company. In addition, as a result of PC industry standards, the Company and its competitors generally use many of the same components, typically from the same set of suppliers, which limits the Company's ability to technologically and functionally differentiate its products. In the future, the Company expects to face increased competition in the U.S. direct sales market from foreign PC suppliers and from indirect domestic suppliers of PC products that decide to implement, or devote additional resources to, a direct sales strategy. In order to gain an increased share of the U.S. PC direct sales market, these competitors may effect a pricing strategy that is more aggressive than the current pricing in the direct sales market. The Company's ability to continue to produce competitively priced products and to maintain existing gross margin percentages will depend, in large part, on the Company's ability to sustain high levels of sales and contain and reduce manufacturing and component costs. Any failure by the Company to transition to new products effectively or to accurately forecast demand for its products may adversely affect the Company's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598" w:right="1440" w:bottom="1440" w:gutter="0" w:footer="0" w:header="0"/>
        </w:sectPr>
      </w:pPr>
    </w:p>
    <w:bookmarkStart w:id="9" w:name="page10"/>
    <w:bookmarkEnd w:id="9"/>
    <w:p>
      <w:pPr>
        <w:ind w:left="100"/>
        <w:spacing w:after="0"/>
        <w:rPr>
          <w:sz w:val="20"/>
          <w:szCs w:val="20"/>
          <w:color w:val="auto"/>
        </w:rPr>
      </w:pPr>
      <w:r>
        <w:rPr>
          <w:rFonts w:ascii="Courier New" w:cs="Courier New" w:eastAsia="Courier New" w:hAnsi="Courier New"/>
          <w:sz w:val="15"/>
          <w:szCs w:val="15"/>
          <w:color w:val="auto"/>
        </w:rPr>
        <w:t>CONTRACT MANUFACTURING</w:t>
      </w:r>
    </w:p>
    <w:p>
      <w:pPr>
        <w:spacing w:after="0" w:line="166" w:lineRule="exact"/>
        <w:rPr>
          <w:sz w:val="20"/>
          <w:szCs w:val="20"/>
          <w:color w:val="auto"/>
        </w:rPr>
      </w:pPr>
    </w:p>
    <w:p>
      <w:pPr>
        <w:ind w:right="3499" w:firstLine="175"/>
        <w:spacing w:after="0" w:line="245" w:lineRule="auto"/>
        <w:rPr>
          <w:sz w:val="20"/>
          <w:szCs w:val="20"/>
          <w:color w:val="auto"/>
        </w:rPr>
      </w:pPr>
      <w:r>
        <w:rPr>
          <w:rFonts w:ascii="Courier New" w:cs="Courier New" w:eastAsia="Courier New" w:hAnsi="Courier New"/>
          <w:sz w:val="15"/>
          <w:szCs w:val="15"/>
          <w:color w:val="auto"/>
        </w:rPr>
        <w:t>The contract manufacturing industry is highly competitive. The Company's contract manufacturing operations compete against numerous domestic and offshore contract manufacturers, including a significant number of local and regional companies. In addition, the Company competes against in- house manufacturing capabilities of certain of its existing customers as well as with certain large computer manufacturers which also offer third-party contract manufacturing services. The Company's contract manufacturing competitors include, among others, Avex Electronics, Inc., Benchmark Electronics, Inc., Celestica Inc., DOVAtron International, Inc., Flextronics International, Group Technologies Corporation, Jabil Circuits, Inc., Sanmina Corporation, SCI Systems, Inc. and Solectron Corporation. Many of the Company's competitors have substantially greater manufacturing, financial and marketing resources than the Company and have manufacturing operations at multiple domestic and overseas locations.</w:t>
      </w:r>
    </w:p>
    <w:p>
      <w:pPr>
        <w:spacing w:after="0" w:line="95" w:lineRule="exact"/>
        <w:rPr>
          <w:sz w:val="20"/>
          <w:szCs w:val="20"/>
          <w:color w:val="auto"/>
        </w:rPr>
      </w:pPr>
    </w:p>
    <w:p>
      <w:pPr>
        <w:ind w:right="3399" w:firstLine="175"/>
        <w:spacing w:after="0" w:line="264" w:lineRule="auto"/>
        <w:rPr>
          <w:sz w:val="20"/>
          <w:szCs w:val="20"/>
          <w:color w:val="auto"/>
        </w:rPr>
      </w:pPr>
      <w:r>
        <w:rPr>
          <w:rFonts w:ascii="Courier New" w:cs="Courier New" w:eastAsia="Courier New" w:hAnsi="Courier New"/>
          <w:sz w:val="14"/>
          <w:szCs w:val="14"/>
          <w:color w:val="auto"/>
        </w:rPr>
        <w:t>The Company believes the significant competitive factors in contract manufacturing include service, quality, price, technology, location and the ability to offer flexible delivery schedules and deliver finished products on an expeditious and timely basis in accordance with customers' expectations. There can be no assurance that the Company will compete successfully in the future with regard to these factors. The Company may be at a disadvantage as to certain competitive factors when compared to manufacturers with greater resources than the Company, substantial offshore facilities or substantially larger domestic facilities. In order to remain competitive, the Company may be required to expand its contract manufacturing capacity and may be required to establish additional international operations. There can be no assurance the Company will be successful in expanding its contract manufacturing operations on a timely and efficient basis. The failure to do so could have a material adverse effect on the Company's business and results of operations.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66" w:lineRule="exact"/>
        <w:rPr>
          <w:sz w:val="20"/>
          <w:szCs w:val="20"/>
          <w:color w:val="auto"/>
        </w:rPr>
      </w:pPr>
    </w:p>
    <w:p>
      <w:pPr>
        <w:ind w:right="3499" w:firstLine="175"/>
        <w:spacing w:after="0" w:line="250" w:lineRule="auto"/>
        <w:rPr>
          <w:sz w:val="20"/>
          <w:szCs w:val="20"/>
          <w:color w:val="auto"/>
        </w:rPr>
      </w:pPr>
      <w:r>
        <w:rPr>
          <w:rFonts w:ascii="Courier New" w:cs="Courier New" w:eastAsia="Courier New" w:hAnsi="Courier New"/>
          <w:sz w:val="15"/>
          <w:szCs w:val="15"/>
          <w:color w:val="auto"/>
        </w:rPr>
        <w:t>Rapid technological change and intense price competition place a premium on both new product and new process development efforts. The Company's continued ability to compete in the semiconductor memory market will depend in part on its ability to continue to develop technologically advanced products and processes, of which there can be no assurance. Research and development is being performed in strategic areas related to the Company's semiconductor expertise. Total research and development expenditures for the Company were $192 million, $129 million and $83 million in fiscal 1996, 1995 and 1994, respectively.</w:t>
      </w:r>
    </w:p>
    <w:p>
      <w:pPr>
        <w:spacing w:after="0" w:line="89" w:lineRule="exact"/>
        <w:rPr>
          <w:sz w:val="20"/>
          <w:szCs w:val="20"/>
          <w:color w:val="auto"/>
        </w:rPr>
      </w:pPr>
    </w:p>
    <w:p>
      <w:pPr>
        <w:ind w:right="3399" w:firstLine="175"/>
        <w:spacing w:after="0" w:line="270" w:lineRule="auto"/>
        <w:rPr>
          <w:sz w:val="20"/>
          <w:szCs w:val="20"/>
          <w:color w:val="auto"/>
        </w:rPr>
      </w:pPr>
      <w:r>
        <w:rPr>
          <w:rFonts w:ascii="Courier New" w:cs="Courier New" w:eastAsia="Courier New" w:hAnsi="Courier New"/>
          <w:sz w:val="14"/>
          <w:szCs w:val="14"/>
          <w:color w:val="auto"/>
        </w:rPr>
        <w:t>Research and development expenses vary primarily with the number of wafers and personnel dedicated to new product and process development. The Company's research and development efforts are currently focused principally on further development of shrink versions of the 16 Meg DRAM. Development efforts are also focused on 16 Meg and 64 Meg SDRAM and a move from .35 (mu) process technology to .25 (mu) and .18 (mu) process technology. Other research and development efforts are currently devoted to design of the 64 Meg, 256 Meg and 1 Gig DRAMs, and design and development of new technologies including remote intelligent communications products and Flash semiconductor memory products.</w:t>
      </w:r>
    </w:p>
    <w:p>
      <w:pPr>
        <w:spacing w:after="0" w:line="76" w:lineRule="exact"/>
        <w:rPr>
          <w:sz w:val="20"/>
          <w:szCs w:val="20"/>
          <w:color w:val="auto"/>
        </w:rPr>
      </w:pPr>
    </w:p>
    <w:p>
      <w:pPr>
        <w:ind w:right="3499" w:firstLine="175"/>
        <w:spacing w:after="0" w:line="258" w:lineRule="auto"/>
        <w:rPr>
          <w:sz w:val="20"/>
          <w:szCs w:val="20"/>
          <w:color w:val="auto"/>
        </w:rPr>
      </w:pPr>
      <w:r>
        <w:rPr>
          <w:rFonts w:ascii="Courier New" w:cs="Courier New" w:eastAsia="Courier New" w:hAnsi="Courier New"/>
          <w:sz w:val="15"/>
          <w:szCs w:val="15"/>
          <w:color w:val="auto"/>
        </w:rPr>
        <w:t>The Company maintains a PC research and development operation which had approximately 30 employees as of August 29, 1996. This research and development group focuses its efforts on PC systems, including: motherboards; core logic; embedded PCs, such as those used in point of sale terminal and telecommunication systems; PC BIOS development; and other PC products the Company may choose to develop.</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AND LICENSES</w:t>
      </w:r>
    </w:p>
    <w:p>
      <w:pPr>
        <w:spacing w:after="0" w:line="166" w:lineRule="exact"/>
        <w:rPr>
          <w:sz w:val="20"/>
          <w:szCs w:val="20"/>
          <w:color w:val="auto"/>
        </w:rPr>
      </w:pPr>
    </w:p>
    <w:p>
      <w:pPr>
        <w:ind w:right="3579" w:firstLine="175"/>
        <w:spacing w:after="0" w:line="290" w:lineRule="auto"/>
        <w:rPr>
          <w:sz w:val="20"/>
          <w:szCs w:val="20"/>
          <w:color w:val="auto"/>
        </w:rPr>
      </w:pPr>
      <w:r>
        <w:rPr>
          <w:rFonts w:ascii="Courier New" w:cs="Courier New" w:eastAsia="Courier New" w:hAnsi="Courier New"/>
          <w:sz w:val="15"/>
          <w:szCs w:val="15"/>
          <w:color w:val="auto"/>
        </w:rPr>
        <w:t>As of August 29, 1996, the Company owned approximately 1,100 United States patents and 85 foreign patents relating to the use of its products and processes. In addition, the Company has</w:t>
      </w:r>
    </w:p>
    <w:p>
      <w:pPr>
        <w:spacing w:after="0" w:line="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598" w:right="1440" w:bottom="1440" w:gutter="0" w:footer="0" w:header="0"/>
        </w:sectPr>
      </w:pPr>
    </w:p>
    <w:bookmarkStart w:id="10" w:name="page11"/>
    <w:bookmarkEnd w:id="10"/>
    <w:p>
      <w:pPr>
        <w:ind w:right="3579"/>
        <w:spacing w:after="0" w:line="298" w:lineRule="auto"/>
        <w:rPr>
          <w:sz w:val="20"/>
          <w:szCs w:val="20"/>
          <w:color w:val="auto"/>
        </w:rPr>
      </w:pPr>
      <w:r>
        <w:rPr>
          <w:rFonts w:ascii="Courier New" w:cs="Courier New" w:eastAsia="Courier New" w:hAnsi="Courier New"/>
          <w:sz w:val="14"/>
          <w:szCs w:val="14"/>
          <w:color w:val="auto"/>
        </w:rPr>
        <w:t>numerous United States and foreign patent applications pending. There can be no assurance that patents will be issued for such applications or that any patents, if issued, will be determined to be valid. The Company intends to continue to seek patent protection on its significant patentable technology.</w:t>
      </w:r>
    </w:p>
    <w:p>
      <w:pPr>
        <w:spacing w:after="0" w:line="53" w:lineRule="exact"/>
        <w:rPr>
          <w:sz w:val="20"/>
          <w:szCs w:val="20"/>
          <w:color w:val="auto"/>
        </w:rPr>
      </w:pPr>
    </w:p>
    <w:p>
      <w:pPr>
        <w:ind w:right="3399" w:firstLine="175"/>
        <w:spacing w:after="0" w:line="256" w:lineRule="auto"/>
        <w:rPr>
          <w:sz w:val="20"/>
          <w:szCs w:val="20"/>
          <w:color w:val="auto"/>
        </w:rPr>
      </w:pPr>
      <w:r>
        <w:rPr>
          <w:rFonts w:ascii="Courier New" w:cs="Courier New" w:eastAsia="Courier New" w:hAnsi="Courier New"/>
          <w:sz w:val="14"/>
          <w:szCs w:val="14"/>
          <w:color w:val="auto"/>
        </w:rPr>
        <w:t>The Company has entered into several cross-license agreements with third parties. The agreements typically require one-time and/or periodic royalty payments and expire at various times. One-time payments are typically capitalized and amortized over the shorter of the estimated useful life of the technology, the patent term or the term of the agreement. Royalty and other product and process technology expenses were $150 million, $203 million and $128 million in fiscal 1996, 1995 and 1994, respectively. In the future, it may be necessary or advantageous for the Company to obtain additional patent licenses or to renew existing license agreements. The Company is unable to predict whether these license agreements can be obtained or renewed on terms acceptable to the Company. Failure to obtain or renew such licenses could result in litigation and the attendant cost and diversion of resources associated therewith and could also result in material changes in the Company's production processes or products. An adverse decision on any such litigation or a requirement to effect material changes could have a material adverse effect on the Company's business and results of operations. See "Item</w:t>
      </w:r>
    </w:p>
    <w:p>
      <w:pPr>
        <w:spacing w:after="0" w:line="10" w:lineRule="exact"/>
        <w:rPr>
          <w:sz w:val="20"/>
          <w:szCs w:val="20"/>
          <w:color w:val="auto"/>
        </w:rPr>
      </w:pPr>
    </w:p>
    <w:p>
      <w:pPr>
        <w:ind w:right="3499" w:firstLine="10"/>
        <w:spacing w:after="0" w:line="307" w:lineRule="auto"/>
        <w:tabs>
          <w:tab w:leader="none" w:pos="262"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Management's Discussion and Analysis of Financial Condition and Results of Operations--Certain Factors--Intellectual Property Matters."</w:t>
      </w:r>
    </w:p>
    <w:p>
      <w:pPr>
        <w:spacing w:after="0" w:line="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66" w:lineRule="exact"/>
        <w:rPr>
          <w:sz w:val="20"/>
          <w:szCs w:val="20"/>
          <w:color w:val="auto"/>
        </w:rPr>
      </w:pPr>
    </w:p>
    <w:p>
      <w:pPr>
        <w:ind w:right="3399" w:firstLine="175"/>
        <w:spacing w:after="0" w:line="267" w:lineRule="auto"/>
        <w:rPr>
          <w:sz w:val="20"/>
          <w:szCs w:val="20"/>
          <w:color w:val="auto"/>
        </w:rPr>
      </w:pPr>
      <w:r>
        <w:rPr>
          <w:rFonts w:ascii="Courier New" w:cs="Courier New" w:eastAsia="Courier New" w:hAnsi="Courier New"/>
          <w:sz w:val="14"/>
          <w:szCs w:val="14"/>
          <w:color w:val="auto"/>
        </w:rPr>
        <w:t>As of August 29, 1996, MTI had approximately 9,900 full-time employees, including approximately 6,900 in the semiconductor memory manufacturing operation (including component recovery operations), 1,950 in the PC operation and 750 in the contract manufacturing operation. Employment levels can vary depending on market conditions and the level of utilization of the Company's production, research and product and process development and administrative support activities. Many of the Company's employees are highly-skilled and the Company's continued success will depend in part upon its ability to retain such employees. None of the Company's employees are represented by a labor organization, the Company has never had a work stoppage as a result of labor issues and the Company considers relations with employees to be satisfactory.</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COMPLIANCE</w:t>
      </w:r>
    </w:p>
    <w:p>
      <w:pPr>
        <w:spacing w:after="0" w:line="166" w:lineRule="exact"/>
        <w:rPr>
          <w:sz w:val="20"/>
          <w:szCs w:val="20"/>
          <w:color w:val="auto"/>
        </w:rPr>
      </w:pPr>
    </w:p>
    <w:p>
      <w:pPr>
        <w:ind w:right="3399" w:firstLine="175"/>
        <w:spacing w:after="0" w:line="249" w:lineRule="auto"/>
        <w:rPr>
          <w:sz w:val="20"/>
          <w:szCs w:val="20"/>
          <w:color w:val="auto"/>
        </w:rPr>
      </w:pPr>
      <w:r>
        <w:rPr>
          <w:rFonts w:ascii="Courier New" w:cs="Courier New" w:eastAsia="Courier New" w:hAnsi="Courier New"/>
          <w:sz w:val="15"/>
          <w:szCs w:val="15"/>
          <w:color w:val="auto"/>
        </w:rPr>
        <w:t>Government regulations impose various environmental controls on the discharge of chemicals and gasses used in the Company's manufacturing processes. The Company believes that its activities conform to present environmental regulations. While the Company has not experienced any materially adverse effects on its operations from government regulations, there can be no assurance that changes in such regulations will not impose the need for additional capital equipment or other compliance requirements. Additionally, the extensive process required to obtain permits for expansion of the Company's facilities may impact how quickly the Company can respond to increases in market demand.</w:t>
      </w:r>
    </w:p>
    <w:p>
      <w:pPr>
        <w:spacing w:after="0" w:line="8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598"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OFFICERS AND DIRECTORS OF THE REGISTRANT</w:t>
      </w:r>
    </w:p>
    <w:p>
      <w:pPr>
        <w:spacing w:after="0" w:line="166" w:lineRule="exact"/>
        <w:rPr>
          <w:sz w:val="20"/>
          <w:szCs w:val="20"/>
          <w:color w:val="auto"/>
        </w:rPr>
      </w:pPr>
    </w:p>
    <w:p>
      <w:pPr>
        <w:ind w:right="3399" w:firstLine="175"/>
        <w:spacing w:after="0" w:line="344" w:lineRule="auto"/>
        <w:rPr>
          <w:sz w:val="20"/>
          <w:szCs w:val="20"/>
          <w:color w:val="auto"/>
        </w:rPr>
      </w:pPr>
      <w:r>
        <w:rPr>
          <w:rFonts w:ascii="Courier New" w:cs="Courier New" w:eastAsia="Courier New" w:hAnsi="Courier New"/>
          <w:sz w:val="15"/>
          <w:szCs w:val="15"/>
          <w:color w:val="auto"/>
        </w:rPr>
        <w:t>The officers and directors of the Company and their ages as of September 30, 1996 are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620" w:type="dxa"/>
            <w:vAlign w:val="bottom"/>
          </w:tcPr>
          <w:p>
            <w:pPr>
              <w:spacing w:after="0"/>
              <w:rPr>
                <w:sz w:val="14"/>
                <w:szCs w:val="14"/>
                <w:color w:val="auto"/>
              </w:rPr>
            </w:pPr>
          </w:p>
        </w:tc>
        <w:tc>
          <w:tcPr>
            <w:tcW w:w="5240" w:type="dxa"/>
            <w:vAlign w:val="bottom"/>
            <w:gridSpan w:val="2"/>
          </w:tcPr>
          <w:p>
            <w:pPr>
              <w:jc w:val="right"/>
              <w:ind w:right="4027"/>
              <w:spacing w:after="0"/>
              <w:rPr>
                <w:sz w:val="20"/>
                <w:szCs w:val="20"/>
                <w:color w:val="auto"/>
              </w:rPr>
            </w:pPr>
            <w:r>
              <w:rPr>
                <w:rFonts w:ascii="Courier New" w:cs="Courier New" w:eastAsia="Courier New" w:hAnsi="Courier New"/>
                <w:sz w:val="15"/>
                <w:szCs w:val="15"/>
                <w:color w:val="auto"/>
              </w:rPr>
              <w:t>AGE POSITION</w:t>
            </w:r>
          </w:p>
        </w:tc>
        <w:tc>
          <w:tcPr>
            <w:tcW w:w="0" w:type="dxa"/>
            <w:vAlign w:val="bottom"/>
          </w:tcPr>
          <w:p>
            <w:pPr>
              <w:spacing w:after="0"/>
              <w:rPr>
                <w:sz w:val="1"/>
                <w:szCs w:val="1"/>
                <w:color w:val="auto"/>
              </w:rPr>
            </w:pPr>
          </w:p>
        </w:tc>
      </w:tr>
      <w:tr>
        <w:trPr>
          <w:trHeight w:val="245"/>
        </w:trPr>
        <w:tc>
          <w:tcPr>
            <w:tcW w:w="5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20" w:type="dxa"/>
            <w:vAlign w:val="bottom"/>
          </w:tcPr>
          <w:p>
            <w:pPr>
              <w:spacing w:after="0"/>
              <w:rPr>
                <w:sz w:val="21"/>
                <w:szCs w:val="21"/>
                <w:color w:val="auto"/>
              </w:rPr>
            </w:pPr>
          </w:p>
        </w:tc>
        <w:tc>
          <w:tcPr>
            <w:tcW w:w="5240" w:type="dxa"/>
            <w:vAlign w:val="bottom"/>
            <w:gridSpan w:val="2"/>
          </w:tcPr>
          <w:p>
            <w:pPr>
              <w:jc w:val="right"/>
              <w:ind w:right="3867"/>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59"/>
        </w:trPr>
        <w:tc>
          <w:tcPr>
            <w:tcW w:w="580" w:type="dxa"/>
            <w:vAlign w:val="bottom"/>
          </w:tcPr>
          <w:p>
            <w:pPr>
              <w:spacing w:after="0"/>
              <w:rPr>
                <w:sz w:val="20"/>
                <w:szCs w:val="20"/>
                <w:color w:val="auto"/>
              </w:rPr>
            </w:pPr>
            <w:r>
              <w:rPr>
                <w:rFonts w:ascii="Courier New" w:cs="Courier New" w:eastAsia="Courier New" w:hAnsi="Courier New"/>
                <w:sz w:val="15"/>
                <w:szCs w:val="15"/>
                <w:color w:val="auto"/>
              </w:rPr>
              <w:t>Steven</w:t>
            </w:r>
          </w:p>
        </w:tc>
        <w:tc>
          <w:tcPr>
            <w:tcW w:w="1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R. Appleton......</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4860" w:type="dxa"/>
            <w:vAlign w:val="bottom"/>
          </w:tcPr>
          <w:p>
            <w:pPr>
              <w:ind w:left="60"/>
              <w:spacing w:after="0"/>
              <w:rPr>
                <w:sz w:val="20"/>
                <w:szCs w:val="20"/>
                <w:color w:val="auto"/>
              </w:rPr>
            </w:pPr>
            <w:r>
              <w:rPr>
                <w:rFonts w:ascii="Courier New" w:cs="Courier New" w:eastAsia="Courier New" w:hAnsi="Courier New"/>
                <w:sz w:val="15"/>
                <w:szCs w:val="15"/>
                <w:color w:val="auto"/>
              </w:rPr>
              <w:t>Chief Executive Officer, President and Chairman of</w:t>
            </w:r>
          </w:p>
        </w:tc>
        <w:tc>
          <w:tcPr>
            <w:tcW w:w="0" w:type="dxa"/>
            <w:vAlign w:val="bottom"/>
          </w:tcPr>
          <w:p>
            <w:pPr>
              <w:spacing w:after="0"/>
              <w:rPr>
                <w:sz w:val="1"/>
                <w:szCs w:val="1"/>
                <w:color w:val="auto"/>
              </w:rPr>
            </w:pPr>
          </w:p>
        </w:tc>
      </w:tr>
      <w:tr>
        <w:trPr>
          <w:trHeight w:val="168"/>
        </w:trPr>
        <w:tc>
          <w:tcPr>
            <w:tcW w:w="580" w:type="dxa"/>
            <w:vAlign w:val="bottom"/>
            <w:vMerge w:val="restart"/>
          </w:tcPr>
          <w:p>
            <w:pPr>
              <w:spacing w:after="0"/>
              <w:rPr>
                <w:sz w:val="20"/>
                <w:szCs w:val="20"/>
                <w:color w:val="auto"/>
              </w:rPr>
            </w:pPr>
            <w:r>
              <w:rPr>
                <w:rFonts w:ascii="Courier New" w:cs="Courier New" w:eastAsia="Courier New" w:hAnsi="Courier New"/>
                <w:sz w:val="15"/>
                <w:szCs w:val="15"/>
                <w:color w:val="auto"/>
              </w:rPr>
              <w:t>Donald</w:t>
            </w:r>
          </w:p>
        </w:tc>
        <w:tc>
          <w:tcPr>
            <w:tcW w:w="1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8"/>
              </w:rPr>
              <w:t>D. Baldwin.......</w:t>
            </w:r>
          </w:p>
        </w:tc>
        <w:tc>
          <w:tcPr>
            <w:tcW w:w="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36</w:t>
            </w:r>
          </w:p>
        </w:tc>
        <w:tc>
          <w:tcPr>
            <w:tcW w:w="48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the Board of Directors</w:t>
            </w:r>
          </w:p>
        </w:tc>
        <w:tc>
          <w:tcPr>
            <w:tcW w:w="0" w:type="dxa"/>
            <w:vAlign w:val="bottom"/>
          </w:tcPr>
          <w:p>
            <w:pPr>
              <w:spacing w:after="0"/>
              <w:rPr>
                <w:sz w:val="1"/>
                <w:szCs w:val="1"/>
                <w:color w:val="auto"/>
              </w:rPr>
            </w:pPr>
          </w:p>
        </w:tc>
      </w:tr>
      <w:tr>
        <w:trPr>
          <w:trHeight w:val="168"/>
        </w:trPr>
        <w:tc>
          <w:tcPr>
            <w:tcW w:w="5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48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Vice President, Sales</w:t>
            </w:r>
          </w:p>
        </w:tc>
        <w:tc>
          <w:tcPr>
            <w:tcW w:w="0" w:type="dxa"/>
            <w:vAlign w:val="bottom"/>
          </w:tcPr>
          <w:p>
            <w:pPr>
              <w:spacing w:after="0"/>
              <w:rPr>
                <w:sz w:val="1"/>
                <w:szCs w:val="1"/>
                <w:color w:val="auto"/>
              </w:rPr>
            </w:pPr>
          </w:p>
        </w:tc>
      </w:tr>
      <w:tr>
        <w:trPr>
          <w:trHeight w:val="168"/>
        </w:trPr>
        <w:tc>
          <w:tcPr>
            <w:tcW w:w="2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Kipp A. Bedard..........</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c>
          <w:tcPr>
            <w:tcW w:w="48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Vice President, Corporate Affairs</w:t>
            </w:r>
          </w:p>
        </w:tc>
        <w:tc>
          <w:tcPr>
            <w:tcW w:w="0" w:type="dxa"/>
            <w:vAlign w:val="bottom"/>
          </w:tcPr>
          <w:p>
            <w:pPr>
              <w:spacing w:after="0"/>
              <w:rPr>
                <w:sz w:val="1"/>
                <w:szCs w:val="1"/>
                <w:color w:val="auto"/>
              </w:rPr>
            </w:pP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Eugene</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H. Cloud.........</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c>
          <w:tcPr>
            <w:tcW w:w="48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Vice President, Marketing</w:t>
            </w:r>
          </w:p>
        </w:tc>
        <w:tc>
          <w:tcPr>
            <w:tcW w:w="0" w:type="dxa"/>
            <w:vAlign w:val="bottom"/>
          </w:tcPr>
          <w:p>
            <w:pPr>
              <w:spacing w:after="0"/>
              <w:rPr>
                <w:sz w:val="1"/>
                <w:szCs w:val="1"/>
                <w:color w:val="auto"/>
              </w:rPr>
            </w:pP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M. Donnelly......</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w:t>
            </w:r>
          </w:p>
        </w:tc>
        <w:tc>
          <w:tcPr>
            <w:tcW w:w="48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Vice President, SRAM Design and Product Engineering</w:t>
            </w:r>
          </w:p>
        </w:tc>
        <w:tc>
          <w:tcPr>
            <w:tcW w:w="0" w:type="dxa"/>
            <w:vAlign w:val="bottom"/>
          </w:tcPr>
          <w:p>
            <w:pPr>
              <w:spacing w:after="0"/>
              <w:rPr>
                <w:sz w:val="1"/>
                <w:szCs w:val="1"/>
                <w:color w:val="auto"/>
              </w:rPr>
            </w:pPr>
          </w:p>
        </w:tc>
      </w:tr>
      <w:tr>
        <w:trPr>
          <w:trHeight w:val="168"/>
        </w:trPr>
        <w:tc>
          <w:tcPr>
            <w:tcW w:w="2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 Mark Durcan..........</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48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Vice President, Process Research &amp; Development</w:t>
            </w:r>
          </w:p>
        </w:tc>
        <w:tc>
          <w:tcPr>
            <w:tcW w:w="0" w:type="dxa"/>
            <w:vAlign w:val="bottom"/>
          </w:tcPr>
          <w:p>
            <w:pPr>
              <w:spacing w:after="0"/>
              <w:rPr>
                <w:sz w:val="1"/>
                <w:szCs w:val="1"/>
                <w:color w:val="auto"/>
              </w:rPr>
            </w:pPr>
          </w:p>
        </w:tc>
      </w:tr>
      <w:tr>
        <w:trPr>
          <w:trHeight w:val="168"/>
        </w:trPr>
        <w:tc>
          <w:tcPr>
            <w:tcW w:w="2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Jay L. Hawkins..........</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c>
          <w:tcPr>
            <w:tcW w:w="48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Vice President, Manufacturing Administration</w:t>
            </w:r>
          </w:p>
        </w:tc>
        <w:tc>
          <w:tcPr>
            <w:tcW w:w="0" w:type="dxa"/>
            <w:vAlign w:val="bottom"/>
          </w:tcPr>
          <w:p>
            <w:pPr>
              <w:spacing w:after="0"/>
              <w:rPr>
                <w:sz w:val="1"/>
                <w:szCs w:val="1"/>
                <w:color w:val="auto"/>
              </w:rPr>
            </w:pP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Edward</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J. Heitzeberg....</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c>
          <w:tcPr>
            <w:tcW w:w="48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Vice President, DRAM Design, Product Engineering</w:t>
            </w:r>
          </w:p>
        </w:tc>
        <w:tc>
          <w:tcPr>
            <w:tcW w:w="0" w:type="dxa"/>
            <w:vAlign w:val="bottom"/>
          </w:tcPr>
          <w:p>
            <w:pPr>
              <w:spacing w:after="0"/>
              <w:rPr>
                <w:sz w:val="1"/>
                <w:szCs w:val="1"/>
                <w:color w:val="auto"/>
              </w:rPr>
            </w:pPr>
          </w:p>
        </w:tc>
      </w:tr>
      <w:tr>
        <w:trPr>
          <w:trHeight w:val="168"/>
        </w:trPr>
        <w:tc>
          <w:tcPr>
            <w:tcW w:w="220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Leo B. Jurica</w:t>
            </w:r>
          </w:p>
        </w:tc>
        <w:tc>
          <w:tcPr>
            <w:tcW w:w="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46</w:t>
            </w:r>
          </w:p>
        </w:tc>
        <w:tc>
          <w:tcPr>
            <w:tcW w:w="48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and Quality Assurance</w:t>
            </w:r>
          </w:p>
        </w:tc>
        <w:tc>
          <w:tcPr>
            <w:tcW w:w="0" w:type="dxa"/>
            <w:vAlign w:val="bottom"/>
          </w:tcPr>
          <w:p>
            <w:pPr>
              <w:spacing w:after="0"/>
              <w:rPr>
                <w:sz w:val="1"/>
                <w:szCs w:val="1"/>
                <w:color w:val="auto"/>
              </w:rPr>
            </w:pPr>
          </w:p>
        </w:tc>
      </w:tr>
      <w:tr>
        <w:trPr>
          <w:trHeight w:val="168"/>
        </w:trPr>
        <w:tc>
          <w:tcPr>
            <w:tcW w:w="2200" w:type="dxa"/>
            <w:vAlign w:val="bottom"/>
            <w:gridSpan w:val="2"/>
            <w:vMerge w:val="continue"/>
          </w:tcPr>
          <w:p>
            <w:pPr>
              <w:jc w:val="right"/>
              <w:ind w:right="27"/>
              <w:spacing w:after="0" w:line="148" w:lineRule="exact"/>
              <w:rPr>
                <w:sz w:val="20"/>
                <w:szCs w:val="20"/>
                <w:color w:val="auto"/>
              </w:rPr>
            </w:pPr>
            <w:r>
              <w:rPr>
                <w:rFonts w:ascii="Courier New" w:cs="Courier New" w:eastAsia="Courier New" w:hAnsi="Courier New"/>
                <w:sz w:val="15"/>
                <w:szCs w:val="15"/>
                <w:color w:val="auto"/>
              </w:rPr>
              <w:t>...........</w:t>
            </w:r>
          </w:p>
        </w:tc>
        <w:tc>
          <w:tcPr>
            <w:tcW w:w="380" w:type="dxa"/>
            <w:vAlign w:val="bottom"/>
            <w:vMerge w:val="continue"/>
          </w:tcPr>
          <w:p>
            <w:pPr>
              <w:spacing w:after="0"/>
              <w:rPr>
                <w:sz w:val="14"/>
                <w:szCs w:val="14"/>
                <w:color w:val="auto"/>
              </w:rPr>
            </w:pPr>
          </w:p>
        </w:tc>
        <w:tc>
          <w:tcPr>
            <w:tcW w:w="48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Vice President, Lehi Operations</w:t>
            </w:r>
          </w:p>
        </w:tc>
        <w:tc>
          <w:tcPr>
            <w:tcW w:w="0" w:type="dxa"/>
            <w:vAlign w:val="bottom"/>
          </w:tcPr>
          <w:p>
            <w:pPr>
              <w:spacing w:after="0"/>
              <w:rPr>
                <w:sz w:val="1"/>
                <w:szCs w:val="1"/>
                <w:color w:val="auto"/>
              </w:rPr>
            </w:pPr>
          </w:p>
        </w:tc>
      </w:tr>
      <w:tr>
        <w:trPr>
          <w:trHeight w:val="168"/>
        </w:trPr>
        <w:tc>
          <w:tcPr>
            <w:tcW w:w="2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Roderic W. Lewis........</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c>
          <w:tcPr>
            <w:tcW w:w="48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6"/>
              </w:rPr>
              <w:t>Vice President, General Counsel and Corporate Secretary</w:t>
            </w:r>
          </w:p>
        </w:tc>
        <w:tc>
          <w:tcPr>
            <w:tcW w:w="0" w:type="dxa"/>
            <w:vAlign w:val="bottom"/>
          </w:tcPr>
          <w:p>
            <w:pPr>
              <w:spacing w:after="0"/>
              <w:rPr>
                <w:sz w:val="1"/>
                <w:szCs w:val="1"/>
                <w:color w:val="auto"/>
              </w:rPr>
            </w:pPr>
          </w:p>
        </w:tc>
      </w:tr>
      <w:tr>
        <w:trPr>
          <w:trHeight w:val="168"/>
        </w:trPr>
        <w:tc>
          <w:tcPr>
            <w:tcW w:w="2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Nancy M. Self...........</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c>
          <w:tcPr>
            <w:tcW w:w="48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Vice President, Administration</w:t>
            </w:r>
          </w:p>
        </w:tc>
        <w:tc>
          <w:tcPr>
            <w:tcW w:w="0" w:type="dxa"/>
            <w:vAlign w:val="bottom"/>
          </w:tcPr>
          <w:p>
            <w:pPr>
              <w:spacing w:after="0"/>
              <w:rPr>
                <w:sz w:val="1"/>
                <w:szCs w:val="1"/>
                <w:color w:val="auto"/>
              </w:rPr>
            </w:pP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Steven</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L. Stout.........</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c>
          <w:tcPr>
            <w:tcW w:w="48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Vice President, Facilities</w:t>
            </w:r>
          </w:p>
        </w:tc>
        <w:tc>
          <w:tcPr>
            <w:tcW w:w="0" w:type="dxa"/>
            <w:vAlign w:val="bottom"/>
          </w:tcPr>
          <w:p>
            <w:pPr>
              <w:spacing w:after="0"/>
              <w:rPr>
                <w:sz w:val="1"/>
                <w:szCs w:val="1"/>
                <w:color w:val="auto"/>
              </w:rPr>
            </w:pP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Wilbur</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G. Stover, Jr. ..</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w:t>
            </w:r>
          </w:p>
        </w:tc>
        <w:tc>
          <w:tcPr>
            <w:tcW w:w="48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Chief Financial Officer and Vice President, Finance</w:t>
            </w:r>
          </w:p>
        </w:tc>
        <w:tc>
          <w:tcPr>
            <w:tcW w:w="0" w:type="dxa"/>
            <w:vAlign w:val="bottom"/>
          </w:tcPr>
          <w:p>
            <w:pPr>
              <w:spacing w:after="0"/>
              <w:rPr>
                <w:sz w:val="1"/>
                <w:szCs w:val="1"/>
                <w:color w:val="auto"/>
              </w:rPr>
            </w:pPr>
          </w:p>
        </w:tc>
      </w:tr>
      <w:tr>
        <w:trPr>
          <w:trHeight w:val="168"/>
        </w:trPr>
        <w:tc>
          <w:tcPr>
            <w:tcW w:w="2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Jerry M. Hess...........</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c>
          <w:tcPr>
            <w:tcW w:w="48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A. Lothrop.......</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c>
          <w:tcPr>
            <w:tcW w:w="48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Thomas</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T. Nicholson.....</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c>
          <w:tcPr>
            <w:tcW w:w="48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68"/>
        </w:trPr>
        <w:tc>
          <w:tcPr>
            <w:tcW w:w="2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Don J. Simplot..........</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w:t>
            </w:r>
          </w:p>
        </w:tc>
        <w:tc>
          <w:tcPr>
            <w:tcW w:w="48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68"/>
        </w:trPr>
        <w:tc>
          <w:tcPr>
            <w:tcW w:w="2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John R. Simplot.........</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w:t>
            </w:r>
          </w:p>
        </w:tc>
        <w:tc>
          <w:tcPr>
            <w:tcW w:w="48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245"/>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rPr>
              <w:t>Gordon C. Smith.........</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c>
          <w:tcPr>
            <w:tcW w:w="486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399" w:firstLine="175"/>
        <w:spacing w:after="0" w:line="247" w:lineRule="auto"/>
        <w:rPr>
          <w:sz w:val="20"/>
          <w:szCs w:val="20"/>
          <w:color w:val="auto"/>
        </w:rPr>
      </w:pPr>
      <w:r>
        <w:rPr>
          <w:rFonts w:ascii="Courier New" w:cs="Courier New" w:eastAsia="Courier New" w:hAnsi="Courier New"/>
          <w:sz w:val="15"/>
          <w:szCs w:val="15"/>
          <w:color w:val="auto"/>
        </w:rPr>
        <w:t>Steven R. Appleton joined MTI in February 1983 and has served in various capacities with the Company and its subsidiaries. Mr. Appleton first became an officer of MTI in August 1989 and has served in various officer positions, including overseeing the Company's semiconductor operations as President and Chief Executive Officer of Micron Semiconductor, Inc. ("MSI"), then a wholly-owned subsidiary of MTI, from July 1992 to November 1994. Except for a nine day period in January 1996, since May 1994 Mr. Appleton has served as a member of MTI's Board of Directors and since September 1994 Mr. Appleton has served as the Chief Executive Officer, President and Chairman of the Board of Directors of MTI. Mr. Appleton also serves as a member of the Board of Directors of MEI. Mr. Appleton holds a BA in Business Management from Boise State University.</w:t>
      </w:r>
    </w:p>
    <w:p>
      <w:pPr>
        <w:spacing w:after="0" w:line="88" w:lineRule="exact"/>
        <w:rPr>
          <w:sz w:val="20"/>
          <w:szCs w:val="20"/>
          <w:color w:val="auto"/>
        </w:rPr>
      </w:pPr>
    </w:p>
    <w:p>
      <w:pPr>
        <w:ind w:right="3499" w:firstLine="175"/>
        <w:spacing w:after="0" w:line="246" w:lineRule="auto"/>
        <w:rPr>
          <w:sz w:val="20"/>
          <w:szCs w:val="20"/>
          <w:color w:val="auto"/>
        </w:rPr>
      </w:pPr>
      <w:r>
        <w:rPr>
          <w:rFonts w:ascii="Courier New" w:cs="Courier New" w:eastAsia="Courier New" w:hAnsi="Courier New"/>
          <w:sz w:val="15"/>
          <w:szCs w:val="15"/>
          <w:color w:val="auto"/>
        </w:rPr>
        <w:t>Donald D. Baldwin joined MTI in April 1984 and has served in various capacities with the Company and its subsidiaries. Mr. Baldwin first became an officer of MTI in May 1991 and has served in various officer positions, including Vice President, Sales of MSI from July 1992 to November 1994.</w:t>
      </w:r>
    </w:p>
    <w:p>
      <w:pPr>
        <w:spacing w:after="0"/>
        <w:rPr>
          <w:sz w:val="20"/>
          <w:szCs w:val="20"/>
          <w:color w:val="auto"/>
        </w:rPr>
      </w:pPr>
      <w:r>
        <w:rPr>
          <w:rFonts w:ascii="Courier New" w:cs="Courier New" w:eastAsia="Courier New" w:hAnsi="Courier New"/>
          <w:sz w:val="15"/>
          <w:szCs w:val="15"/>
          <w:color w:val="auto"/>
        </w:rPr>
        <w:t>Mr. Baldwin has served as Vice President, Sales for MTI since November 1994.</w:t>
      </w:r>
    </w:p>
    <w:p>
      <w:pPr>
        <w:spacing w:after="0"/>
        <w:rPr>
          <w:sz w:val="20"/>
          <w:szCs w:val="20"/>
          <w:color w:val="auto"/>
        </w:rPr>
      </w:pPr>
      <w:r>
        <w:rPr>
          <w:rFonts w:ascii="Courier New" w:cs="Courier New" w:eastAsia="Courier New" w:hAnsi="Courier New"/>
          <w:sz w:val="15"/>
          <w:szCs w:val="15"/>
          <w:color w:val="auto"/>
        </w:rPr>
        <w:t>Mr. Baldwin holds a BA in Marketing from Boise State University.</w:t>
      </w:r>
    </w:p>
    <w:p>
      <w:pPr>
        <w:spacing w:after="0" w:line="140"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5"/>
          <w:szCs w:val="15"/>
          <w:color w:val="auto"/>
        </w:rPr>
        <w:t>Kipp A. Bedard joined MTI in November 1983 and has served in various manufacturing and sales positions with the Company and its subsidiaries. Mr. Bedard first became an officer of MTI in April 1990 and has served in various officer positions, including Vice President, Corporate Affairs of MSI from July 1992 to January 1994. Mr. Bedard has served as Vice President, Corporate Affairs for MTI since January 1994. Mr. Bedard holds a BBA in Accounting from Boise State University.</w:t>
      </w:r>
    </w:p>
    <w:p>
      <w:pPr>
        <w:spacing w:after="0" w:line="82" w:lineRule="exact"/>
        <w:rPr>
          <w:sz w:val="20"/>
          <w:szCs w:val="20"/>
          <w:color w:val="auto"/>
        </w:rPr>
      </w:pPr>
    </w:p>
    <w:p>
      <w:pPr>
        <w:ind w:right="3679" w:firstLine="175"/>
        <w:spacing w:after="0" w:line="298" w:lineRule="auto"/>
        <w:rPr>
          <w:sz w:val="20"/>
          <w:szCs w:val="20"/>
          <w:color w:val="auto"/>
        </w:rPr>
      </w:pPr>
      <w:r>
        <w:rPr>
          <w:rFonts w:ascii="Courier New" w:cs="Courier New" w:eastAsia="Courier New" w:hAnsi="Courier New"/>
          <w:sz w:val="14"/>
          <w:szCs w:val="14"/>
          <w:color w:val="auto"/>
        </w:rPr>
        <w:t>Eugene H. Cloud joined MTI in January 1985 and has served in various capacities with the Company and its subsidiaries. Mr. Cloud first became an officer of MTI in April 1990 and has served in various officer positions, including Vice President, Marketing of MSI from July 1992 to November</w:t>
      </w:r>
    </w:p>
    <w:p>
      <w:pPr>
        <w:spacing w:after="0" w:line="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598"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1994. Mr. Cloud has served as Vice President, Marketing for MTI since November</w:t>
      </w:r>
    </w:p>
    <w:p>
      <w:pPr>
        <w:spacing w:after="0" w:line="36" w:lineRule="exact"/>
        <w:rPr>
          <w:sz w:val="20"/>
          <w:szCs w:val="20"/>
          <w:color w:val="auto"/>
        </w:rPr>
      </w:pPr>
    </w:p>
    <w:p>
      <w:pPr>
        <w:ind w:right="3399"/>
        <w:spacing w:after="0" w:line="346" w:lineRule="auto"/>
        <w:rPr>
          <w:sz w:val="20"/>
          <w:szCs w:val="20"/>
          <w:color w:val="auto"/>
        </w:rPr>
      </w:pPr>
      <w:r>
        <w:rPr>
          <w:rFonts w:ascii="Courier New" w:cs="Courier New" w:eastAsia="Courier New" w:hAnsi="Courier New"/>
          <w:sz w:val="14"/>
          <w:szCs w:val="14"/>
          <w:color w:val="auto"/>
        </w:rPr>
        <w:t>1994. Mr. Cloud holds a BS in Electrical Engineering from Texas A&amp;M University and a MS in Electrical Engineering from Arizona State University.</w:t>
      </w:r>
    </w:p>
    <w:p>
      <w:pPr>
        <w:spacing w:after="0" w:line="21" w:lineRule="exact"/>
        <w:rPr>
          <w:sz w:val="20"/>
          <w:szCs w:val="20"/>
          <w:color w:val="auto"/>
        </w:rPr>
      </w:pPr>
    </w:p>
    <w:p>
      <w:pPr>
        <w:ind w:right="3399" w:firstLine="175"/>
        <w:spacing w:after="0" w:line="273" w:lineRule="auto"/>
        <w:rPr>
          <w:sz w:val="20"/>
          <w:szCs w:val="20"/>
          <w:color w:val="auto"/>
        </w:rPr>
      </w:pPr>
      <w:r>
        <w:rPr>
          <w:rFonts w:ascii="Courier New" w:cs="Courier New" w:eastAsia="Courier New" w:hAnsi="Courier New"/>
          <w:sz w:val="14"/>
          <w:szCs w:val="14"/>
          <w:color w:val="auto"/>
        </w:rPr>
        <w:t>Robert M. Donnelly joined MTI in September 1988 and has served in various technical positions with the Company and its subsidiaries. Mr. Donnelly first became an officer of MTI in August 1989 and has served in various officer positions, including Vice President, SRAM Products Group of MSI from July 1992 to November 1994. Mr. Donnelly was named Vice President, SRAM Products Group for MTI in November 1994. Mr. Donnelly has served as Vice President, SRAM Design and Product Engineering for MTI since October 1995. Mr. Donnelly holds a BS in Electrical Engineering from the University of Louisville.</w:t>
      </w:r>
    </w:p>
    <w:p>
      <w:pPr>
        <w:spacing w:after="0" w:line="71" w:lineRule="exact"/>
        <w:rPr>
          <w:sz w:val="20"/>
          <w:szCs w:val="20"/>
          <w:color w:val="auto"/>
        </w:rPr>
      </w:pPr>
    </w:p>
    <w:p>
      <w:pPr>
        <w:ind w:right="3399" w:firstLine="175"/>
        <w:spacing w:after="0" w:line="258" w:lineRule="auto"/>
        <w:rPr>
          <w:sz w:val="20"/>
          <w:szCs w:val="20"/>
          <w:color w:val="auto"/>
        </w:rPr>
      </w:pPr>
      <w:r>
        <w:rPr>
          <w:rFonts w:ascii="Courier New" w:cs="Courier New" w:eastAsia="Courier New" w:hAnsi="Courier New"/>
          <w:sz w:val="15"/>
          <w:szCs w:val="15"/>
          <w:color w:val="auto"/>
        </w:rPr>
        <w:t>D. Mark Durcan joined MTI in 1984 as a diffusion engineer. Since that time he has held a series of positions of increasing responsibility with the Company and its subsidiaries, including Manager of Process Research and Development. Since July 1996, Mr. Durcan has served as Vice President, Process Research and Development. Mr. Durcan holds a BS and MS in Chemical Engineering from Rice University.</w:t>
      </w:r>
    </w:p>
    <w:p>
      <w:pPr>
        <w:spacing w:after="0" w:line="81" w:lineRule="exact"/>
        <w:rPr>
          <w:sz w:val="20"/>
          <w:szCs w:val="20"/>
          <w:color w:val="auto"/>
        </w:rPr>
      </w:pPr>
    </w:p>
    <w:p>
      <w:pPr>
        <w:ind w:right="3399" w:firstLine="175"/>
        <w:spacing w:after="0" w:line="280" w:lineRule="auto"/>
        <w:rPr>
          <w:sz w:val="20"/>
          <w:szCs w:val="20"/>
          <w:color w:val="auto"/>
        </w:rPr>
      </w:pPr>
      <w:r>
        <w:rPr>
          <w:rFonts w:ascii="Courier New" w:cs="Courier New" w:eastAsia="Courier New" w:hAnsi="Courier New"/>
          <w:sz w:val="14"/>
          <w:szCs w:val="14"/>
          <w:color w:val="auto"/>
        </w:rPr>
        <w:t>Jay L. Hawkins joined MTI in March 1984 and has served in various manufacturing positions for the Company and its subsidiaries, including Director of Manufacturing for MSI from July 1992 to November 1994 and Director of Manufacturing for MTI from November 1994 to February 1996. Since February 1996, Mr. Hawkins has served as Vice President, Manufacturing Administration. Mr. Hawkins holds a BBA in Marketing from Boise State University.</w:t>
      </w:r>
    </w:p>
    <w:p>
      <w:pPr>
        <w:spacing w:after="0" w:line="67" w:lineRule="exact"/>
        <w:rPr>
          <w:sz w:val="20"/>
          <w:szCs w:val="20"/>
          <w:color w:val="auto"/>
        </w:rPr>
      </w:pPr>
    </w:p>
    <w:p>
      <w:pPr>
        <w:ind w:right="3399" w:firstLine="175"/>
        <w:spacing w:after="0" w:line="248" w:lineRule="auto"/>
        <w:rPr>
          <w:sz w:val="20"/>
          <w:szCs w:val="20"/>
          <w:color w:val="auto"/>
        </w:rPr>
      </w:pPr>
      <w:r>
        <w:rPr>
          <w:rFonts w:ascii="Courier New" w:cs="Courier New" w:eastAsia="Courier New" w:hAnsi="Courier New"/>
          <w:sz w:val="15"/>
          <w:szCs w:val="15"/>
          <w:color w:val="auto"/>
        </w:rPr>
        <w:t>Edward J. Heitzeberg joined MTI in January 1984 and has served in various technical positions with the Company and its subsidiaries. Mr. Heitzeberg first became an officer of MTI in August 1989 and has served in various officer positions, including Vice President, Quality of MSI from July 1992 to November 1994 and Vice President, Quality of MTI from November 1994 to October 1995. Since November 1994, Mr. Heitzeberg has performed the duties of Vice President, DRAM Design, Product Engineering and Quality Assurance of MTI. From February 1996 through September 1996, Mr. Heitzeberg served as a member of the MTI Board of Directors. Mr. Heitzeberg holds a BS in Electrical Engineering from the University of Texas and a MS in Electrical Engineering from Southern Methodist University.</w:t>
      </w:r>
    </w:p>
    <w:p>
      <w:pPr>
        <w:spacing w:after="0" w:line="87" w:lineRule="exact"/>
        <w:rPr>
          <w:sz w:val="20"/>
          <w:szCs w:val="20"/>
          <w:color w:val="auto"/>
        </w:rPr>
      </w:pPr>
    </w:p>
    <w:p>
      <w:pPr>
        <w:jc w:val="both"/>
        <w:ind w:right="3579" w:firstLine="175"/>
        <w:spacing w:after="0" w:line="273" w:lineRule="auto"/>
        <w:rPr>
          <w:sz w:val="20"/>
          <w:szCs w:val="20"/>
          <w:color w:val="auto"/>
        </w:rPr>
      </w:pPr>
      <w:r>
        <w:rPr>
          <w:rFonts w:ascii="Courier New" w:cs="Courier New" w:eastAsia="Courier New" w:hAnsi="Courier New"/>
          <w:sz w:val="15"/>
          <w:szCs w:val="15"/>
          <w:color w:val="auto"/>
        </w:rPr>
        <w:t>Leo B. Jurica joined MTI in March 1983 and has served in various positions for the Company and its subsidiaries, including Manager of Special Projects for MSI from July 1992 to November 1994. Since February 1996, Mr. Jurica has served as Vice President, Lehi Operations for MTI.</w:t>
      </w:r>
    </w:p>
    <w:p>
      <w:pPr>
        <w:spacing w:after="0" w:line="68"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5"/>
          <w:szCs w:val="15"/>
          <w:color w:val="auto"/>
        </w:rPr>
        <w:t>Roderic W. Lewis joined MTI in 1991 as Associate General Counsel. He became Assistant General Counsel in 1993. From April 1995 to July 1996, Mr. Lewis served as Vice President, General Counsel and Corporate Secretary for MEI. Since July 1996, Mr. Lewis has served as Vice President, General Counsel and Corporate Secretary for MTI. Mr. Lewis holds a BA in Economics and Asian Studies from Brigham Young University and a JD from Columbia University School of Law.</w:t>
      </w:r>
    </w:p>
    <w:p>
      <w:pPr>
        <w:spacing w:after="0" w:line="82" w:lineRule="exact"/>
        <w:rPr>
          <w:sz w:val="20"/>
          <w:szCs w:val="20"/>
          <w:color w:val="auto"/>
        </w:rPr>
      </w:pPr>
    </w:p>
    <w:p>
      <w:pPr>
        <w:ind w:right="3499" w:firstLine="175"/>
        <w:spacing w:after="0" w:line="287" w:lineRule="auto"/>
        <w:rPr>
          <w:sz w:val="20"/>
          <w:szCs w:val="20"/>
          <w:color w:val="auto"/>
        </w:rPr>
      </w:pPr>
      <w:r>
        <w:rPr>
          <w:rFonts w:ascii="Courier New" w:cs="Courier New" w:eastAsia="Courier New" w:hAnsi="Courier New"/>
          <w:sz w:val="14"/>
          <w:szCs w:val="14"/>
          <w:color w:val="auto"/>
        </w:rPr>
        <w:t>Nancy M. Self joined MTI in February 1988 as a benefits specialist. In July 1988, she was named Benefits Manager and served in that position until July 1989, when she was named Risk Manager. Since March 1993, Ms. Self has served as Vice President, Administration. Ms. Self holds a BA in Consumer Economics from Idaho State University and an MBA from Boise State University.</w:t>
      </w:r>
    </w:p>
    <w:p>
      <w:pPr>
        <w:spacing w:after="0" w:line="61" w:lineRule="exact"/>
        <w:rPr>
          <w:sz w:val="20"/>
          <w:szCs w:val="20"/>
          <w:color w:val="auto"/>
        </w:rPr>
      </w:pPr>
    </w:p>
    <w:p>
      <w:pPr>
        <w:ind w:right="3579" w:firstLine="175"/>
        <w:spacing w:after="0" w:line="298" w:lineRule="auto"/>
        <w:rPr>
          <w:sz w:val="20"/>
          <w:szCs w:val="20"/>
          <w:color w:val="auto"/>
        </w:rPr>
      </w:pPr>
      <w:r>
        <w:rPr>
          <w:rFonts w:ascii="Courier New" w:cs="Courier New" w:eastAsia="Courier New" w:hAnsi="Courier New"/>
          <w:sz w:val="14"/>
          <w:szCs w:val="14"/>
          <w:color w:val="auto"/>
        </w:rPr>
        <w:t>Steven L. Stout joined MTI in September 1983 and has served in various positions for the Company and its subsidiaries, including Plant Operations Manager for MSI from January 1993 to November 1994. Since February 1996, Mr. Stout has served as Vice President, Facilities for MTI.</w:t>
      </w:r>
    </w:p>
    <w:p>
      <w:pPr>
        <w:spacing w:after="0" w:line="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598" w:right="1440" w:bottom="1440" w:gutter="0" w:footer="0" w:header="0"/>
        </w:sectPr>
      </w:pPr>
    </w:p>
    <w:bookmarkStart w:id="13" w:name="page14"/>
    <w:bookmarkEnd w:id="13"/>
    <w:p>
      <w:pPr>
        <w:ind w:right="3499" w:firstLine="175"/>
        <w:spacing w:after="0" w:line="252" w:lineRule="auto"/>
        <w:rPr>
          <w:sz w:val="20"/>
          <w:szCs w:val="20"/>
          <w:color w:val="auto"/>
        </w:rPr>
      </w:pPr>
      <w:r>
        <w:rPr>
          <w:rFonts w:ascii="Courier New" w:cs="Courier New" w:eastAsia="Courier New" w:hAnsi="Courier New"/>
          <w:sz w:val="15"/>
          <w:szCs w:val="15"/>
          <w:color w:val="auto"/>
        </w:rPr>
        <w:t>Wilbur G. Stover, Jr. joined MTI in June 1989 and has served in various financial positions with the Company and its subsidiaries, including Controller from February 1990 to July 1992 and Vice President, Finance and Chief Financial Officer of MSI from August 1992 to September 1994. Since September 1994, Mr. Stover has served as MTI's Chief Financial Officer and Vice President, Finance. From October 1994 through September 1996, Mr. Stover served as a member of the MTI Board of Directors. Mr. Stover holds a BA in Business Administration from Washington State University.</w:t>
      </w:r>
    </w:p>
    <w:p>
      <w:pPr>
        <w:spacing w:after="0" w:line="86" w:lineRule="exact"/>
        <w:rPr>
          <w:sz w:val="20"/>
          <w:szCs w:val="20"/>
          <w:color w:val="auto"/>
        </w:rPr>
      </w:pPr>
    </w:p>
    <w:p>
      <w:pPr>
        <w:ind w:right="3499" w:firstLine="175"/>
        <w:spacing w:after="0" w:line="320" w:lineRule="auto"/>
        <w:rPr>
          <w:sz w:val="20"/>
          <w:szCs w:val="20"/>
          <w:color w:val="auto"/>
        </w:rPr>
      </w:pPr>
      <w:r>
        <w:rPr>
          <w:rFonts w:ascii="Courier New" w:cs="Courier New" w:eastAsia="Courier New" w:hAnsi="Courier New"/>
          <w:sz w:val="14"/>
          <w:szCs w:val="14"/>
          <w:color w:val="auto"/>
        </w:rPr>
        <w:t>Jerry M. Hess has served as Chairman and Chief Executive Officer of J.M. Hess Construction Company, Inc. since 1959. Mr. Hess was elected to the Board of Directors of MTI in 1994. Mr. Hess also serves as a director of MEI.</w:t>
      </w:r>
    </w:p>
    <w:p>
      <w:pPr>
        <w:spacing w:after="0" w:line="38"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5"/>
          <w:szCs w:val="15"/>
          <w:color w:val="auto"/>
        </w:rPr>
        <w:t>Robert A. Lothrop served as Senior Vice President of the J.R. Simplot Company, a food processing, fertilizer and agricultural chemicals manufacturing company, from January 1986 until his retirement in January 1991. He was elected to the Board of Directors of MTI in 1986. In 1992, he was elected to the Board of Directors of MSI and resigned as a director of MTI. Mr. Lothrop was re-elected to MTI's Board of Directors in 1994. Mr. Lothrop also serves as a director of MEI.</w:t>
      </w:r>
    </w:p>
    <w:p>
      <w:pPr>
        <w:spacing w:after="0" w:line="82" w:lineRule="exact"/>
        <w:rPr>
          <w:sz w:val="20"/>
          <w:szCs w:val="20"/>
          <w:color w:val="auto"/>
        </w:rPr>
      </w:pPr>
    </w:p>
    <w:p>
      <w:pPr>
        <w:ind w:right="3399" w:firstLine="175"/>
        <w:spacing w:after="0" w:line="273" w:lineRule="auto"/>
        <w:rPr>
          <w:sz w:val="20"/>
          <w:szCs w:val="20"/>
          <w:color w:val="auto"/>
        </w:rPr>
      </w:pPr>
      <w:r>
        <w:rPr>
          <w:rFonts w:ascii="Courier New" w:cs="Courier New" w:eastAsia="Courier New" w:hAnsi="Courier New"/>
          <w:sz w:val="15"/>
          <w:szCs w:val="15"/>
          <w:color w:val="auto"/>
        </w:rPr>
        <w:t>Thomas T. Nicholson serves as Vice President of Honda of Seattle. Mr. Nicholson also serves as President of Mountain View Equipment, a farm equipment dealership, and is a partner of CL&amp;T Land &amp; Livestock. He has served on MTI's Board of Directors since 1980.</w:t>
      </w:r>
    </w:p>
    <w:p>
      <w:pPr>
        <w:spacing w:after="0" w:line="68" w:lineRule="exact"/>
        <w:rPr>
          <w:sz w:val="20"/>
          <w:szCs w:val="20"/>
          <w:color w:val="auto"/>
        </w:rPr>
      </w:pPr>
    </w:p>
    <w:p>
      <w:pPr>
        <w:ind w:right="3499" w:firstLine="175"/>
        <w:spacing w:after="0" w:line="280" w:lineRule="auto"/>
        <w:rPr>
          <w:sz w:val="20"/>
          <w:szCs w:val="20"/>
          <w:color w:val="auto"/>
        </w:rPr>
      </w:pPr>
      <w:r>
        <w:rPr>
          <w:rFonts w:ascii="Courier New" w:cs="Courier New" w:eastAsia="Courier New" w:hAnsi="Courier New"/>
          <w:sz w:val="14"/>
          <w:szCs w:val="14"/>
          <w:color w:val="auto"/>
        </w:rPr>
        <w:t>Don J. Simplot served as the President of Simplot Financial Corporation, a wholly-owned subsidiary of the J.R. Simplot Company, from February 1985 until January 1992. In April 1994, Mr. Don J. Simplot was appointed as a member of the Office of the Chairman of the J.R. Simplot Company. He has served on the Board of Directors of MTI since 1982. Mr. Don Simplot is also a Director of AirSensors, Inc., an alternative fuel conversion equipment company.</w:t>
      </w:r>
    </w:p>
    <w:p>
      <w:pPr>
        <w:spacing w:after="0" w:line="67" w:lineRule="exact"/>
        <w:rPr>
          <w:sz w:val="20"/>
          <w:szCs w:val="20"/>
          <w:color w:val="auto"/>
        </w:rPr>
      </w:pPr>
    </w:p>
    <w:p>
      <w:pPr>
        <w:jc w:val="both"/>
        <w:ind w:right="3399" w:firstLine="175"/>
        <w:spacing w:after="0" w:line="264" w:lineRule="auto"/>
        <w:rPr>
          <w:sz w:val="20"/>
          <w:szCs w:val="20"/>
          <w:color w:val="auto"/>
        </w:rPr>
      </w:pPr>
      <w:r>
        <w:rPr>
          <w:rFonts w:ascii="Courier New" w:cs="Courier New" w:eastAsia="Courier New" w:hAnsi="Courier New"/>
          <w:sz w:val="15"/>
          <w:szCs w:val="15"/>
          <w:color w:val="auto"/>
        </w:rPr>
        <w:t>John R. Simplot founded and served as the Chairman of the Board of Directors of the J.R. Simplot Company prior to his retirement in April 1994. Mr. John R. Simplot currently serves as Chairman Emeritus of the J.R. Simplot Company. He has served on MTI's Board of Directors since 1980. Mr. Simplot also serves as a director of MEI.</w:t>
      </w:r>
    </w:p>
    <w:p>
      <w:pPr>
        <w:spacing w:after="0" w:line="75" w:lineRule="exact"/>
        <w:rPr>
          <w:sz w:val="20"/>
          <w:szCs w:val="20"/>
          <w:color w:val="auto"/>
        </w:rPr>
      </w:pPr>
    </w:p>
    <w:p>
      <w:pPr>
        <w:ind w:right="3499" w:firstLine="175"/>
        <w:spacing w:after="0" w:line="287" w:lineRule="auto"/>
        <w:rPr>
          <w:sz w:val="20"/>
          <w:szCs w:val="20"/>
          <w:color w:val="auto"/>
        </w:rPr>
      </w:pPr>
      <w:r>
        <w:rPr>
          <w:rFonts w:ascii="Courier New" w:cs="Courier New" w:eastAsia="Courier New" w:hAnsi="Courier New"/>
          <w:sz w:val="14"/>
          <w:szCs w:val="14"/>
          <w:color w:val="auto"/>
        </w:rPr>
        <w:t>Gordon C. Smith served in various management positions from July 1980 until January 1992 for Simplot Financial Corporation, a wholly-owned subsidiary of the J.R. Simplot Company. From May 1988 until his retirement in March 1994, Mr. Smith served as the President and Chief Executive Officer of the J.R. Simplot Company. He was elected to the Board of Directors of MTI in 1990.</w:t>
      </w:r>
    </w:p>
    <w:p>
      <w:pPr>
        <w:spacing w:after="0" w:line="61" w:lineRule="exact"/>
        <w:rPr>
          <w:sz w:val="20"/>
          <w:szCs w:val="20"/>
          <w:color w:val="auto"/>
        </w:rPr>
      </w:pPr>
    </w:p>
    <w:p>
      <w:pPr>
        <w:ind w:right="3399" w:firstLine="175"/>
        <w:spacing w:after="0" w:line="267" w:lineRule="auto"/>
        <w:rPr>
          <w:sz w:val="20"/>
          <w:szCs w:val="20"/>
          <w:color w:val="auto"/>
        </w:rPr>
      </w:pPr>
      <w:r>
        <w:rPr>
          <w:rFonts w:ascii="Courier New" w:cs="Courier New" w:eastAsia="Courier New" w:hAnsi="Courier New"/>
          <w:sz w:val="14"/>
          <w:szCs w:val="14"/>
          <w:color w:val="auto"/>
        </w:rPr>
        <w:t>Effective as of September 29, 1996, Edward J. Heitzeberg, Tyler A. Lowrey and Wilbur G. Stover, Jr. resigned as directors of MTI. The Board of Directors of MTI has formed a nominating committee to identify potential independent directors who have outside industry expertise and experience. Mr. Stover continues to serve as Chief Financial Officer and Vice President, Finance, and Mr. Heitzeberg remains as Vice President, DRAM Design, Product Engineering and Quality Assurance. Mr. Lowrey, who formerly served as Chief Operations Officer of the Company, is currently expected to focus his efforts on research and development of advanced process technology. See "Item 7. Management's Discussion and Analysis of Financial Condition and Results of Operations-- Certain Factors--Dependence on Key Personnel."</w:t>
      </w:r>
    </w:p>
    <w:p>
      <w:pPr>
        <w:spacing w:after="0" w:line="78" w:lineRule="exact"/>
        <w:rPr>
          <w:sz w:val="20"/>
          <w:szCs w:val="20"/>
          <w:color w:val="auto"/>
        </w:rPr>
      </w:pPr>
    </w:p>
    <w:p>
      <w:pPr>
        <w:jc w:val="both"/>
        <w:ind w:right="3399" w:firstLine="175"/>
        <w:spacing w:after="0" w:line="290" w:lineRule="auto"/>
        <w:rPr>
          <w:sz w:val="20"/>
          <w:szCs w:val="20"/>
          <w:color w:val="auto"/>
        </w:rPr>
      </w:pPr>
      <w:r>
        <w:rPr>
          <w:rFonts w:ascii="Courier New" w:cs="Courier New" w:eastAsia="Courier New" w:hAnsi="Courier New"/>
          <w:sz w:val="15"/>
          <w:szCs w:val="15"/>
          <w:color w:val="auto"/>
        </w:rPr>
        <w:t>There is no family relationship between any director or executive officer of the Company, except between John R. Simplot and Don J. Simplot, who are father and son, respectively.</w:t>
      </w:r>
    </w:p>
    <w:p>
      <w:pPr>
        <w:spacing w:after="0" w:line="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598"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ITEM 2. PROPERTIES</w:t>
      </w:r>
    </w:p>
    <w:p>
      <w:pPr>
        <w:spacing w:after="0" w:line="166" w:lineRule="exact"/>
        <w:rPr>
          <w:sz w:val="20"/>
          <w:szCs w:val="20"/>
          <w:color w:val="auto"/>
        </w:rPr>
      </w:pPr>
    </w:p>
    <w:p>
      <w:pPr>
        <w:ind w:right="3399" w:firstLine="175"/>
        <w:spacing w:after="0" w:line="276" w:lineRule="auto"/>
        <w:rPr>
          <w:sz w:val="20"/>
          <w:szCs w:val="20"/>
          <w:color w:val="auto"/>
        </w:rPr>
      </w:pPr>
      <w:r>
        <w:rPr>
          <w:rFonts w:ascii="Courier New" w:cs="Courier New" w:eastAsia="Courier New" w:hAnsi="Courier New"/>
          <w:sz w:val="14"/>
          <w:szCs w:val="14"/>
          <w:color w:val="auto"/>
        </w:rPr>
        <w:t>The Company's principal semiconductor manufacturing, engineering, administrative, and support facilities are located on an approximately 820 acre site in Boise, Idaho. All facilities have been constructed since 1981 and are owned by the Company. The Company has approximately 1.9 million square feet of building space at this primary site. Of the total, approximately 515,000 square feet is production space, 571,000 square feet is facility support space, and 808,000 square feet is office and other space.</w:t>
      </w:r>
    </w:p>
    <w:p>
      <w:pPr>
        <w:spacing w:after="0" w:line="69" w:lineRule="exact"/>
        <w:rPr>
          <w:sz w:val="20"/>
          <w:szCs w:val="20"/>
          <w:color w:val="auto"/>
        </w:rPr>
      </w:pPr>
    </w:p>
    <w:p>
      <w:pPr>
        <w:ind w:right="3399" w:firstLine="175"/>
        <w:spacing w:after="0" w:line="267" w:lineRule="auto"/>
        <w:rPr>
          <w:sz w:val="20"/>
          <w:szCs w:val="20"/>
          <w:color w:val="auto"/>
        </w:rPr>
      </w:pPr>
      <w:r>
        <w:rPr>
          <w:rFonts w:ascii="Courier New" w:cs="Courier New" w:eastAsia="Courier New" w:hAnsi="Courier New"/>
          <w:sz w:val="14"/>
          <w:szCs w:val="14"/>
          <w:color w:val="auto"/>
        </w:rPr>
        <w:t>The Company's principal PC manufacturing, contract manufacturing and component recovery operations are located on a 100 acre site in Nampa, Idaho. All facilities are owned by the Company. The Company has approximately 577,000 square feet of building space at the Nampa site. Of the total, approximately 136,000 square feet is PC manufacturing space, 146,000 square feet is contract manufacturing space, 40,000 square feet is component recovery space, and the balance is office and other space. The Company has a 60,000 square feet leased facility in Minneapolis, Minnesota for sales, support and administration of PC operations as well as a 61,000 square foot leased facility in Durham, North Carolina, with approximately 43,000 square feet for contract manufacturing space and 18,000 square feet for office and other space.</w:t>
      </w:r>
    </w:p>
    <w:p>
      <w:pPr>
        <w:spacing w:after="0" w:line="78"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5"/>
          <w:szCs w:val="15"/>
          <w:color w:val="auto"/>
        </w:rPr>
        <w:t>In fiscal 1995 the Company initiated construction of an approximate 2 million square foot semiconductor memory manufacturing facility in Lehi, Utah. The completion of the Lehi facility is on indefinite hold. As of August 29, 1996, the Company had incurred construction costs of approximately $600 million to build the facility. Market conditions for semiconductor memory products will dictate if and when the Lehi complex is completed and production begins.</w:t>
      </w:r>
    </w:p>
    <w:p>
      <w:pPr>
        <w:spacing w:after="0" w:line="82" w:lineRule="exact"/>
        <w:rPr>
          <w:sz w:val="20"/>
          <w:szCs w:val="20"/>
          <w:color w:val="auto"/>
        </w:rPr>
      </w:pPr>
    </w:p>
    <w:p>
      <w:pPr>
        <w:jc w:val="both"/>
        <w:ind w:right="3839" w:firstLine="175"/>
        <w:spacing w:after="0" w:line="381" w:lineRule="auto"/>
        <w:rPr>
          <w:sz w:val="20"/>
          <w:szCs w:val="20"/>
          <w:color w:val="auto"/>
        </w:rPr>
      </w:pPr>
      <w:r>
        <w:rPr>
          <w:rFonts w:ascii="Courier New" w:cs="Courier New" w:eastAsia="Courier New" w:hAnsi="Courier New"/>
          <w:sz w:val="14"/>
          <w:szCs w:val="14"/>
          <w:color w:val="auto"/>
        </w:rPr>
        <w:t>Equipment with a book value of approximately $301 million is pledged as collateral for outstanding debt and capital leases as of August 29, 1996.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66" w:lineRule="exact"/>
        <w:rPr>
          <w:sz w:val="20"/>
          <w:szCs w:val="20"/>
          <w:color w:val="auto"/>
        </w:rPr>
      </w:pPr>
    </w:p>
    <w:p>
      <w:pPr>
        <w:ind w:right="3399" w:firstLine="175"/>
        <w:spacing w:after="0" w:line="264" w:lineRule="auto"/>
        <w:rPr>
          <w:sz w:val="20"/>
          <w:szCs w:val="20"/>
          <w:color w:val="auto"/>
        </w:rPr>
      </w:pPr>
      <w:r>
        <w:rPr>
          <w:rFonts w:ascii="Courier New" w:cs="Courier New" w:eastAsia="Courier New" w:hAnsi="Courier New"/>
          <w:sz w:val="15"/>
          <w:szCs w:val="15"/>
          <w:color w:val="auto"/>
        </w:rPr>
        <w:t>The Company is a party in various legal actions arising out of the normal course of business, none of which is expected to have a material effect on the Company's business and results of operations. See "Item 7. Management's Discussion and Analysis of Financial Condition and Results of Operations-- Certain Factors."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66" w:lineRule="exact"/>
        <w:rPr>
          <w:sz w:val="20"/>
          <w:szCs w:val="20"/>
          <w:color w:val="auto"/>
        </w:rPr>
      </w:pPr>
    </w:p>
    <w:p>
      <w:pPr>
        <w:ind w:right="3759" w:firstLine="175"/>
        <w:spacing w:after="0" w:line="344" w:lineRule="auto"/>
        <w:rPr>
          <w:sz w:val="20"/>
          <w:szCs w:val="20"/>
          <w:color w:val="auto"/>
        </w:rPr>
      </w:pPr>
      <w:r>
        <w:rPr>
          <w:rFonts w:ascii="Courier New" w:cs="Courier New" w:eastAsia="Courier New" w:hAnsi="Courier New"/>
          <w:sz w:val="15"/>
          <w:szCs w:val="15"/>
          <w:color w:val="auto"/>
        </w:rPr>
        <w:t>There were no matters submitted to a vote of security holders during the fourth quarter of fiscal 1996.</w:t>
      </w:r>
    </w:p>
    <w:p>
      <w:pPr>
        <w:spacing w:after="0" w:line="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598" w:right="1440" w:bottom="1440" w:gutter="0" w:footer="0" w:header="0"/>
        </w:sectPr>
      </w:pPr>
    </w:p>
    <w:bookmarkStart w:id="15" w:name="page16"/>
    <w:bookmarkEnd w:id="15"/>
    <w:p>
      <w:pPr>
        <w:jc w:val="center"/>
        <w:ind w:right="3319"/>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 MARKET FOR REGISTRANT'S COMMON EQUITY AND RELATED STOCKHOLDER MATTERS</w:t>
      </w:r>
    </w:p>
    <w:p>
      <w:pPr>
        <w:spacing w:after="0" w:line="17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MARKET FOR COMMON STOCK</w:t>
      </w:r>
    </w:p>
    <w:p>
      <w:pPr>
        <w:spacing w:after="0" w:line="166" w:lineRule="exact"/>
        <w:rPr>
          <w:sz w:val="20"/>
          <w:szCs w:val="20"/>
          <w:color w:val="auto"/>
        </w:rPr>
      </w:pPr>
    </w:p>
    <w:p>
      <w:pPr>
        <w:ind w:right="3399" w:firstLine="175"/>
        <w:spacing w:after="0" w:line="280" w:lineRule="auto"/>
        <w:rPr>
          <w:sz w:val="20"/>
          <w:szCs w:val="20"/>
          <w:color w:val="auto"/>
        </w:rPr>
      </w:pPr>
      <w:r>
        <w:rPr>
          <w:rFonts w:ascii="Courier New" w:cs="Courier New" w:eastAsia="Courier New" w:hAnsi="Courier New"/>
          <w:sz w:val="14"/>
          <w:szCs w:val="14"/>
          <w:color w:val="auto"/>
        </w:rPr>
        <w:t>Micron Technology, Inc.'s common stock is listed on the New York Stock Exchange and is traded under the symbol "MU." The following table represents the high and low sales prices for the Company's common stock for each quarter of fiscal 1996 and 1995, as reported by The Wall Street Journal. All stock prices have been restated to reflect a 2 for 1 stock split (to shareholders of record as of May 4, 1995) effected in the form of a stock dividend.</w:t>
      </w:r>
    </w:p>
    <w:p>
      <w:pPr>
        <w:spacing w:after="0" w:line="200" w:lineRule="exact"/>
        <w:rPr>
          <w:sz w:val="20"/>
          <w:szCs w:val="20"/>
          <w:color w:val="auto"/>
        </w:rPr>
      </w:pPr>
    </w:p>
    <w:p>
      <w:pPr>
        <w:spacing w:after="0" w:line="202"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2920" w:type="dxa"/>
            <w:vAlign w:val="bottom"/>
          </w:tcPr>
          <w:p>
            <w:pPr>
              <w:spacing w:after="0"/>
              <w:rPr>
                <w:sz w:val="14"/>
                <w:szCs w:val="14"/>
                <w:color w:val="auto"/>
              </w:rPr>
            </w:pP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HIGH</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LOW</w:t>
            </w:r>
          </w:p>
        </w:tc>
        <w:tc>
          <w:tcPr>
            <w:tcW w:w="0" w:type="dxa"/>
            <w:vAlign w:val="bottom"/>
          </w:tcPr>
          <w:p>
            <w:pPr>
              <w:spacing w:after="0"/>
              <w:rPr>
                <w:sz w:val="1"/>
                <w:szCs w:val="1"/>
                <w:color w:val="auto"/>
              </w:rPr>
            </w:pPr>
          </w:p>
        </w:tc>
      </w:tr>
      <w:tr>
        <w:trPr>
          <w:trHeight w:val="245"/>
        </w:trPr>
        <w:tc>
          <w:tcPr>
            <w:tcW w:w="292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c>
          <w:tcPr>
            <w:tcW w:w="0" w:type="dxa"/>
            <w:vAlign w:val="bottom"/>
          </w:tcPr>
          <w:p>
            <w:pPr>
              <w:spacing w:after="0"/>
              <w:rPr>
                <w:sz w:val="1"/>
                <w:szCs w:val="1"/>
                <w:color w:val="auto"/>
              </w:rPr>
            </w:pPr>
          </w:p>
        </w:tc>
      </w:tr>
      <w:tr>
        <w:trPr>
          <w:trHeight w:val="259"/>
        </w:trPr>
        <w:tc>
          <w:tcPr>
            <w:tcW w:w="292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$32.125</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$17.250</w:t>
            </w:r>
          </w:p>
        </w:tc>
        <w:tc>
          <w:tcPr>
            <w:tcW w:w="0" w:type="dxa"/>
            <w:vAlign w:val="bottom"/>
          </w:tcPr>
          <w:p>
            <w:pPr>
              <w:spacing w:after="0"/>
              <w:rPr>
                <w:sz w:val="1"/>
                <w:szCs w:val="1"/>
                <w:color w:val="auto"/>
              </w:rPr>
            </w:pPr>
          </w:p>
        </w:tc>
      </w:tr>
      <w:tr>
        <w:trPr>
          <w:trHeight w:val="168"/>
        </w:trPr>
        <w:tc>
          <w:tcPr>
            <w:tcW w:w="2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8"/>
              </w:rPr>
              <w:t>4th quarter....................</w:t>
            </w: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8"/>
              </w:rPr>
              <w:t>3rd quarter....................</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38.375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28.500</w:t>
            </w:r>
          </w:p>
        </w:tc>
        <w:tc>
          <w:tcPr>
            <w:tcW w:w="0" w:type="dxa"/>
            <w:vAlign w:val="bottom"/>
          </w:tcPr>
          <w:p>
            <w:pPr>
              <w:spacing w:after="0"/>
              <w:rPr>
                <w:sz w:val="1"/>
                <w:szCs w:val="1"/>
                <w:color w:val="auto"/>
              </w:rPr>
            </w:pPr>
          </w:p>
        </w:tc>
      </w:tr>
      <w:tr>
        <w:trPr>
          <w:trHeight w:val="168"/>
        </w:trPr>
        <w:tc>
          <w:tcPr>
            <w:tcW w:w="2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8"/>
              </w:rPr>
              <w:t>2nd quarter....................</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54.750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30.875</w:t>
            </w:r>
          </w:p>
        </w:tc>
        <w:tc>
          <w:tcPr>
            <w:tcW w:w="0" w:type="dxa"/>
            <w:vAlign w:val="bottom"/>
          </w:tcPr>
          <w:p>
            <w:pPr>
              <w:spacing w:after="0"/>
              <w:rPr>
                <w:sz w:val="1"/>
                <w:szCs w:val="1"/>
                <w:color w:val="auto"/>
              </w:rPr>
            </w:pPr>
          </w:p>
        </w:tc>
      </w:tr>
      <w:tr>
        <w:trPr>
          <w:trHeight w:val="168"/>
        </w:trPr>
        <w:tc>
          <w:tcPr>
            <w:tcW w:w="2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8"/>
              </w:rPr>
              <w:t>1st quarter....................</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94.375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47.750</w:t>
            </w:r>
          </w:p>
        </w:tc>
        <w:tc>
          <w:tcPr>
            <w:tcW w:w="0" w:type="dxa"/>
            <w:vAlign w:val="bottom"/>
          </w:tcPr>
          <w:p>
            <w:pPr>
              <w:spacing w:after="0"/>
              <w:rPr>
                <w:sz w:val="1"/>
                <w:szCs w:val="1"/>
                <w:color w:val="auto"/>
              </w:rPr>
            </w:pP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1995:</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$78.000</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$44.750</w:t>
            </w:r>
          </w:p>
        </w:tc>
        <w:tc>
          <w:tcPr>
            <w:tcW w:w="0" w:type="dxa"/>
            <w:vAlign w:val="bottom"/>
          </w:tcPr>
          <w:p>
            <w:pPr>
              <w:spacing w:after="0"/>
              <w:rPr>
                <w:sz w:val="1"/>
                <w:szCs w:val="1"/>
                <w:color w:val="auto"/>
              </w:rPr>
            </w:pPr>
          </w:p>
        </w:tc>
      </w:tr>
      <w:tr>
        <w:trPr>
          <w:trHeight w:val="168"/>
        </w:trPr>
        <w:tc>
          <w:tcPr>
            <w:tcW w:w="2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8"/>
              </w:rPr>
              <w:t>4th quarter....................</w:t>
            </w: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8"/>
              </w:rPr>
              <w:t>3rd quarter....................</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50.750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32.563</w:t>
            </w:r>
          </w:p>
        </w:tc>
        <w:tc>
          <w:tcPr>
            <w:tcW w:w="0" w:type="dxa"/>
            <w:vAlign w:val="bottom"/>
          </w:tcPr>
          <w:p>
            <w:pPr>
              <w:spacing w:after="0"/>
              <w:rPr>
                <w:sz w:val="1"/>
                <w:szCs w:val="1"/>
                <w:color w:val="auto"/>
              </w:rPr>
            </w:pPr>
          </w:p>
        </w:tc>
      </w:tr>
      <w:tr>
        <w:trPr>
          <w:trHeight w:val="168"/>
        </w:trPr>
        <w:tc>
          <w:tcPr>
            <w:tcW w:w="2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8"/>
              </w:rPr>
              <w:t>2nd quarter....................</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33.125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19.938</w:t>
            </w:r>
          </w:p>
        </w:tc>
        <w:tc>
          <w:tcPr>
            <w:tcW w:w="0" w:type="dxa"/>
            <w:vAlign w:val="bottom"/>
          </w:tcPr>
          <w:p>
            <w:pPr>
              <w:spacing w:after="0"/>
              <w:rPr>
                <w:sz w:val="1"/>
                <w:szCs w:val="1"/>
                <w:color w:val="auto"/>
              </w:rPr>
            </w:pPr>
          </w:p>
        </w:tc>
      </w:tr>
      <w:tr>
        <w:trPr>
          <w:trHeight w:val="245"/>
        </w:trPr>
        <w:tc>
          <w:tcPr>
            <w:tcW w:w="2920" w:type="dxa"/>
            <w:vAlign w:val="bottom"/>
          </w:tcPr>
          <w:p>
            <w:pPr>
              <w:ind w:left="160"/>
              <w:spacing w:after="0"/>
              <w:rPr>
                <w:sz w:val="20"/>
                <w:szCs w:val="20"/>
                <w:color w:val="auto"/>
              </w:rPr>
            </w:pPr>
            <w:r>
              <w:rPr>
                <w:rFonts w:ascii="Courier New" w:cs="Courier New" w:eastAsia="Courier New" w:hAnsi="Courier New"/>
                <w:sz w:val="15"/>
                <w:szCs w:val="15"/>
                <w:color w:val="auto"/>
                <w:w w:val="98"/>
              </w:rPr>
              <w:t>1st quarter....................</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21.625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15.250</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HOLDERS OF RECORD</w:t>
      </w:r>
    </w:p>
    <w:p>
      <w:pPr>
        <w:spacing w:after="0" w:line="166" w:lineRule="exact"/>
        <w:rPr>
          <w:sz w:val="20"/>
          <w:szCs w:val="20"/>
          <w:color w:val="auto"/>
        </w:rPr>
      </w:pPr>
    </w:p>
    <w:p>
      <w:pPr>
        <w:ind w:right="3939" w:firstLine="175"/>
        <w:spacing w:after="0" w:line="344" w:lineRule="auto"/>
        <w:rPr>
          <w:sz w:val="20"/>
          <w:szCs w:val="20"/>
          <w:color w:val="auto"/>
        </w:rPr>
      </w:pPr>
      <w:r>
        <w:rPr>
          <w:rFonts w:ascii="Courier New" w:cs="Courier New" w:eastAsia="Courier New" w:hAnsi="Courier New"/>
          <w:sz w:val="15"/>
          <w:szCs w:val="15"/>
          <w:color w:val="auto"/>
        </w:rPr>
        <w:t>As of August 29, 1996, there were 12,379 shareholders of record of the Company's Common Stock.</w:t>
      </w:r>
    </w:p>
    <w:p>
      <w:pPr>
        <w:spacing w:after="0" w:line="1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DIVIDENDS</w:t>
      </w:r>
    </w:p>
    <w:p>
      <w:pPr>
        <w:spacing w:after="0" w:line="166" w:lineRule="exact"/>
        <w:rPr>
          <w:sz w:val="20"/>
          <w:szCs w:val="20"/>
          <w:color w:val="auto"/>
        </w:rPr>
      </w:pPr>
    </w:p>
    <w:p>
      <w:pPr>
        <w:ind w:right="3499" w:firstLine="175"/>
        <w:spacing w:after="0" w:line="273" w:lineRule="auto"/>
        <w:rPr>
          <w:sz w:val="20"/>
          <w:szCs w:val="20"/>
          <w:color w:val="auto"/>
        </w:rPr>
      </w:pPr>
      <w:r>
        <w:rPr>
          <w:rFonts w:ascii="Courier New" w:cs="Courier New" w:eastAsia="Courier New" w:hAnsi="Courier New"/>
          <w:sz w:val="15"/>
          <w:szCs w:val="15"/>
          <w:color w:val="auto"/>
        </w:rPr>
        <w:t>The Company declared and paid cash dividends totaling $0.15 during fiscal 1996, $0.15 during fiscal 1995 and $0.06 in fiscal 1994. Future dividends, if any, will vary depending on the Company's profitability and anticipated capital requirements.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FINANCIAL DATA</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780" w:type="dxa"/>
            <w:vAlign w:val="bottom"/>
          </w:tcPr>
          <w:p>
            <w:pPr>
              <w:ind w:left="220"/>
              <w:spacing w:after="0"/>
              <w:rPr>
                <w:sz w:val="20"/>
                <w:szCs w:val="20"/>
                <w:color w:val="auto"/>
              </w:rPr>
            </w:pPr>
            <w:r>
              <w:rPr>
                <w:rFonts w:ascii="Courier New" w:cs="Courier New" w:eastAsia="Courier New" w:hAnsi="Courier New"/>
                <w:sz w:val="15"/>
                <w:szCs w:val="15"/>
                <w:color w:val="auto"/>
              </w:rPr>
              <w:t>1996</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1995</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1994</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1993</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1992</w:t>
            </w:r>
          </w:p>
        </w:tc>
      </w:tr>
      <w:tr>
        <w:trPr>
          <w:trHeight w:val="168"/>
        </w:trPr>
        <w:tc>
          <w:tcPr>
            <w:tcW w:w="3380" w:type="dxa"/>
            <w:vAlign w:val="bottom"/>
          </w:tcPr>
          <w:p>
            <w:pPr>
              <w:spacing w:after="0"/>
              <w:rPr>
                <w:sz w:val="14"/>
                <w:szCs w:val="14"/>
                <w:color w:val="auto"/>
              </w:rPr>
            </w:pPr>
          </w:p>
        </w:tc>
        <w:tc>
          <w:tcPr>
            <w:tcW w:w="35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 -------- -------- ------ ------</w:t>
            </w:r>
          </w:p>
        </w:tc>
      </w:tr>
      <w:tr>
        <w:trPr>
          <w:trHeight w:val="168"/>
        </w:trPr>
        <w:tc>
          <w:tcPr>
            <w:tcW w:w="3380" w:type="dxa"/>
            <w:vAlign w:val="bottom"/>
          </w:tcPr>
          <w:p>
            <w:pPr>
              <w:spacing w:after="0"/>
              <w:rPr>
                <w:sz w:val="14"/>
                <w:szCs w:val="14"/>
                <w:color w:val="auto"/>
              </w:rPr>
            </w:pPr>
          </w:p>
        </w:tc>
        <w:tc>
          <w:tcPr>
            <w:tcW w:w="3020" w:type="dxa"/>
            <w:vAlign w:val="bottom"/>
            <w:gridSpan w:val="4"/>
          </w:tcPr>
          <w:p>
            <w:pPr>
              <w:ind w:left="220"/>
              <w:spacing w:after="0" w:line="168" w:lineRule="exact"/>
              <w:rPr>
                <w:sz w:val="20"/>
                <w:szCs w:val="20"/>
                <w:color w:val="auto"/>
              </w:rPr>
            </w:pPr>
            <w:r>
              <w:rPr>
                <w:rFonts w:ascii="Courier New" w:cs="Courier New" w:eastAsia="Courier New" w:hAnsi="Courier New"/>
                <w:sz w:val="15"/>
                <w:szCs w:val="15"/>
                <w:color w:val="auto"/>
                <w:w w:val="96"/>
              </w:rPr>
              <w:t>(AMOUNTS IN MILLIONS, EXCEPT FOR</w:t>
            </w: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PER</w:t>
            </w:r>
          </w:p>
        </w:tc>
      </w:tr>
      <w:tr>
        <w:trPr>
          <w:trHeight w:val="245"/>
        </w:trPr>
        <w:tc>
          <w:tcPr>
            <w:tcW w:w="3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5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SHARE DATA)</w:t>
            </w: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59"/>
        </w:trPr>
        <w:tc>
          <w:tcPr>
            <w:tcW w:w="3380" w:type="dxa"/>
            <w:vAlign w:val="bottom"/>
          </w:tcPr>
          <w:p>
            <w:pPr>
              <w:spacing w:after="0"/>
              <w:rPr>
                <w:sz w:val="20"/>
                <w:szCs w:val="20"/>
                <w:color w:val="auto"/>
              </w:rPr>
            </w:pPr>
            <w:r>
              <w:rPr>
                <w:rFonts w:ascii="Courier New" w:cs="Courier New" w:eastAsia="Courier New" w:hAnsi="Courier New"/>
                <w:sz w:val="15"/>
                <w:szCs w:val="15"/>
                <w:color w:val="auto"/>
                <w:w w:val="98"/>
              </w:rPr>
              <w:t>Net sales.............................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$3,653.8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9"/>
              </w:rPr>
              <w:t>$2,952.7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$1,628.6</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$828.3</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$506.3</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Gross margin..........................</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1,455.4</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1,624.0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839.2</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311.1</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116.0</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income......................</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944.5</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1,308.0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625.1</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167.1</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income............................</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593.5</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844.1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400.5</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104.1</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Fully diluted earnings per share......</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2.76</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0.51</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0.03</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dividend declared per share......</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0.15</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0.06</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0.01</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0.01</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Current assets........................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964.0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1,274.1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793.2</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440.1</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227.0</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Property, plant and equipment, net....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2,708.1</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1,385.6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663.5</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437.8</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396.3</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assets..........................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3,751.5</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2,774.9</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1,529.7</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965.7</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724.5</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Current liabilities...................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664.5</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604.8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274.2</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210.8</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106.1</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Long-term debt........................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314.6</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124.7</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54.4</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61.5</w:t>
            </w:r>
          </w:p>
        </w:tc>
      </w:tr>
      <w:tr>
        <w:trPr>
          <w:trHeight w:val="245"/>
        </w:trPr>
        <w:tc>
          <w:tcPr>
            <w:tcW w:w="3380" w:type="dxa"/>
            <w:vAlign w:val="bottom"/>
          </w:tcPr>
          <w:p>
            <w:pPr>
              <w:spacing w:after="0"/>
              <w:rPr>
                <w:sz w:val="20"/>
                <w:szCs w:val="20"/>
                <w:color w:val="auto"/>
              </w:rPr>
            </w:pPr>
            <w:r>
              <w:rPr>
                <w:rFonts w:ascii="Courier New" w:cs="Courier New" w:eastAsia="Courier New" w:hAnsi="Courier New"/>
                <w:sz w:val="15"/>
                <w:szCs w:val="15"/>
                <w:color w:val="auto"/>
                <w:w w:val="98"/>
              </w:rPr>
              <w:t>Shareholders' equity..................</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2,502.0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1,896.2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1,049.3</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639.5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511.2</w:t>
            </w:r>
          </w:p>
        </w:tc>
      </w:tr>
    </w:tbl>
    <w:p>
      <w:pPr>
        <w:spacing w:after="0" w:line="259" w:lineRule="exact"/>
        <w:rPr>
          <w:sz w:val="20"/>
          <w:szCs w:val="20"/>
          <w:color w:val="auto"/>
        </w:rPr>
      </w:pPr>
    </w:p>
    <w:p>
      <w:pPr>
        <w:ind w:right="3399" w:firstLine="175"/>
        <w:spacing w:after="0" w:line="344" w:lineRule="auto"/>
        <w:rPr>
          <w:sz w:val="20"/>
          <w:szCs w:val="20"/>
          <w:color w:val="auto"/>
        </w:rPr>
      </w:pPr>
      <w:r>
        <w:rPr>
          <w:rFonts w:ascii="Courier New" w:cs="Courier New" w:eastAsia="Courier New" w:hAnsi="Courier New"/>
          <w:sz w:val="15"/>
          <w:szCs w:val="15"/>
          <w:color w:val="auto"/>
        </w:rPr>
        <w:t>See "Item 7. Management's Discussion and Analysis of Financial Condition and Results of Operations--Certain Factors."</w:t>
      </w:r>
    </w:p>
    <w:p>
      <w:pPr>
        <w:spacing w:after="0" w:line="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598" w:right="1440" w:bottom="1440" w:gutter="0" w:footer="0" w:header="0"/>
        </w:sectPr>
      </w:pPr>
    </w:p>
    <w:bookmarkStart w:id="16" w:name="page17"/>
    <w:bookmarkEnd w:id="16"/>
    <w:p>
      <w:pPr>
        <w:ind w:left="620" w:right="4019" w:hanging="611"/>
        <w:spacing w:after="0" w:line="344"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 w:lineRule="exact"/>
        <w:rPr>
          <w:sz w:val="20"/>
          <w:szCs w:val="20"/>
          <w:color w:val="auto"/>
        </w:rPr>
      </w:pPr>
    </w:p>
    <w:p>
      <w:pPr>
        <w:ind w:right="3399" w:firstLine="175"/>
        <w:spacing w:after="0" w:line="252" w:lineRule="auto"/>
        <w:rPr>
          <w:sz w:val="20"/>
          <w:szCs w:val="20"/>
          <w:color w:val="auto"/>
        </w:rPr>
      </w:pPr>
      <w:r>
        <w:rPr>
          <w:rFonts w:ascii="Courier New" w:cs="Courier New" w:eastAsia="Courier New" w:hAnsi="Courier New"/>
          <w:sz w:val="15"/>
          <w:szCs w:val="15"/>
          <w:color w:val="auto"/>
        </w:rPr>
        <w:t>The following discussion contains trend information and other forward looking statements that involve a number of risks and uncertainties. The Company's actual results could differ materially from the Company's historical results of operations and those discussed in the forward-looking statements. Factors that could cause actual results to differ materially include, but are not limited to, those identified in "Certain Factors." All period references are to the Company's fiscal periods ended August 29, 1996, August 31, 1995 or September 1, 1994, unless otherwise indicated.</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66" w:lineRule="exact"/>
        <w:rPr>
          <w:sz w:val="20"/>
          <w:szCs w:val="20"/>
          <w:color w:val="auto"/>
        </w:rPr>
      </w:pPr>
    </w:p>
    <w:p>
      <w:pPr>
        <w:ind w:right="3399" w:firstLine="175"/>
        <w:spacing w:after="0" w:line="264" w:lineRule="auto"/>
        <w:rPr>
          <w:sz w:val="20"/>
          <w:szCs w:val="20"/>
          <w:color w:val="auto"/>
        </w:rPr>
      </w:pPr>
      <w:r>
        <w:rPr>
          <w:rFonts w:ascii="Courier New" w:cs="Courier New" w:eastAsia="Courier New" w:hAnsi="Courier New"/>
          <w:sz w:val="15"/>
          <w:szCs w:val="15"/>
          <w:color w:val="auto"/>
        </w:rPr>
        <w:t>The Company designs, develops, manufactures and markets semiconductor memory products, primarily DRAM, for use in PCs. Through its majority-owned subsidiary, MEI, the Company also designs, develops, markets, manufactures and supports Micron brand PC systems, and operates a contract manufacturing and component recovery business.</w:t>
      </w:r>
    </w:p>
    <w:p>
      <w:pPr>
        <w:spacing w:after="0" w:line="75" w:lineRule="exact"/>
        <w:rPr>
          <w:sz w:val="20"/>
          <w:szCs w:val="20"/>
          <w:color w:val="auto"/>
        </w:rPr>
      </w:pPr>
    </w:p>
    <w:p>
      <w:pPr>
        <w:ind w:right="3399" w:firstLine="175"/>
        <w:spacing w:after="0" w:line="262" w:lineRule="auto"/>
        <w:rPr>
          <w:sz w:val="20"/>
          <w:szCs w:val="20"/>
          <w:color w:val="auto"/>
        </w:rPr>
      </w:pPr>
      <w:r>
        <w:rPr>
          <w:rFonts w:ascii="Courier New" w:cs="Courier New" w:eastAsia="Courier New" w:hAnsi="Courier New"/>
          <w:sz w:val="14"/>
          <w:szCs w:val="14"/>
          <w:color w:val="auto"/>
        </w:rPr>
        <w:t>The Company's semiconductor memory products are commodity products, the price and profitability of which are highly dependent on overall supply-demand dynamics in the industry. Historically, the semiconductor memory industry has experienced declines in average selling prices commensurate with the industry's ability to reduce cost per megabit. Consequently, the Company's operating results are significantly affected by the Company's ability to reduce cost per megabit commensurate with, or at a rate greater than, reductions in average selling prices. Cost reductions are effected through design and ramp up of shrink products, maximizing yield of good die produced and maximizing equipment capacity utilization. The Company's gross margins from fiscal 1993 through fiscal 1995 benefited from the Company's ability to effect such cost reductions while DRAM average sales prices remained relatively stable. From December 1995 through August 1996, the average selling price of the Company's 4 Meg DRAM fell 78% as industry supply exceeded demand. Gross margins for the three fiscal quarters ended August 29, 1996 decreased sequentially as a result of the sharp decline in average selling prices for semiconductor memory products at a rate exceeding the Company's ability to effect cost reductions for such products.</w:t>
      </w:r>
    </w:p>
    <w:p>
      <w:pPr>
        <w:spacing w:after="0" w:line="252" w:lineRule="exact"/>
        <w:rPr>
          <w:sz w:val="20"/>
          <w:szCs w:val="20"/>
          <w:color w:val="auto"/>
        </w:rPr>
      </w:pPr>
    </w:p>
    <w:p>
      <w:pPr>
        <w:ind w:right="3399" w:firstLine="175"/>
        <w:spacing w:after="0" w:line="243" w:lineRule="auto"/>
        <w:rPr>
          <w:sz w:val="20"/>
          <w:szCs w:val="20"/>
          <w:color w:val="auto"/>
        </w:rPr>
      </w:pPr>
      <w:r>
        <w:rPr>
          <w:rFonts w:ascii="Courier New" w:cs="Courier New" w:eastAsia="Courier New" w:hAnsi="Courier New"/>
          <w:sz w:val="15"/>
          <w:szCs w:val="15"/>
          <w:color w:val="auto"/>
        </w:rPr>
        <w:t>As DRAM prices have fallen and as unit shipments of PC systems have increased, the Company's consolidated operating results have been increasingly affected by the results of the PC operations of MEI. While sales of PC systems, less the sales of the Company's semiconductor memory included therein, constituted approximately 31% of the Company's total net sales for fiscal 1996, such sales in the fourth quarter of fiscal 1996 constituted approximately 50% of the Company's total net sales. Unit sales of PC systems increased in fiscal 1996 compared to fiscal 1995 principally due to increased name recognition and market acceptance of Micron brand PC products. While sales of PC systems generally continued to have a lower gross margin percentage than sales of the Company's semiconductor memory products in 1996, the gross margin percentage on sales of PC systems increased in 1996 compared to 1995 and was higher than the gross margin percentage on sales of semiconductor memory products in the fourth quarter of fiscal 1996. Any reduction in MTI's ownership percentage of MEI, whether caused by future dispositions of shares of common stock of MEI by MTI or issuances of shares of common stock by MEI, will have the effect of reducing MTI's share of future results of operations of MEI.</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6" w:lineRule="exact"/>
        <w:rPr>
          <w:sz w:val="20"/>
          <w:szCs w:val="20"/>
          <w:color w:val="auto"/>
        </w:rPr>
      </w:pPr>
    </w:p>
    <w:p>
      <w:pPr>
        <w:ind w:right="3399" w:firstLine="175"/>
        <w:spacing w:after="0" w:line="270" w:lineRule="auto"/>
        <w:rPr>
          <w:sz w:val="20"/>
          <w:szCs w:val="20"/>
          <w:color w:val="auto"/>
        </w:rPr>
      </w:pPr>
      <w:r>
        <w:rPr>
          <w:rFonts w:ascii="Courier New" w:cs="Courier New" w:eastAsia="Courier New" w:hAnsi="Courier New"/>
          <w:sz w:val="14"/>
          <w:szCs w:val="14"/>
          <w:color w:val="auto"/>
        </w:rPr>
        <w:t>Net income for 1996 was $593 million, or $2.76 per fully diluted share, on net sales of $3,654 million. The higher level of net sales in 1996 principally resulted from increased production of semiconductor memory products and an increase in PC system sales, which were offset in part by a sharp decline in average selling prices for semiconductor memory products. The decrease in average selling prices for the Company's semiconductor memory products in 1996 at a rate faster than the Company's reductions in cost per megabit resulted in lower net income in 1996 as compared to 1995. Net income for 1995 was $844 million, or $3.90 per fully diluted share, on net sales of $2,953 million.</w:t>
      </w:r>
    </w:p>
    <w:p>
      <w:pPr>
        <w:spacing w:after="0" w:line="7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598" w:right="1440" w:bottom="1440" w:gutter="0" w:footer="0" w:header="0"/>
        </w:sectPr>
      </w:pPr>
    </w:p>
    <w:bookmarkStart w:id="17" w:name="page18"/>
    <w:bookmarkEnd w:id="17"/>
    <w:p>
      <w:pPr>
        <w:ind w:right="3399" w:firstLine="175"/>
        <w:spacing w:after="0" w:line="273" w:lineRule="auto"/>
        <w:rPr>
          <w:sz w:val="20"/>
          <w:szCs w:val="20"/>
          <w:color w:val="auto"/>
        </w:rPr>
      </w:pPr>
      <w:r>
        <w:rPr>
          <w:rFonts w:ascii="Courier New" w:cs="Courier New" w:eastAsia="Courier New" w:hAnsi="Courier New"/>
          <w:sz w:val="15"/>
          <w:szCs w:val="15"/>
          <w:color w:val="auto"/>
        </w:rPr>
        <w:t>The Company's results of operations in fiscal 1996 were adversely affected by a restructuring charge of $29.6 million associated with the discontinuation of sales of ZEOS brand PC systems and the closing of the related PC manufacturing operations in Minneapolis, Minnesota.</w:t>
      </w:r>
    </w:p>
    <w:p>
      <w:pPr>
        <w:spacing w:after="0" w:line="6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NET SALES</w:t>
      </w:r>
    </w:p>
    <w:p>
      <w:pPr>
        <w:spacing w:after="0" w:line="166" w:lineRule="exact"/>
        <w:rPr>
          <w:sz w:val="20"/>
          <w:szCs w:val="20"/>
          <w:color w:val="auto"/>
        </w:rPr>
      </w:pPr>
    </w:p>
    <w:p>
      <w:pPr>
        <w:ind w:right="3399" w:firstLine="175"/>
        <w:spacing w:after="0" w:line="250" w:lineRule="auto"/>
        <w:rPr>
          <w:sz w:val="20"/>
          <w:szCs w:val="20"/>
          <w:color w:val="auto"/>
        </w:rPr>
      </w:pPr>
      <w:r>
        <w:rPr>
          <w:rFonts w:ascii="Courier New" w:cs="Courier New" w:eastAsia="Courier New" w:hAnsi="Courier New"/>
          <w:sz w:val="15"/>
          <w:szCs w:val="15"/>
          <w:color w:val="auto"/>
        </w:rPr>
        <w:t>The following table presents the Company's net sales by principal product or service. The caption "Other" principally includes revenue from contract manufacturing and from module assembly services. Net sales of semiconductor memory products include sales of such products incorporated in MEI personal computer systems and other products. Corresponding amounts excluded from sales of personal computer systems and other products ($183.7 million, $182.5 million and $81.6 million in 1996, 1995 and 1994, respectively) equal the aggregate purchase prices paid by MEI to MTI for semiconductor memory products.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jc w:val="center"/>
              <w:ind w:right="627"/>
              <w:spacing w:after="0"/>
              <w:rPr>
                <w:sz w:val="20"/>
                <w:szCs w:val="20"/>
                <w:color w:val="auto"/>
              </w:rPr>
            </w:pPr>
            <w:r>
              <w:rPr>
                <w:rFonts w:ascii="Courier New" w:cs="Courier New" w:eastAsia="Courier New" w:hAnsi="Courier New"/>
                <w:sz w:val="15"/>
                <w:szCs w:val="15"/>
                <w:color w:val="auto"/>
                <w:w w:val="94"/>
              </w:rPr>
              <w:t>1996</w:t>
            </w:r>
          </w:p>
        </w:tc>
        <w:tc>
          <w:tcPr>
            <w:tcW w:w="800" w:type="dxa"/>
            <w:vAlign w:val="bottom"/>
          </w:tcPr>
          <w:p>
            <w:pPr>
              <w:spacing w:after="0"/>
              <w:rPr>
                <w:sz w:val="14"/>
                <w:szCs w:val="14"/>
                <w:color w:val="auto"/>
              </w:rPr>
            </w:pPr>
          </w:p>
        </w:tc>
        <w:tc>
          <w:tcPr>
            <w:tcW w:w="108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88"/>
              </w:rPr>
              <w:t>1995</w:t>
            </w:r>
          </w:p>
        </w:tc>
        <w:tc>
          <w:tcPr>
            <w:tcW w:w="740" w:type="dxa"/>
            <w:vAlign w:val="bottom"/>
          </w:tcPr>
          <w:p>
            <w:pPr>
              <w:spacing w:after="0"/>
              <w:rPr>
                <w:sz w:val="14"/>
                <w:szCs w:val="14"/>
                <w:color w:val="auto"/>
              </w:rPr>
            </w:pPr>
          </w:p>
        </w:tc>
        <w:tc>
          <w:tcPr>
            <w:tcW w:w="106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4"/>
              </w:rPr>
              <w:t>1994</w:t>
            </w:r>
          </w:p>
        </w:tc>
        <w:tc>
          <w:tcPr>
            <w:tcW w:w="0" w:type="dxa"/>
            <w:vAlign w:val="bottom"/>
          </w:tcPr>
          <w:p>
            <w:pPr>
              <w:spacing w:after="0"/>
              <w:rPr>
                <w:sz w:val="1"/>
                <w:szCs w:val="1"/>
                <w:color w:val="auto"/>
              </w:rPr>
            </w:pPr>
          </w:p>
        </w:tc>
      </w:tr>
      <w:tr>
        <w:trPr>
          <w:trHeight w:val="168"/>
        </w:trPr>
        <w:tc>
          <w:tcPr>
            <w:tcW w:w="2160" w:type="dxa"/>
            <w:vAlign w:val="bottom"/>
          </w:tcPr>
          <w:p>
            <w:pPr>
              <w:spacing w:after="0"/>
              <w:rPr>
                <w:sz w:val="14"/>
                <w:szCs w:val="14"/>
                <w:color w:val="auto"/>
              </w:rPr>
            </w:pPr>
          </w:p>
        </w:tc>
        <w:tc>
          <w:tcPr>
            <w:tcW w:w="17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68"/>
        </w:trPr>
        <w:tc>
          <w:tcPr>
            <w:tcW w:w="2160" w:type="dxa"/>
            <w:vAlign w:val="bottom"/>
          </w:tcPr>
          <w:p>
            <w:pPr>
              <w:spacing w:after="0"/>
              <w:rPr>
                <w:sz w:val="14"/>
                <w:szCs w:val="14"/>
                <w:color w:val="auto"/>
              </w:rPr>
            </w:pPr>
          </w:p>
        </w:tc>
        <w:tc>
          <w:tcPr>
            <w:tcW w:w="17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NET SALES % OF TOTAL</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NET SALES % OF TOTAL</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NET SALES % OF TOTAL</w:t>
            </w:r>
          </w:p>
        </w:tc>
        <w:tc>
          <w:tcPr>
            <w:tcW w:w="0" w:type="dxa"/>
            <w:vAlign w:val="bottom"/>
          </w:tcPr>
          <w:p>
            <w:pPr>
              <w:spacing w:after="0"/>
              <w:rPr>
                <w:sz w:val="1"/>
                <w:szCs w:val="1"/>
                <w:color w:val="auto"/>
              </w:rPr>
            </w:pPr>
          </w:p>
        </w:tc>
      </w:tr>
      <w:tr>
        <w:trPr>
          <w:trHeight w:val="168"/>
        </w:trPr>
        <w:tc>
          <w:tcPr>
            <w:tcW w:w="2160" w:type="dxa"/>
            <w:vAlign w:val="bottom"/>
          </w:tcPr>
          <w:p>
            <w:pPr>
              <w:spacing w:after="0"/>
              <w:rPr>
                <w:sz w:val="14"/>
                <w:szCs w:val="14"/>
                <w:color w:val="auto"/>
              </w:rPr>
            </w:pPr>
          </w:p>
        </w:tc>
        <w:tc>
          <w:tcPr>
            <w:tcW w:w="54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7"/>
              </w:rPr>
              <w:t>--------- ---------- --------- ---------- --------- ----------</w:t>
            </w:r>
          </w:p>
        </w:tc>
        <w:tc>
          <w:tcPr>
            <w:tcW w:w="0" w:type="dxa"/>
            <w:vAlign w:val="bottom"/>
          </w:tcPr>
          <w:p>
            <w:pPr>
              <w:spacing w:after="0"/>
              <w:rPr>
                <w:sz w:val="1"/>
                <w:szCs w:val="1"/>
                <w:color w:val="auto"/>
              </w:rPr>
            </w:pPr>
          </w:p>
        </w:tc>
      </w:tr>
      <w:tr>
        <w:trPr>
          <w:trHeight w:val="245"/>
        </w:trPr>
        <w:tc>
          <w:tcPr>
            <w:tcW w:w="2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(DOLLARS IN MILLIONS)</w:t>
            </w: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160" w:type="dxa"/>
            <w:vAlign w:val="bottom"/>
          </w:tcPr>
          <w:p>
            <w:pPr>
              <w:spacing w:after="0"/>
              <w:rPr>
                <w:sz w:val="20"/>
                <w:szCs w:val="20"/>
                <w:color w:val="auto"/>
              </w:rPr>
            </w:pPr>
            <w:r>
              <w:rPr>
                <w:rFonts w:ascii="Courier New" w:cs="Courier New" w:eastAsia="Courier New" w:hAnsi="Courier New"/>
                <w:sz w:val="15"/>
                <w:szCs w:val="15"/>
                <w:color w:val="auto"/>
              </w:rPr>
              <w:t>Semiconductor memory</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$2,210.0</w:t>
            </w:r>
          </w:p>
        </w:tc>
        <w:tc>
          <w:tcPr>
            <w:tcW w:w="10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60%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$2,287.0</w:t>
            </w:r>
          </w:p>
        </w:tc>
        <w:tc>
          <w:tcPr>
            <w:tcW w:w="10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77%</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$1,367.5</w:t>
            </w: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84%</w:t>
            </w:r>
          </w:p>
        </w:tc>
        <w:tc>
          <w:tcPr>
            <w:tcW w:w="0" w:type="dxa"/>
            <w:vAlign w:val="bottom"/>
          </w:tcPr>
          <w:p>
            <w:pPr>
              <w:spacing w:after="0"/>
              <w:rPr>
                <w:sz w:val="1"/>
                <w:szCs w:val="1"/>
                <w:color w:val="auto"/>
              </w:rPr>
            </w:pP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products...............</w:t>
            </w:r>
          </w:p>
        </w:tc>
        <w:tc>
          <w:tcPr>
            <w:tcW w:w="7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Personal computer</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1,128.3</w:t>
            </w:r>
          </w:p>
        </w:tc>
        <w:tc>
          <w:tcPr>
            <w:tcW w:w="10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31</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429.1</w:t>
            </w:r>
          </w:p>
        </w:tc>
        <w:tc>
          <w:tcPr>
            <w:tcW w:w="108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15</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73.7</w:t>
            </w: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systems................</w:t>
            </w:r>
          </w:p>
        </w:tc>
        <w:tc>
          <w:tcPr>
            <w:tcW w:w="7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Other...................</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315.5</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236.6</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187.4</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68"/>
        </w:trPr>
        <w:tc>
          <w:tcPr>
            <w:tcW w:w="2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 net sales.......</w:t>
            </w:r>
          </w:p>
        </w:tc>
        <w:tc>
          <w:tcPr>
            <w:tcW w:w="7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70"/>
                <w:vertAlign w:val="subscript"/>
              </w:rPr>
              <w:t>$</w:t>
            </w:r>
            <w:r>
              <w:rPr>
                <w:rFonts w:ascii="Courier New" w:cs="Courier New" w:eastAsia="Courier New" w:hAnsi="Courier New"/>
                <w:sz w:val="10"/>
                <w:szCs w:val="10"/>
                <w:color w:val="auto"/>
                <w:w w:val="70"/>
              </w:rPr>
              <w:t>--------</w:t>
            </w:r>
            <w:r>
              <w:rPr>
                <w:rFonts w:ascii="Courier New" w:cs="Courier New" w:eastAsia="Courier New" w:hAnsi="Courier New"/>
                <w:sz w:val="17"/>
                <w:szCs w:val="17"/>
                <w:color w:val="auto"/>
                <w:w w:val="70"/>
                <w:vertAlign w:val="subscript"/>
              </w:rPr>
              <w:t>3,653.8</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1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$2,952.7</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$1,628.6</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245"/>
        </w:trPr>
        <w:tc>
          <w:tcPr>
            <w:tcW w:w="2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399" w:firstLine="175"/>
        <w:spacing w:after="0" w:line="262" w:lineRule="auto"/>
        <w:rPr>
          <w:sz w:val="20"/>
          <w:szCs w:val="20"/>
          <w:color w:val="auto"/>
        </w:rPr>
      </w:pPr>
      <w:r>
        <w:rPr>
          <w:rFonts w:ascii="Courier New" w:cs="Courier New" w:eastAsia="Courier New" w:hAnsi="Courier New"/>
          <w:sz w:val="14"/>
          <w:szCs w:val="14"/>
          <w:color w:val="auto"/>
        </w:rPr>
        <w:t>Net sales in 1996 increased by 24% over 1995, principally due to a higher level of production of semiconductor memory and a higher level of net sales of PC systems. The effect on net sales of increased production of semiconductor memory products was offset by a sharp decline in average selling prices. Net sales of semiconductor memory products declined as a percentage of total net sales to 60% in 1996 from 77% in 1995, due to the sharp decline in average selling prices for semiconductor memory products and continued growth of the Company's PC system sales. The Company's principal product in 1996 was the 4 Meg DRAM, which comprised approximately 87% of the net sales of the semiconductor memory products, and 53% of total net sales. Net sales of the 4 Meg DRAM were 87% and 76% of net sales of semiconductor memory products in 1995 and 1994, respectively. In 1996, total megabits produced increased approximately 95% and megabits shipped increased by approximately 77% from 1995 levels. These increases were principally due to the conversion of FAB III to 8-inch wafers, ongoing transitions to successive shrink versions of existing memory products, particularly the 4 Meg DRAM, a 17% increase in total wafer outs, a shift in the Company's mix of semiconductor memory products to a higher average density and enhanced yields on existing memory products.</w:t>
      </w:r>
    </w:p>
    <w:p>
      <w:pPr>
        <w:spacing w:after="0" w:line="79" w:lineRule="exact"/>
        <w:rPr>
          <w:sz w:val="20"/>
          <w:szCs w:val="20"/>
          <w:color w:val="auto"/>
        </w:rPr>
      </w:pPr>
    </w:p>
    <w:p>
      <w:pPr>
        <w:ind w:right="3399" w:firstLine="175"/>
        <w:spacing w:after="0" w:line="250" w:lineRule="auto"/>
        <w:rPr>
          <w:sz w:val="20"/>
          <w:szCs w:val="20"/>
          <w:color w:val="auto"/>
        </w:rPr>
      </w:pPr>
      <w:r>
        <w:rPr>
          <w:rFonts w:ascii="Courier New" w:cs="Courier New" w:eastAsia="Courier New" w:hAnsi="Courier New"/>
          <w:sz w:val="15"/>
          <w:szCs w:val="15"/>
          <w:color w:val="auto"/>
        </w:rPr>
        <w:t>Net sales of PC systems, less sales to MEI of the Company's semiconductor memory included therein, increased to approximately 31% of the Company's total net sales for 1996 from 15% and 5% in 1995 and 1994, respectively, primarily due to significantly higher unit sales of PC systems and, to a lesser extent, higher average selling prices for PC systems. Unit sales of PC systems increased in 1996 compared to 1995, principally due to increased name recognition and market acceptance of Micron brand desktop PC products. Increased sales to governmental entities and increased sales of notebook systems also contributed to higher overall unit sales.</w:t>
      </w:r>
    </w:p>
    <w:p>
      <w:pPr>
        <w:spacing w:after="0" w:line="89" w:lineRule="exact"/>
        <w:rPr>
          <w:sz w:val="20"/>
          <w:szCs w:val="20"/>
          <w:color w:val="auto"/>
        </w:rPr>
      </w:pPr>
    </w:p>
    <w:p>
      <w:pPr>
        <w:ind w:right="3579" w:firstLine="175"/>
        <w:spacing w:after="0" w:line="258" w:lineRule="auto"/>
        <w:rPr>
          <w:sz w:val="20"/>
          <w:szCs w:val="20"/>
          <w:color w:val="auto"/>
        </w:rPr>
      </w:pPr>
      <w:r>
        <w:rPr>
          <w:rFonts w:ascii="Courier New" w:cs="Courier New" w:eastAsia="Courier New" w:hAnsi="Courier New"/>
          <w:sz w:val="14"/>
          <w:szCs w:val="14"/>
          <w:color w:val="auto"/>
        </w:rPr>
        <w:t>Net sales in 1995 increased by 81% compared to 1994 principally due to relatively stable prices for semiconductor memory products and the comparatively higher volume of semiconductor memory produced in 1995. Total megabits produced increased by approximately 74% in 1995 compared to 1994, principally as a result of ongoing transitions to successive shrink versions of then existing products, a shift in the Company's mix of semiconductor memory products to a higher average density and enhanced yields on then existing memory products. Net sales of PC systems, less the value of the Company's semiconductor memory included therein, increased to approximately</w:t>
      </w:r>
    </w:p>
    <w:p>
      <w:pPr>
        <w:spacing w:after="0" w:line="5" w:lineRule="exact"/>
        <w:rPr>
          <w:sz w:val="20"/>
          <w:szCs w:val="20"/>
          <w:color w:val="auto"/>
        </w:rPr>
      </w:pPr>
    </w:p>
    <w:p>
      <w:pPr>
        <w:ind w:right="3399"/>
        <w:spacing w:after="0" w:line="260" w:lineRule="auto"/>
        <w:rPr>
          <w:sz w:val="20"/>
          <w:szCs w:val="20"/>
          <w:color w:val="auto"/>
        </w:rPr>
      </w:pPr>
      <w:r>
        <w:rPr>
          <w:rFonts w:ascii="Courier New" w:cs="Courier New" w:eastAsia="Courier New" w:hAnsi="Courier New"/>
          <w:sz w:val="15"/>
          <w:szCs w:val="15"/>
          <w:color w:val="auto"/>
        </w:rPr>
        <w:t>15% of the Company's total net sales for 1995 from 5% in 1994. PC system sales increased principally due to increased demand for the Company's PC systems as a result of greater brand name recognition and market acceptance of such products.</w:t>
      </w:r>
    </w:p>
    <w:p>
      <w:pPr>
        <w:spacing w:after="0" w:line="7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598"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45"/>
        </w:trPr>
        <w:tc>
          <w:tcPr>
            <w:tcW w:w="3020" w:type="dxa"/>
            <w:vAlign w:val="bottom"/>
          </w:tcPr>
          <w:p>
            <w:pPr>
              <w:ind w:left="100"/>
              <w:spacing w:after="0"/>
              <w:rPr>
                <w:sz w:val="20"/>
                <w:szCs w:val="20"/>
                <w:color w:val="auto"/>
              </w:rPr>
            </w:pPr>
            <w:r>
              <w:rPr>
                <w:rFonts w:ascii="Courier New" w:cs="Courier New" w:eastAsia="Courier New" w:hAnsi="Courier New"/>
                <w:sz w:val="15"/>
                <w:szCs w:val="15"/>
                <w:color w:val="auto"/>
              </w:rPr>
              <w:t>GROSS MARGIN</w:t>
            </w:r>
          </w:p>
        </w:tc>
        <w:tc>
          <w:tcPr>
            <w:tcW w:w="8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596"/>
        </w:trPr>
        <w:tc>
          <w:tcPr>
            <w:tcW w:w="3020" w:type="dxa"/>
            <w:vAlign w:val="bottom"/>
          </w:tcPr>
          <w:p>
            <w:pPr>
              <w:spacing w:after="0"/>
              <w:rPr>
                <w:sz w:val="24"/>
                <w:szCs w:val="2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1996</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 CHANGE</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 CHANGE</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302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245"/>
        </w:trPr>
        <w:tc>
          <w:tcPr>
            <w:tcW w:w="30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5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(DOLLARS IN MILLIONS)</w:t>
            </w:r>
          </w:p>
        </w:tc>
        <w:tc>
          <w:tcPr>
            <w:tcW w:w="660" w:type="dxa"/>
            <w:vAlign w:val="bottom"/>
          </w:tcPr>
          <w:p>
            <w:pPr>
              <w:spacing w:after="0"/>
              <w:rPr>
                <w:sz w:val="21"/>
                <w:szCs w:val="21"/>
                <w:color w:val="auto"/>
              </w:rPr>
            </w:pPr>
          </w:p>
        </w:tc>
      </w:tr>
      <w:tr>
        <w:trPr>
          <w:trHeight w:val="259"/>
        </w:trPr>
        <w:tc>
          <w:tcPr>
            <w:tcW w:w="3020" w:type="dxa"/>
            <w:vAlign w:val="bottom"/>
          </w:tcPr>
          <w:p>
            <w:pPr>
              <w:spacing w:after="0"/>
              <w:rPr>
                <w:sz w:val="20"/>
                <w:szCs w:val="20"/>
                <w:color w:val="auto"/>
              </w:rPr>
            </w:pPr>
            <w:r>
              <w:rPr>
                <w:rFonts w:ascii="Courier New" w:cs="Courier New" w:eastAsia="Courier New" w:hAnsi="Courier New"/>
                <w:sz w:val="15"/>
                <w:szCs w:val="15"/>
                <w:color w:val="auto"/>
                <w:w w:val="98"/>
              </w:rPr>
              <w:t>Gross margin......................</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$1,455.4</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(10.4)%</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$1,624.0</w:t>
            </w:r>
          </w:p>
        </w:tc>
        <w:tc>
          <w:tcPr>
            <w:tcW w:w="7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93.5%</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$839.2</w:t>
            </w:r>
          </w:p>
        </w:tc>
      </w:tr>
      <w:tr>
        <w:trPr>
          <w:trHeight w:val="245"/>
        </w:trPr>
        <w:tc>
          <w:tcPr>
            <w:tcW w:w="3020" w:type="dxa"/>
            <w:vAlign w:val="bottom"/>
          </w:tcPr>
          <w:p>
            <w:pPr>
              <w:spacing w:after="0"/>
              <w:rPr>
                <w:sz w:val="20"/>
                <w:szCs w:val="20"/>
                <w:color w:val="auto"/>
              </w:rPr>
            </w:pPr>
            <w:r>
              <w:rPr>
                <w:rFonts w:ascii="Courier New" w:cs="Courier New" w:eastAsia="Courier New" w:hAnsi="Courier New"/>
                <w:sz w:val="15"/>
                <w:szCs w:val="15"/>
                <w:color w:val="auto"/>
                <w:w w:val="98"/>
              </w:rPr>
              <w:t>as a % of net sales...............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39.8%</w:t>
            </w:r>
          </w:p>
        </w:tc>
        <w:tc>
          <w:tcPr>
            <w:tcW w:w="8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55.0%</w:t>
            </w:r>
          </w:p>
        </w:tc>
        <w:tc>
          <w:tcPr>
            <w:tcW w:w="7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51.5%</w:t>
            </w:r>
          </w:p>
        </w:tc>
      </w:tr>
    </w:tbl>
    <w:p>
      <w:pPr>
        <w:spacing w:after="0" w:line="259" w:lineRule="exact"/>
        <w:rPr>
          <w:sz w:val="20"/>
          <w:szCs w:val="20"/>
          <w:color w:val="auto"/>
        </w:rPr>
      </w:pPr>
    </w:p>
    <w:p>
      <w:pPr>
        <w:ind w:right="3399" w:firstLine="175"/>
        <w:spacing w:after="0" w:line="243" w:lineRule="auto"/>
        <w:rPr>
          <w:sz w:val="20"/>
          <w:szCs w:val="20"/>
          <w:color w:val="auto"/>
        </w:rPr>
      </w:pPr>
      <w:r>
        <w:rPr>
          <w:rFonts w:ascii="Courier New" w:cs="Courier New" w:eastAsia="Courier New" w:hAnsi="Courier New"/>
          <w:sz w:val="15"/>
          <w:szCs w:val="15"/>
          <w:color w:val="auto"/>
        </w:rPr>
        <w:t>The Company's gross margin percentage in 1996 was lower than in 1995 primarily as a result of lower average selling prices for semiconductor memory products and higher net sales of PC systems as a percentage of total net sales. The Company's gross margin percentage on sales of semiconductor memory products for 1996 was 56%, compared to 65% and 57% in 1995 and 1994, respectively. The lower gross margin percentage on sales of semiconductor memory products in 1996 was principally due to a sharp decline in average selling prices for such products as compared to more gradual decreases in per megabit manufacturing costs. Decreases in the Company's manufacturing costs per megabit were achieved through significant increases in volume production which principally resulted from greater number of die per wafer achieved through conversion of Fab III to 8-inch wafers, transitions to shrink versions of existing products, improved manufacturing yields, increased wafer output and a shift in the Company's mix of semiconductor memory products to higher density devices. The lower gross margin percentage on sales of semiconductor memory products in 1996 was partially offset by the effect of a net reduction of approximately $55.0 million in accruals recorded in prior years relating to product and process rights contingencies for both semiconductor and personal computer operations.</w:t>
      </w:r>
    </w:p>
    <w:p>
      <w:pPr>
        <w:spacing w:after="0" w:line="95" w:lineRule="exact"/>
        <w:rPr>
          <w:sz w:val="20"/>
          <w:szCs w:val="20"/>
          <w:color w:val="auto"/>
        </w:rPr>
      </w:pPr>
    </w:p>
    <w:p>
      <w:pPr>
        <w:ind w:right="3399" w:firstLine="175"/>
        <w:spacing w:after="0" w:line="248" w:lineRule="auto"/>
        <w:rPr>
          <w:sz w:val="20"/>
          <w:szCs w:val="20"/>
          <w:color w:val="auto"/>
        </w:rPr>
      </w:pPr>
      <w:r>
        <w:rPr>
          <w:rFonts w:ascii="Courier New" w:cs="Courier New" w:eastAsia="Courier New" w:hAnsi="Courier New"/>
          <w:sz w:val="15"/>
          <w:szCs w:val="15"/>
          <w:color w:val="auto"/>
        </w:rPr>
        <w:t>Sales of PC systems generally had a lower gross margin percentage than sales of the Company's semiconductor memory products in 1996. However, the gross margin percentage on sales of PC systems increased in 1996 compared to 1995 primarily as a result of improved component costs and improved inventory management. In addition, increased sales of notebook PC products favorably affected the gross margin percentage on sales of PC systems. While sales of PC systems generally continued to have a lower gross margin percentage than sales of the Company's semiconductor memory products in fiscal 1996, the gross margin percentage on sales of PC systems was higher in the fourth quarter of fiscal 1996 than the gross margin percentage on sales of semiconductor memory products.</w:t>
      </w:r>
    </w:p>
    <w:p>
      <w:pPr>
        <w:spacing w:after="0" w:line="87" w:lineRule="exact"/>
        <w:rPr>
          <w:sz w:val="20"/>
          <w:szCs w:val="20"/>
          <w:color w:val="auto"/>
        </w:rPr>
      </w:pPr>
    </w:p>
    <w:p>
      <w:pPr>
        <w:ind w:right="3399" w:firstLine="175"/>
        <w:spacing w:after="0" w:line="273" w:lineRule="auto"/>
        <w:rPr>
          <w:sz w:val="20"/>
          <w:szCs w:val="20"/>
          <w:color w:val="auto"/>
        </w:rPr>
      </w:pPr>
      <w:r>
        <w:rPr>
          <w:rFonts w:ascii="Courier New" w:cs="Courier New" w:eastAsia="Courier New" w:hAnsi="Courier New"/>
          <w:sz w:val="14"/>
          <w:szCs w:val="14"/>
          <w:color w:val="auto"/>
        </w:rPr>
        <w:t>Cost of goods sold includes estimated costs of settlement or adjudication of asserted and unasserted claims for patent infringement prior to the balance sheet date and costs of product and process technology licensing arrangements. Product and process technology costs decreased as a percentage of total net sales in 1996 principally due to the higher level of net sales of PC systems in 1996 which are subject to generally lower royalty costs compared to the Company's semiconductor memory products, and due to the resolution of contingencies for product and process technology rights.</w:t>
      </w:r>
    </w:p>
    <w:p>
      <w:pPr>
        <w:spacing w:after="0" w:line="71" w:lineRule="exact"/>
        <w:rPr>
          <w:sz w:val="20"/>
          <w:szCs w:val="20"/>
          <w:color w:val="auto"/>
        </w:rPr>
      </w:pPr>
    </w:p>
    <w:p>
      <w:pPr>
        <w:ind w:right="3399" w:firstLine="175"/>
        <w:spacing w:after="0" w:line="270" w:lineRule="auto"/>
        <w:rPr>
          <w:sz w:val="20"/>
          <w:szCs w:val="20"/>
          <w:color w:val="auto"/>
        </w:rPr>
      </w:pPr>
      <w:r>
        <w:rPr>
          <w:rFonts w:ascii="Courier New" w:cs="Courier New" w:eastAsia="Courier New" w:hAnsi="Courier New"/>
          <w:sz w:val="14"/>
          <w:szCs w:val="14"/>
          <w:color w:val="auto"/>
        </w:rPr>
        <w:t>The slight increase in gross margin percentage for 1995 compared to 1994 was principally due to relatively stable prices as compared to reductions in cost per megabit of memory sold for DRAM products. Reductions in cost per megabit of memory sold were realized primarily from a combination of increased wafer output, yield improvements, die shrinks and transitions to generally higher density memory products. This slight increase in gross margin percentage was offset in part by higher net sales of PC systems as a percentage of net sales. Sales of PC systems generally had a lower gross margin percentage than sales of the Company's semiconductor memory products in 1995.</w:t>
      </w:r>
    </w:p>
    <w:p>
      <w:pPr>
        <w:spacing w:after="0" w:line="7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SELLING, GENERAL AND ADMINISTRATIVE</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1996</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w w:val="99"/>
              </w:rPr>
              <w:t>% CHANGE</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 CHANGE</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168"/>
        </w:trPr>
        <w:tc>
          <w:tcPr>
            <w:tcW w:w="286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4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 ------</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 ------</w:t>
            </w:r>
          </w:p>
        </w:tc>
        <w:tc>
          <w:tcPr>
            <w:tcW w:w="0" w:type="dxa"/>
            <w:vAlign w:val="bottom"/>
          </w:tcPr>
          <w:p>
            <w:pPr>
              <w:spacing w:after="0"/>
              <w:rPr>
                <w:sz w:val="1"/>
                <w:szCs w:val="1"/>
                <w:color w:val="auto"/>
              </w:rPr>
            </w:pPr>
          </w:p>
        </w:tc>
      </w:tr>
      <w:tr>
        <w:trPr>
          <w:trHeight w:val="245"/>
        </w:trPr>
        <w:tc>
          <w:tcPr>
            <w:tcW w:w="28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(DOLLARS IN MILLIONS)</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860" w:type="dxa"/>
            <w:vAlign w:val="bottom"/>
          </w:tcPr>
          <w:p>
            <w:pPr>
              <w:jc w:val="right"/>
              <w:ind w:right="1027"/>
              <w:spacing w:after="0"/>
              <w:rPr>
                <w:sz w:val="20"/>
                <w:szCs w:val="20"/>
                <w:color w:val="auto"/>
              </w:rPr>
            </w:pPr>
            <w:r>
              <w:rPr>
                <w:rFonts w:ascii="Courier New" w:cs="Courier New" w:eastAsia="Courier New" w:hAnsi="Courier New"/>
                <w:sz w:val="15"/>
                <w:szCs w:val="15"/>
                <w:color w:val="auto"/>
                <w:w w:val="96"/>
              </w:rPr>
              <w:t>Selling, general and</w:t>
            </w:r>
          </w:p>
        </w:tc>
        <w:tc>
          <w:tcPr>
            <w:tcW w:w="7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9"/>
              </w:rPr>
              <w:t>$289.4</w:t>
            </w:r>
          </w:p>
        </w:tc>
        <w:tc>
          <w:tcPr>
            <w:tcW w:w="7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54.6%</w:t>
            </w:r>
          </w:p>
        </w:tc>
        <w:tc>
          <w:tcPr>
            <w:tcW w:w="7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9"/>
              </w:rPr>
              <w:t>$187.2</w:t>
            </w:r>
          </w:p>
        </w:tc>
        <w:tc>
          <w:tcPr>
            <w:tcW w:w="7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43.2%</w:t>
            </w:r>
          </w:p>
        </w:tc>
        <w:tc>
          <w:tcPr>
            <w:tcW w:w="6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$130.7</w:t>
            </w:r>
          </w:p>
        </w:tc>
        <w:tc>
          <w:tcPr>
            <w:tcW w:w="0" w:type="dxa"/>
            <w:vAlign w:val="bottom"/>
          </w:tcPr>
          <w:p>
            <w:pPr>
              <w:spacing w:after="0"/>
              <w:rPr>
                <w:sz w:val="1"/>
                <w:szCs w:val="1"/>
                <w:color w:val="auto"/>
              </w:rPr>
            </w:pPr>
          </w:p>
        </w:tc>
      </w:tr>
      <w:tr>
        <w:trPr>
          <w:trHeight w:val="168"/>
        </w:trPr>
        <w:tc>
          <w:tcPr>
            <w:tcW w:w="2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administrative.................</w:t>
            </w:r>
          </w:p>
        </w:tc>
        <w:tc>
          <w:tcPr>
            <w:tcW w:w="7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w w:val="96"/>
              </w:rPr>
              <w:t>as a % of net sales.............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c>
          <w:tcPr>
            <w:tcW w:w="7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c>
          <w:tcPr>
            <w:tcW w:w="7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c>
          <w:tcPr>
            <w:tcW w:w="0" w:type="dxa"/>
            <w:vAlign w:val="bottom"/>
          </w:tcPr>
          <w:p>
            <w:pPr>
              <w:spacing w:after="0"/>
              <w:rPr>
                <w:sz w:val="1"/>
                <w:szCs w:val="1"/>
                <w:color w:val="auto"/>
              </w:rPr>
            </w:pPr>
          </w:p>
        </w:tc>
      </w:tr>
      <w:tr>
        <w:trPr>
          <w:trHeight w:val="505"/>
        </w:trPr>
        <w:tc>
          <w:tcPr>
            <w:tcW w:w="28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98" w:right="1440" w:bottom="1440" w:gutter="0" w:footer="0" w:header="0"/>
        </w:sectPr>
      </w:pPr>
    </w:p>
    <w:bookmarkStart w:id="19" w:name="page20"/>
    <w:bookmarkEnd w:id="19"/>
    <w:p>
      <w:pPr>
        <w:ind w:right="3239" w:firstLine="175"/>
        <w:spacing w:after="0" w:line="246" w:lineRule="auto"/>
        <w:rPr>
          <w:sz w:val="20"/>
          <w:szCs w:val="20"/>
          <w:color w:val="auto"/>
        </w:rPr>
      </w:pPr>
      <w:r>
        <w:rPr>
          <w:rFonts w:ascii="Courier New" w:cs="Courier New" w:eastAsia="Courier New" w:hAnsi="Courier New"/>
          <w:sz w:val="15"/>
          <w:szCs w:val="15"/>
          <w:color w:val="auto"/>
        </w:rPr>
        <w:t>The higher level of selling, general and administrative expenses for 1996 as compared to 1995 principally resulted from a higher level of personnel costs associated with the increased number of administrative employees and sales and technical support employees in the Company's PC operations and, to a lesser extent, increased legal costs associated with the development and resolution of product and process technology rights and contingencies, advertising costs for the Company's PC operations and depreciation expense resulting from the addition of new computer equipment in late 1995 and 1996. In addition, selling, general and administrative expenses for 1996 reflect an approximate $21 million pretax gain from the disposal of equipment, compared to a $7 million pretax gain in 1995. During the fourth quarter of fiscal 1996, the Company charged operations with a $9 million accrual relating to revisions of estimates for selling costs associated with sales of PC systems.</w:t>
      </w:r>
    </w:p>
    <w:p>
      <w:pPr>
        <w:spacing w:after="0" w:line="91" w:lineRule="exact"/>
        <w:rPr>
          <w:sz w:val="20"/>
          <w:szCs w:val="20"/>
          <w:color w:val="auto"/>
        </w:rPr>
      </w:pPr>
    </w:p>
    <w:p>
      <w:pPr>
        <w:ind w:right="3399" w:firstLine="175"/>
        <w:spacing w:after="0" w:line="273" w:lineRule="auto"/>
        <w:rPr>
          <w:sz w:val="20"/>
          <w:szCs w:val="20"/>
          <w:color w:val="auto"/>
        </w:rPr>
      </w:pPr>
      <w:r>
        <w:rPr>
          <w:rFonts w:ascii="Courier New" w:cs="Courier New" w:eastAsia="Courier New" w:hAnsi="Courier New"/>
          <w:sz w:val="14"/>
          <w:szCs w:val="14"/>
          <w:color w:val="auto"/>
        </w:rPr>
        <w:t>The higher level of selling, general and administrative expenses for 1995 as compared to 1994 principally resulted from a higher level of personnel costs associated with the Company's profit sharing programs, an increased number of administrative employees and, to a lesser extent, increased advertising costs and credit card processing fees associated with the increased level of sales from the Company's PC operations. Such increases were partially offset by a reduction in legal fees compared to 1994 primarily resulting from the Company's resolution of product and process technology rights contingencies.</w:t>
      </w:r>
    </w:p>
    <w:p>
      <w:pPr>
        <w:spacing w:after="0" w:line="7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RESEARCH AND DEVELOPMENT</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1996</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w w:val="99"/>
              </w:rPr>
              <w:t>% CHANGE</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 CHANGE</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312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 -----</w:t>
            </w:r>
          </w:p>
        </w:tc>
      </w:tr>
      <w:tr>
        <w:trPr>
          <w:trHeight w:val="245"/>
        </w:trPr>
        <w:tc>
          <w:tcPr>
            <w:tcW w:w="3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w w:val="99"/>
              </w:rPr>
              <w:t>(DOLLARS</w:t>
            </w:r>
          </w:p>
        </w:tc>
        <w:tc>
          <w:tcPr>
            <w:tcW w:w="14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w w:val="99"/>
              </w:rPr>
              <w:t>IN MILLIONS)</w:t>
            </w:r>
          </w:p>
        </w:tc>
        <w:tc>
          <w:tcPr>
            <w:tcW w:w="580" w:type="dxa"/>
            <w:vAlign w:val="bottom"/>
          </w:tcPr>
          <w:p>
            <w:pPr>
              <w:spacing w:after="0"/>
              <w:rPr>
                <w:sz w:val="21"/>
                <w:szCs w:val="21"/>
                <w:color w:val="auto"/>
              </w:rPr>
            </w:pPr>
          </w:p>
        </w:tc>
      </w:tr>
      <w:tr>
        <w:trPr>
          <w:trHeight w:val="259"/>
        </w:trPr>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Research and development...........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$191.9</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49.0%</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$128.8</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54.4%</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$83.4</w:t>
            </w:r>
          </w:p>
        </w:tc>
      </w:tr>
      <w:tr>
        <w:trPr>
          <w:trHeight w:val="245"/>
        </w:trPr>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as a % of net sales................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7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7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bl>
    <w:p>
      <w:pPr>
        <w:spacing w:after="0" w:line="259" w:lineRule="exact"/>
        <w:rPr>
          <w:sz w:val="20"/>
          <w:szCs w:val="20"/>
          <w:color w:val="auto"/>
        </w:rPr>
      </w:pPr>
    </w:p>
    <w:p>
      <w:pPr>
        <w:ind w:right="3399" w:firstLine="175"/>
        <w:spacing w:after="0" w:line="270" w:lineRule="auto"/>
        <w:rPr>
          <w:sz w:val="20"/>
          <w:szCs w:val="20"/>
          <w:color w:val="auto"/>
        </w:rPr>
      </w:pPr>
      <w:r>
        <w:rPr>
          <w:rFonts w:ascii="Courier New" w:cs="Courier New" w:eastAsia="Courier New" w:hAnsi="Courier New"/>
          <w:sz w:val="14"/>
          <w:szCs w:val="14"/>
          <w:color w:val="auto"/>
        </w:rPr>
        <w:t>Research and development expenses vary primarily with the number of wafers and personnel dedicated to new product and process development. The Company's research and development efforts are currently focused principally on further development of shrink versions of the 16 Meg DRAM. Development efforts are also focused on 16 Meg and 64 Meg SDRAM and a move from .35 (mu) process technology to .25 (mu) and .18 (mu) process technology. Other research and development efforts are currently devoted to design of the 64 Meg, 256 Meg and 1 Gig DRAMs, and design and development of new technologies including remote intelligent communications products and Flash semiconductor memory products.</w:t>
      </w:r>
    </w:p>
    <w:p>
      <w:pPr>
        <w:spacing w:after="0" w:line="7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INCOME TAX PROVISION</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Courier New" w:cs="Courier New" w:eastAsia="Courier New" w:hAnsi="Courier New"/>
                <w:sz w:val="15"/>
                <w:szCs w:val="15"/>
                <w:color w:val="auto"/>
                <w:w w:val="94"/>
              </w:rPr>
              <w:t>1996</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 CHANGE</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1995</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7"/>
              </w:rPr>
              <w:t>% CHANGE</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3640" w:type="dxa"/>
            <w:vAlign w:val="bottom"/>
          </w:tcPr>
          <w:p>
            <w:pPr>
              <w:spacing w:after="0"/>
              <w:rPr>
                <w:sz w:val="14"/>
                <w:szCs w:val="14"/>
                <w:color w:val="auto"/>
              </w:rPr>
            </w:pP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20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 ------</w:t>
            </w:r>
          </w:p>
        </w:tc>
      </w:tr>
      <w:tr>
        <w:trPr>
          <w:trHeight w:val="245"/>
        </w:trPr>
        <w:tc>
          <w:tcPr>
            <w:tcW w:w="3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6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(DOLLARS IN MILLIONS)</w:t>
            </w:r>
          </w:p>
        </w:tc>
        <w:tc>
          <w:tcPr>
            <w:tcW w:w="580" w:type="dxa"/>
            <w:vAlign w:val="bottom"/>
          </w:tcPr>
          <w:p>
            <w:pPr>
              <w:spacing w:after="0"/>
              <w:rPr>
                <w:sz w:val="21"/>
                <w:szCs w:val="21"/>
                <w:color w:val="auto"/>
              </w:rPr>
            </w:pP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w w:val="98"/>
              </w:rPr>
              <w:t>Income tax provision.....................</w:t>
            </w:r>
          </w:p>
        </w:tc>
        <w:tc>
          <w:tcPr>
            <w:tcW w:w="620" w:type="dxa"/>
            <w:vAlign w:val="bottom"/>
          </w:tcPr>
          <w:p>
            <w:pPr>
              <w:jc w:val="center"/>
              <w:spacing w:after="0"/>
              <w:rPr>
                <w:sz w:val="20"/>
                <w:szCs w:val="20"/>
                <w:color w:val="auto"/>
              </w:rPr>
            </w:pPr>
            <w:r>
              <w:rPr>
                <w:rFonts w:ascii="Courier New" w:cs="Courier New" w:eastAsia="Courier New" w:hAnsi="Courier New"/>
                <w:sz w:val="15"/>
                <w:szCs w:val="15"/>
                <w:color w:val="auto"/>
                <w:w w:val="96"/>
              </w:rPr>
              <w:t>$357.0</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$506.4</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$225.3</w:t>
            </w:r>
          </w:p>
        </w:tc>
      </w:tr>
    </w:tbl>
    <w:p>
      <w:pPr>
        <w:spacing w:after="0" w:line="259" w:lineRule="exact"/>
        <w:rPr>
          <w:sz w:val="20"/>
          <w:szCs w:val="20"/>
          <w:color w:val="auto"/>
        </w:rPr>
      </w:pPr>
    </w:p>
    <w:p>
      <w:pPr>
        <w:ind w:right="3399" w:firstLine="175"/>
        <w:spacing w:after="0" w:line="252" w:lineRule="auto"/>
        <w:rPr>
          <w:sz w:val="20"/>
          <w:szCs w:val="20"/>
          <w:color w:val="auto"/>
        </w:rPr>
      </w:pPr>
      <w:r>
        <w:rPr>
          <w:rFonts w:ascii="Courier New" w:cs="Courier New" w:eastAsia="Courier New" w:hAnsi="Courier New"/>
          <w:sz w:val="15"/>
          <w:szCs w:val="15"/>
          <w:color w:val="auto"/>
        </w:rPr>
        <w:t>The effective tax rate for 1996 was 37.6%, which primarily reflects the statutory corporate tax rate and the net effect of state taxation. The effective tax rates for 1995 and 1994 were 37.5% and 36.0%, respectively. The changes in the effective tax rates were principally due to the change in the mix of income among taxing jurisdictions and the utilization of state tax credits as a percentage of pretax income. State income taxes have been reduced by state tax credits. As of June 1996, MEI was not consolidated with MTI for federal income tax purposes.</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66" w:lineRule="exact"/>
        <w:rPr>
          <w:sz w:val="20"/>
          <w:szCs w:val="20"/>
          <w:color w:val="auto"/>
        </w:rPr>
      </w:pPr>
    </w:p>
    <w:p>
      <w:pPr>
        <w:ind w:right="3499" w:firstLine="175"/>
        <w:spacing w:after="0" w:line="258" w:lineRule="auto"/>
        <w:rPr>
          <w:sz w:val="20"/>
          <w:szCs w:val="20"/>
          <w:color w:val="auto"/>
        </w:rPr>
      </w:pPr>
      <w:r>
        <w:rPr>
          <w:rFonts w:ascii="Courier New" w:cs="Courier New" w:eastAsia="Courier New" w:hAnsi="Courier New"/>
          <w:sz w:val="15"/>
          <w:szCs w:val="15"/>
          <w:color w:val="auto"/>
        </w:rPr>
        <w:t>As of August 29, 1996, the Company had cash and liquid investments totaling $287 million, representing a decrease of $269 million during 1996. Approximately $115 million of the Company's consolidated cash and liquid investments were held by MEI. Cash generated from operations by MEI is not readily available or anticipated to be available to finance operations or other expenditures of MTI.</w:t>
      </w:r>
    </w:p>
    <w:p>
      <w:pPr>
        <w:spacing w:after="0" w:line="25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598" w:right="1440" w:bottom="1440" w:gutter="0" w:footer="0" w:header="0"/>
        </w:sectPr>
      </w:pPr>
    </w:p>
    <w:bookmarkStart w:id="20" w:name="page21"/>
    <w:bookmarkEnd w:id="20"/>
    <w:p>
      <w:pPr>
        <w:ind w:right="3399" w:firstLine="175"/>
        <w:spacing w:after="0" w:line="258" w:lineRule="auto"/>
        <w:rPr>
          <w:sz w:val="20"/>
          <w:szCs w:val="20"/>
          <w:color w:val="auto"/>
        </w:rPr>
      </w:pPr>
      <w:r>
        <w:rPr>
          <w:rFonts w:ascii="Courier New" w:cs="Courier New" w:eastAsia="Courier New" w:hAnsi="Courier New"/>
          <w:sz w:val="15"/>
          <w:szCs w:val="15"/>
          <w:color w:val="auto"/>
        </w:rPr>
        <w:t>The Company's principal sources of liquidity during 1996 were cash flows from operations of $1,061 million, equipment financing of $273 million and net borrowings under the Company's bank credit agreements of $90 million. The principal uses of funds in 1996 were $1,426 million for property, plant and equipment and $281 million for repayments of equipment contracts and long-term debt.</w:t>
      </w:r>
    </w:p>
    <w:p>
      <w:pPr>
        <w:spacing w:after="0" w:line="81" w:lineRule="exact"/>
        <w:rPr>
          <w:sz w:val="20"/>
          <w:szCs w:val="20"/>
          <w:color w:val="auto"/>
        </w:rPr>
      </w:pPr>
    </w:p>
    <w:p>
      <w:pPr>
        <w:ind w:right="3399" w:firstLine="175"/>
        <w:spacing w:after="0" w:line="244" w:lineRule="auto"/>
        <w:rPr>
          <w:sz w:val="20"/>
          <w:szCs w:val="20"/>
          <w:color w:val="auto"/>
        </w:rPr>
      </w:pPr>
      <w:r>
        <w:rPr>
          <w:rFonts w:ascii="Courier New" w:cs="Courier New" w:eastAsia="Courier New" w:hAnsi="Courier New"/>
          <w:sz w:val="15"/>
          <w:szCs w:val="15"/>
          <w:color w:val="auto"/>
        </w:rPr>
        <w:t>Cash flows from operations for fiscal 1996 were slightly higher than cash flows from operations in fiscal 1995. Cash flows from operations are significantly affected by average selling prices and variable cost per megabit for the Company's semiconductor memory products. For example, the Company estimates that each reduction in average selling prices of $0.25 per megabit reduced the Company's cash flows by approximately $200 million in fiscal 1996. In the future, to the extent that the Company's level of production increases, similar price decreases may have an even more significant impact. In 1996, the rate of decline in average selling prices for semiconductor memory products surpassed the rate at which the Company was able to decrease costs per megabit, and as a result the Company's cash flows were significantly adversely affected, particularly in the second half of fiscal 1996. In the event that average selling prices were to continue to decline faster than the rate at which the Company is able to decrease costs of production, the Company may not be able to generate sufficient cash flows from operations to sustain operations.</w:t>
      </w:r>
    </w:p>
    <w:p>
      <w:pPr>
        <w:spacing w:after="0" w:line="95" w:lineRule="exact"/>
        <w:rPr>
          <w:sz w:val="20"/>
          <w:szCs w:val="20"/>
          <w:color w:val="auto"/>
        </w:rPr>
      </w:pPr>
    </w:p>
    <w:p>
      <w:pPr>
        <w:ind w:right="3399" w:firstLine="175"/>
        <w:spacing w:after="0" w:line="261" w:lineRule="auto"/>
        <w:rPr>
          <w:sz w:val="20"/>
          <w:szCs w:val="20"/>
          <w:color w:val="auto"/>
        </w:rPr>
      </w:pPr>
      <w:r>
        <w:rPr>
          <w:rFonts w:ascii="Courier New" w:cs="Courier New" w:eastAsia="Courier New" w:hAnsi="Courier New"/>
          <w:sz w:val="14"/>
          <w:szCs w:val="14"/>
          <w:color w:val="auto"/>
        </w:rPr>
        <w:t>As of August 29, 1996, the Company had contractual commitments extending through calendar year 1997 of approximately $170 million for equipment purchases and approximately $9 million for the construction of facilities. The Company believes continuing investments in manufacturing technology, facilities and capital equipment, research and development, and product and process technology are necessary to support future growth, achieve operating efficiencies, and enhance product quality. The Company anticipates that it will need to spend approximately $500 million in fiscal 1997 to continue its capacity enhancement program. However, due to current market conditions the Company may not have sufficient internal sources of liquidity to continue its capacity enhancement program. As a result, in order to continue its capacity enhancement program as planned, the Company may need to secure additional financing from external sources. As of year end, the Company was evaluating a number of financing alternatives. There can be no assurance that external sources of liquidity will be available to fund the Company's ongoing operations or expansion, diversification and capital improvements in accordance with the Company's capacity enhancement program. The failure to obtain external sources of liquidity would hinder the Company's ability to make continued investments in its capacity enhancement program, which could materially adversely affect the Company's business and results of operations.</w:t>
      </w:r>
    </w:p>
    <w:p>
      <w:pPr>
        <w:spacing w:after="0" w:line="83" w:lineRule="exact"/>
        <w:rPr>
          <w:sz w:val="20"/>
          <w:szCs w:val="20"/>
          <w:color w:val="auto"/>
        </w:rPr>
      </w:pPr>
    </w:p>
    <w:p>
      <w:pPr>
        <w:ind w:right="3399" w:firstLine="175"/>
        <w:spacing w:after="0" w:line="245" w:lineRule="auto"/>
        <w:rPr>
          <w:sz w:val="20"/>
          <w:szCs w:val="20"/>
          <w:color w:val="auto"/>
        </w:rPr>
      </w:pPr>
      <w:r>
        <w:rPr>
          <w:rFonts w:ascii="Courier New" w:cs="Courier New" w:eastAsia="Courier New" w:hAnsi="Courier New"/>
          <w:sz w:val="15"/>
          <w:szCs w:val="15"/>
          <w:color w:val="auto"/>
        </w:rPr>
        <w:t>During the third quarter of 1996, the Company established a $500 million revolving credit agreement expiring in May 1999. The credit facility was amended in the fourth quarter of 1996 to reduce the total potential borrowing to $400 million and to modify the covenants to reflect changes in industry conditions. As of August 29, 1996, the Company had borrowings of $90 million outstanding under the facility. The amended agreement contains certain restrictive covenants and conditions including a borrowing base tied to the Company's accounts receivable, an Earnings Before Interest, Taxes, Depreciation and Amortization ("EBITDA") covenant, and a maximum net loss covenant. The Company was not in compliance with the EBITDA covenant at the end of the third fiscal quarter, at which time the Company obtained a waiver. As of August 29, 1996 the Company was in compliance with all bank covenants and conditions. There can be no assurance that the Company will continue to be able to meet the terms of the covenants and conditions or be able to borrow the full amount of the credit facility.</w:t>
      </w:r>
    </w:p>
    <w:p>
      <w:pPr>
        <w:spacing w:after="0" w:line="89" w:lineRule="exact"/>
        <w:rPr>
          <w:sz w:val="20"/>
          <w:szCs w:val="20"/>
          <w:color w:val="auto"/>
        </w:rPr>
      </w:pPr>
    </w:p>
    <w:p>
      <w:pPr>
        <w:ind w:right="3399" w:firstLine="175"/>
        <w:spacing w:after="0" w:line="298" w:lineRule="auto"/>
        <w:rPr>
          <w:sz w:val="20"/>
          <w:szCs w:val="20"/>
          <w:color w:val="auto"/>
        </w:rPr>
      </w:pPr>
      <w:r>
        <w:rPr>
          <w:rFonts w:ascii="Courier New" w:cs="Courier New" w:eastAsia="Courier New" w:hAnsi="Courier New"/>
          <w:sz w:val="14"/>
          <w:szCs w:val="14"/>
          <w:color w:val="auto"/>
        </w:rPr>
        <w:t>The Company's majority-owned subsidiary, MEI, has an unsecured revolving credit facility with two financial institutions providing for borrowings of up to $40 million. As of August 29, 1996, there were no borrowings outstanding under the agreement. Borrowings are limited based on the amount of</w:t>
      </w:r>
    </w:p>
    <w:p>
      <w:pPr>
        <w:spacing w:after="0" w:line="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598" w:right="1440" w:bottom="1440" w:gutter="0" w:footer="0" w:header="0"/>
        </w:sectPr>
      </w:pPr>
    </w:p>
    <w:bookmarkStart w:id="21" w:name="page22"/>
    <w:bookmarkEnd w:id="21"/>
    <w:p>
      <w:pPr>
        <w:ind w:right="3499"/>
        <w:spacing w:after="0" w:line="344" w:lineRule="auto"/>
        <w:rPr>
          <w:sz w:val="20"/>
          <w:szCs w:val="20"/>
          <w:color w:val="auto"/>
        </w:rPr>
      </w:pPr>
      <w:r>
        <w:rPr>
          <w:rFonts w:ascii="Courier New" w:cs="Courier New" w:eastAsia="Courier New" w:hAnsi="Courier New"/>
          <w:sz w:val="15"/>
          <w:szCs w:val="15"/>
          <w:color w:val="auto"/>
        </w:rPr>
        <w:t>MEI's eligible receivables. As of August 29, 1996, MEI was eligible to borrow the entire $40 million pursuant to the agreement.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FACTORS</w:t>
      </w:r>
    </w:p>
    <w:p>
      <w:pPr>
        <w:spacing w:after="0" w:line="166" w:lineRule="exact"/>
        <w:rPr>
          <w:sz w:val="20"/>
          <w:szCs w:val="20"/>
          <w:color w:val="auto"/>
        </w:rPr>
      </w:pPr>
    </w:p>
    <w:p>
      <w:pPr>
        <w:ind w:right="3399" w:firstLine="175"/>
        <w:spacing w:after="0" w:line="273" w:lineRule="auto"/>
        <w:rPr>
          <w:sz w:val="20"/>
          <w:szCs w:val="20"/>
          <w:color w:val="auto"/>
        </w:rPr>
      </w:pPr>
      <w:r>
        <w:rPr>
          <w:rFonts w:ascii="Courier New" w:cs="Courier New" w:eastAsia="Courier New" w:hAnsi="Courier New"/>
          <w:sz w:val="15"/>
          <w:szCs w:val="15"/>
          <w:color w:val="auto"/>
        </w:rPr>
        <w:t>In addition to the factors discussed elsewhere in this Annual Report on Form 10-K, the following are important factors which could cause actual results or events to differ materially from those contained in any forward-looking statement made by or on behalf of the Company.</w:t>
      </w:r>
    </w:p>
    <w:p>
      <w:pPr>
        <w:spacing w:after="0" w:line="6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VOLATILITY OF THE SEMICONDUCTOR MEMORY INDUSTRY; RECENT MARKET CONDITIONS</w:t>
      </w:r>
    </w:p>
    <w:p>
      <w:pPr>
        <w:spacing w:after="0" w:line="166" w:lineRule="exact"/>
        <w:rPr>
          <w:sz w:val="20"/>
          <w:szCs w:val="20"/>
          <w:color w:val="auto"/>
        </w:rPr>
      </w:pPr>
    </w:p>
    <w:p>
      <w:pPr>
        <w:ind w:right="3399" w:firstLine="175"/>
        <w:spacing w:after="0" w:line="245" w:lineRule="auto"/>
        <w:rPr>
          <w:sz w:val="20"/>
          <w:szCs w:val="20"/>
          <w:color w:val="auto"/>
        </w:rPr>
      </w:pPr>
      <w:r>
        <w:rPr>
          <w:rFonts w:ascii="Courier New" w:cs="Courier New" w:eastAsia="Courier New" w:hAnsi="Courier New"/>
          <w:sz w:val="15"/>
          <w:szCs w:val="15"/>
          <w:color w:val="auto"/>
        </w:rPr>
        <w:t>The semiconductor memory industry is characterized by rapid technological change, frequent product introductions and enhancements, difficult product transitions, relatively short product life cycles, rapid changes in market prices and volatile market conditions. Historically, the semiconductor industry has been highly cyclical, particularly in the market for DRAM products, which are the Company's primary semiconductor memory products. The selling prices for the Company's semiconductor memory products fluctuate significantly with changes in the balance of supply and demand for these commodity products. Market conditions through the end of fiscal 1996 indicated that growth in worldwide supply outpaced growth in demand. Many of the Company's competitors have recently added significant capacity for the production of semiconductor memory components. The amount of capacity placed into production and future yield improvements by the Company's competitors could dramatically increase worldwide supply of semiconductor memory and increase downward pressure on pricing.</w:t>
      </w:r>
    </w:p>
    <w:p>
      <w:pPr>
        <w:spacing w:after="0" w:line="89" w:lineRule="exact"/>
        <w:rPr>
          <w:sz w:val="20"/>
          <w:szCs w:val="20"/>
          <w:color w:val="auto"/>
        </w:rPr>
      </w:pPr>
    </w:p>
    <w:p>
      <w:pPr>
        <w:ind w:right="3399" w:firstLine="175"/>
        <w:spacing w:after="0" w:line="270" w:lineRule="auto"/>
        <w:rPr>
          <w:sz w:val="20"/>
          <w:szCs w:val="20"/>
          <w:color w:val="auto"/>
        </w:rPr>
      </w:pPr>
      <w:r>
        <w:rPr>
          <w:rFonts w:ascii="Courier New" w:cs="Courier New" w:eastAsia="Courier New" w:hAnsi="Courier New"/>
          <w:sz w:val="14"/>
          <w:szCs w:val="14"/>
          <w:color w:val="auto"/>
        </w:rPr>
        <w:t>Average sales prices for 4 Meg DRAM, the Company's primary product, declined approximately 78% from early December 1995 to late August 1996, while industry-wide average sales prices for 16 Meg DRAM products declined approximately 75% for the same period. There can be no assurance that the rate of decline of average sales prices will lessen or that market conditions will improve in the foreseeable future. These declines have had a material adverse effect on the Company's business and results of operations. Further declines in average sales prices for the Company's DRAM products could have a material adverse effect on the Company's business and results of operations.</w:t>
      </w:r>
    </w:p>
    <w:p>
      <w:pPr>
        <w:spacing w:after="0" w:line="7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DEPENDENCE ON PERSONAL COMPUTER INDUSTRY; CUSTOMER CONCENTRATION</w:t>
      </w:r>
    </w:p>
    <w:p>
      <w:pPr>
        <w:spacing w:after="0" w:line="166" w:lineRule="exact"/>
        <w:rPr>
          <w:sz w:val="20"/>
          <w:szCs w:val="20"/>
          <w:color w:val="auto"/>
        </w:rPr>
      </w:pPr>
    </w:p>
    <w:p>
      <w:pPr>
        <w:ind w:right="3399" w:firstLine="175"/>
        <w:spacing w:after="0" w:line="264" w:lineRule="auto"/>
        <w:rPr>
          <w:sz w:val="20"/>
          <w:szCs w:val="20"/>
          <w:color w:val="auto"/>
        </w:rPr>
      </w:pPr>
      <w:r>
        <w:rPr>
          <w:rFonts w:ascii="Courier New" w:cs="Courier New" w:eastAsia="Courier New" w:hAnsi="Courier New"/>
          <w:sz w:val="14"/>
          <w:szCs w:val="14"/>
          <w:color w:val="auto"/>
        </w:rPr>
        <w:t>DRAMs are the most widely used semiconductor memory component in most personal computer systems. Approximately 75% of the Company's sales of semiconductor memory products during the fourth quarter of fiscal 1996 were into the PC or peripheral markets. The Company believes that the rate of growth in overall worldwide sales of PC systems has declined and may remain below prior years' growth rates for the foreseeable future. In addition, the growth rate in the amount of semiconductor memory per PC system may decrease in the future as well. Should demand for PC systems decrease or the growth rate in the amount of memory per PC system decrease, growth in demand for semiconductor memory could also decrease, placing further downward pressure on selling prices for the Company's semiconductor memory products. The Company is unable to predict changes in industry supply, major customer inventory management strategies or end user demand, which are significant factors influencing pricing for the Company's semiconductor memory products.</w:t>
      </w:r>
    </w:p>
    <w:p>
      <w:pPr>
        <w:spacing w:after="0" w:line="81" w:lineRule="exact"/>
        <w:rPr>
          <w:sz w:val="20"/>
          <w:szCs w:val="20"/>
          <w:color w:val="auto"/>
        </w:rPr>
      </w:pPr>
    </w:p>
    <w:p>
      <w:pPr>
        <w:ind w:right="3399" w:firstLine="175"/>
        <w:spacing w:after="0" w:line="273" w:lineRule="auto"/>
        <w:rPr>
          <w:sz w:val="20"/>
          <w:szCs w:val="20"/>
          <w:color w:val="auto"/>
        </w:rPr>
      </w:pPr>
      <w:r>
        <w:rPr>
          <w:rFonts w:ascii="Courier New" w:cs="Courier New" w:eastAsia="Courier New" w:hAnsi="Courier New"/>
          <w:sz w:val="14"/>
          <w:szCs w:val="14"/>
          <w:color w:val="auto"/>
        </w:rPr>
        <w:t>Approximately 22% of the Company's net sales for fiscal 1996 were to the Company's top five customers. As a result of this concentration of the Company's customer base, loss or cancellation of business from any of these major PC system customers, significant changes in scheduled deliveries to any of these customers or decreases in the prices of products sold to any of these customers could have a material adverse effect on the Company's business and results of operations. Certain of MTI's key semiconductor memory customers compete directly with MEI in the sale of PC systems, and there</w:t>
      </w:r>
    </w:p>
    <w:p>
      <w:pPr>
        <w:spacing w:after="0" w:line="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598" w:right="1440" w:bottom="1440" w:gutter="0" w:footer="0" w:header="0"/>
        </w:sectPr>
      </w:pPr>
    </w:p>
    <w:bookmarkStart w:id="22" w:name="page23"/>
    <w:bookmarkEnd w:id="22"/>
    <w:p>
      <w:pPr>
        <w:ind w:right="3679"/>
        <w:spacing w:after="0" w:line="298" w:lineRule="auto"/>
        <w:rPr>
          <w:sz w:val="20"/>
          <w:szCs w:val="20"/>
          <w:color w:val="auto"/>
        </w:rPr>
      </w:pPr>
      <w:r>
        <w:rPr>
          <w:rFonts w:ascii="Courier New" w:cs="Courier New" w:eastAsia="Courier New" w:hAnsi="Courier New"/>
          <w:sz w:val="14"/>
          <w:szCs w:val="14"/>
          <w:color w:val="auto"/>
        </w:rPr>
        <w:t>can be no assurance that in the future such customers will, as a result of this competition with MEI, continue to purchase the Company's semiconductor memory products. A loss of any of these customers could have a material adverse effect on the Company's business and results of operations.</w:t>
      </w:r>
    </w:p>
    <w:p>
      <w:pPr>
        <w:spacing w:after="0" w:line="5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FLUCTUATIONS IN OPERATING RESULTS</w:t>
      </w:r>
    </w:p>
    <w:p>
      <w:pPr>
        <w:spacing w:after="0" w:line="166" w:lineRule="exact"/>
        <w:rPr>
          <w:sz w:val="20"/>
          <w:szCs w:val="20"/>
          <w:color w:val="auto"/>
        </w:rPr>
      </w:pPr>
    </w:p>
    <w:p>
      <w:pPr>
        <w:ind w:right="3399" w:firstLine="175"/>
        <w:spacing w:after="0" w:line="265" w:lineRule="auto"/>
        <w:rPr>
          <w:sz w:val="20"/>
          <w:szCs w:val="20"/>
          <w:color w:val="auto"/>
        </w:rPr>
      </w:pPr>
      <w:r>
        <w:rPr>
          <w:rFonts w:ascii="Courier New" w:cs="Courier New" w:eastAsia="Courier New" w:hAnsi="Courier New"/>
          <w:sz w:val="14"/>
          <w:szCs w:val="14"/>
          <w:color w:val="auto"/>
        </w:rPr>
        <w:t>The Company's past operating results have been, and its future operating results may be, subject to annual and quarterly fluctuations as a result of a wide variety of factors, including, without limitation, the cyclical nature of the semiconductor memory industry, the introduction and announcement of new products and process technologies by the Company or its competitors, pricing pressures, the speed in which the Company reduces costs for any particular new product, fluctuations in manufacturing yields, changes in product mix, the cost and availability of raw materials and general worldwide economic conditions. During the three fiscal quarters ended August 29, 1996, DRAM market conditions were characterized by excess supply over demand, resulting in declining prices. Any additional price declines for memory products in the future, either due to increased supply or decreased demand, could have an adverse effect on the Company's business and results of operations.</w:t>
      </w:r>
    </w:p>
    <w:p>
      <w:pPr>
        <w:spacing w:after="0" w:line="78" w:lineRule="exact"/>
        <w:rPr>
          <w:sz w:val="20"/>
          <w:szCs w:val="20"/>
          <w:color w:val="auto"/>
        </w:rPr>
      </w:pPr>
    </w:p>
    <w:p>
      <w:pPr>
        <w:ind w:right="3399" w:firstLine="175"/>
        <w:spacing w:after="0" w:line="262" w:lineRule="auto"/>
        <w:rPr>
          <w:sz w:val="20"/>
          <w:szCs w:val="20"/>
          <w:color w:val="auto"/>
        </w:rPr>
      </w:pPr>
      <w:r>
        <w:rPr>
          <w:rFonts w:ascii="Courier New" w:cs="Courier New" w:eastAsia="Courier New" w:hAnsi="Courier New"/>
          <w:sz w:val="14"/>
          <w:szCs w:val="14"/>
          <w:color w:val="auto"/>
        </w:rPr>
        <w:t>The Company's operating results are also significantly impacted by the operating results of its consolidated subsidiaries, in particular MEI. As DRAM prices have fallen and as unit shipments of PC systems have increased, MTI's consolidated results of operations have been increasingly affected by MEI's results of operations. While sales of PC systems, less sales to MEI of MTI's semiconductor memory products included therein, constituted approximately 31% of MTI's total net sales for fiscal 1996, such sales in the fourth quarter of fiscal 1996 constituted approximately 50% of MTI's total net sales. MEI's past operating results have been, and its future operating results may be, subject to fluctuations, on a quarterly and an annual basis, as a result of a wide variety of factors, including, but not limited to, the timing of new product introductions by MEI and its competitors, fluctuating market pricing for computer and semiconductor memory products, industry competition, fluctuating component costs, inventory obsolescence, critical component availability, seasonal cycles common in the personal computer industry, seasonal government purchasing cycles, the effect of product reviews and industry awards, changes in product mix, manufacturing and production constraints and the timing of orders from and shipments to OEM customers.</w:t>
      </w:r>
    </w:p>
    <w:p>
      <w:pPr>
        <w:spacing w:after="0" w:line="79"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MANUFACTURING RISKS AND VOLUME PRODUCTION</w:t>
      </w:r>
    </w:p>
    <w:p>
      <w:pPr>
        <w:spacing w:after="0" w:line="166" w:lineRule="exact"/>
        <w:rPr>
          <w:sz w:val="20"/>
          <w:szCs w:val="20"/>
          <w:color w:val="auto"/>
        </w:rPr>
      </w:pPr>
    </w:p>
    <w:p>
      <w:pPr>
        <w:jc w:val="both"/>
        <w:ind w:right="4019" w:firstLine="175"/>
        <w:spacing w:after="0" w:line="267" w:lineRule="auto"/>
        <w:rPr>
          <w:sz w:val="20"/>
          <w:szCs w:val="20"/>
          <w:color w:val="auto"/>
        </w:rPr>
      </w:pPr>
      <w:r>
        <w:rPr>
          <w:rFonts w:ascii="Courier New" w:cs="Courier New" w:eastAsia="Courier New" w:hAnsi="Courier New"/>
          <w:sz w:val="14"/>
          <w:szCs w:val="14"/>
          <w:color w:val="auto"/>
        </w:rPr>
        <w:t>The manufacturing of the Company's semiconductor memory products is a complex process and involves a number of precise steps, including wafer fabrication, assembly in a variety of packages, burn-in and final test.</w:t>
      </w:r>
    </w:p>
    <w:p>
      <w:pPr>
        <w:spacing w:after="0" w:line="1"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Efficient production of the Company's semiconductor memory products requires utilization of advanced semiconductor manufacturing techniques. The Company is engaged in ongoing efforts to enhance its production processes to reduce the die size of existing products and increase capacity. The Company has completed the conversion of Fab III to process 8-inch wafers and is continuing the conversion of Fab I to process 8-inch wafers, with completion anticipated prior to the end of calendar year 1996. There can be no assurance that the Company will not experience an interruption of its manufacturing processes or experience decreases in manufacturing yield as a result of conversions of wafer process technology. Wafer fabrication occurs in a highly controlled, clean environment to minimize dust and other yield- and quality-limiting contaminants. Despite stringent manufacturing controls, equipment does not consistently perform flawlessly and minute impurities, defects in the photo masks, or other difficulties in the process may cause a substantial percentage of the wafers to be rejected or individual circuits to be nonfunctional. The success of the Company's manufacturing operation will be largely dependent on its ability to minimize such impurities and to maximize its yield of acceptable high-quality circuits. In addition, the Company's manufacturing yields could be adversely affected in the event of future power outages similar to the power outages that have affected the Pacific Northwest during calendar year 1996. There can be no assurance that the Company will not experience decreases in manufacturing yields as a result of any such manufacturing problems.</w:t>
      </w:r>
    </w:p>
    <w:p>
      <w:pPr>
        <w:spacing w:after="0" w:line="2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598" w:right="1440" w:bottom="1440" w:gutter="0" w:footer="0" w:header="0"/>
        </w:sectPr>
      </w:pPr>
    </w:p>
    <w:bookmarkStart w:id="23" w:name="page24"/>
    <w:bookmarkEnd w:id="23"/>
    <w:p>
      <w:pPr>
        <w:ind w:right="3399" w:firstLine="175"/>
        <w:spacing w:after="0" w:line="245" w:lineRule="auto"/>
        <w:rPr>
          <w:sz w:val="20"/>
          <w:szCs w:val="20"/>
          <w:color w:val="auto"/>
        </w:rPr>
      </w:pPr>
      <w:r>
        <w:rPr>
          <w:rFonts w:ascii="Courier New" w:cs="Courier New" w:eastAsia="Courier New" w:hAnsi="Courier New"/>
          <w:sz w:val="15"/>
          <w:szCs w:val="15"/>
          <w:color w:val="auto"/>
        </w:rPr>
        <w:t>Completion of MTI's semiconductor manufacturing facility in Lehi, Utah is on indefinite hold as a result of the decline in average selling prices for semiconductor memory products. As of August 29, 1996, MTI had invested approximately $600 million in the Lehi facility. The cost to complete the Lehi facility is estimated to approximate $1.5 billion. There can be no assurance that MTI will be able to fund the completion of the Lehi manufacturing facility. The failure by MTI to complete the facility would likely result in MTI being required to write off all or a portion of the facility's cost, which, if required, could have a material adverse effect on the Company's business and results of operations. In addition, in the event that market conditions improve, there can be no assurance that MTI will successfully commence manufacturing at the Lehi facility in a manner that enables it to take advantage of the improved market conditions. Any such failure to respond to improved market conditions could have a material adverse effect on MTI's business and results of operations.</w:t>
      </w:r>
    </w:p>
    <w:p>
      <w:pPr>
        <w:spacing w:after="0" w:line="89" w:lineRule="exact"/>
        <w:rPr>
          <w:sz w:val="20"/>
          <w:szCs w:val="20"/>
          <w:color w:val="auto"/>
        </w:rPr>
      </w:pPr>
    </w:p>
    <w:p>
      <w:pPr>
        <w:ind w:right="3399" w:firstLine="175"/>
        <w:spacing w:after="0" w:line="250" w:lineRule="auto"/>
        <w:rPr>
          <w:sz w:val="20"/>
          <w:szCs w:val="20"/>
          <w:color w:val="auto"/>
        </w:rPr>
      </w:pPr>
      <w:r>
        <w:rPr>
          <w:rFonts w:ascii="Courier New" w:cs="Courier New" w:eastAsia="Courier New" w:hAnsi="Courier New"/>
          <w:sz w:val="15"/>
          <w:szCs w:val="15"/>
          <w:color w:val="auto"/>
        </w:rPr>
        <w:t>As a result of the significant investment in facilities and equipment associated with the production of DRAM products and the industry's history of declining average sales prices as products mature, the Company must produce and sell its DRAM products in significant volume and continue to reduce per megabit manufacturing costs in order to achieve profitability. There can be no assurance that revenues derived from sales of MTI's products will be sufficient to cover current fixed costs. In order to achieve profitability, the Company must continue to significantly increase its output of semiconductor memory.</w:t>
      </w:r>
    </w:p>
    <w:p>
      <w:pPr>
        <w:spacing w:after="0" w:line="89"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LIQUIDITY AND FUTURE CAPITAL NEEDS</w:t>
      </w:r>
    </w:p>
    <w:p>
      <w:pPr>
        <w:spacing w:after="0" w:line="166" w:lineRule="exact"/>
        <w:rPr>
          <w:sz w:val="20"/>
          <w:szCs w:val="20"/>
          <w:color w:val="auto"/>
        </w:rPr>
      </w:pPr>
    </w:p>
    <w:p>
      <w:pPr>
        <w:ind w:right="3399" w:firstLine="175"/>
        <w:spacing w:after="0" w:line="258" w:lineRule="auto"/>
        <w:rPr>
          <w:sz w:val="20"/>
          <w:szCs w:val="20"/>
          <w:color w:val="auto"/>
        </w:rPr>
      </w:pPr>
      <w:r>
        <w:rPr>
          <w:rFonts w:ascii="Courier New" w:cs="Courier New" w:eastAsia="Courier New" w:hAnsi="Courier New"/>
          <w:sz w:val="14"/>
          <w:szCs w:val="14"/>
          <w:color w:val="auto"/>
        </w:rPr>
        <w:t>DRAM manufacturers generally have substantial ongoing capital requirements to maintain or increase manufacturing capacity. Historically, the Company has reinvested substantially all of its cash flow from operations in capacity expansion and improvement programs. The Company's cash flows from operations are significantly affected by average selling prices and variable cost per megabit for the Company's semiconductor memory products. For example, the Company estimates that each reduction in average selling price of $0.25 per megabit reduced the Company's cash flows by approximately $200 million in fiscal 1996. In the future, to the extent that the Company's level of production increases, similar price decreases may have an even more significant impact. In 1996, the rate of decline in average selling prices for semiconductor memory products surpassed the rate at which the Company was able to decrease costs per megabit, and as a result the Company's cash flows were significantly adversely affected, particularly in the second half of fiscal 1996. In the event that average selling prices were to continue to decline faster than the rate at which the Company is able to decrease costs of production, the Company may not be able to generate sufficient cash flows from operations to sustain operations. The Company anticipates that it will need to spend approximately $500 million in fiscal 1997 to continue its capacity enhancement program. However, due to current market conditions the Company may not have sufficient internal sources of liquidity to continue its capacity enhancement program. As a result, in order to continue its capacity enhancement program as planned, the Company may need to secure additional financing from external sources. As of year end, the Company was evaluating a number of financing alternatives. There can be no assurance that external sources of liquidity will be available to fund the Company's ongoing operations or the Company's capacity enhancement program. In addition, cash generated from operations by MEI is not readily available or anticipated to be available to finance operations or other expenditures of MTI. The failure to obtain financing would hinder the Company's ability to make continued investments in its capacity enhancement program, which could materially adversely affect the Company's business and results of operations. The Company was not in compliance with one of its financial covenants under its revolving credit agreement at the end of the third fiscal quarter of 1996, at which time the Company obtained a waiver. As of August 29, 1996 the Company was in compliance with its covenants and conditions under the revolving credit agreement. There can be no assurance that the Company will continue to be able to meet the terms of the covenants and conditions or be able to borrow the full amount of the credit facility.</w:t>
      </w:r>
    </w:p>
    <w:p>
      <w:pPr>
        <w:spacing w:after="0" w:line="200" w:lineRule="exact"/>
        <w:rPr>
          <w:sz w:val="20"/>
          <w:szCs w:val="20"/>
          <w:color w:val="auto"/>
        </w:rPr>
      </w:pPr>
    </w:p>
    <w:p>
      <w:pPr>
        <w:spacing w:after="0" w:line="22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598" w:right="1440" w:bottom="1440" w:gutter="0" w:footer="0" w:header="0"/>
        </w:sectPr>
      </w:pPr>
    </w:p>
    <w:bookmarkStart w:id="24" w:name="page25"/>
    <w:bookmarkEnd w:id="24"/>
    <w:p>
      <w:pPr>
        <w:ind w:left="100"/>
        <w:spacing w:after="0"/>
        <w:rPr>
          <w:sz w:val="20"/>
          <w:szCs w:val="20"/>
          <w:color w:val="auto"/>
        </w:rPr>
      </w:pPr>
      <w:r>
        <w:rPr>
          <w:rFonts w:ascii="Courier New" w:cs="Courier New" w:eastAsia="Courier New" w:hAnsi="Courier New"/>
          <w:sz w:val="15"/>
          <w:szCs w:val="15"/>
          <w:color w:val="auto"/>
        </w:rPr>
        <w:t>PRODUCT DEVELOPMENT</w:t>
      </w:r>
    </w:p>
    <w:p>
      <w:pPr>
        <w:spacing w:after="0" w:line="166" w:lineRule="exact"/>
        <w:rPr>
          <w:sz w:val="20"/>
          <w:szCs w:val="20"/>
          <w:color w:val="auto"/>
        </w:rPr>
      </w:pPr>
    </w:p>
    <w:p>
      <w:pPr>
        <w:ind w:right="3239" w:firstLine="175"/>
        <w:spacing w:after="0" w:line="257" w:lineRule="auto"/>
        <w:rPr>
          <w:sz w:val="20"/>
          <w:szCs w:val="20"/>
          <w:color w:val="auto"/>
        </w:rPr>
      </w:pPr>
      <w:r>
        <w:rPr>
          <w:rFonts w:ascii="Courier New" w:cs="Courier New" w:eastAsia="Courier New" w:hAnsi="Courier New"/>
          <w:sz w:val="14"/>
          <w:szCs w:val="14"/>
          <w:color w:val="auto"/>
        </w:rPr>
        <w:t>From time to time, the Company has experienced volatility in its manufacturing yields, as it has encountered difficulties in ramping shrink versions of existing devices or new generation devices to commercial volumes. The Company is continuing the transition of its primary semiconductor memory products from the relatively mature 4 Meg DRAM to the 16 Meg DRAM. The conversion to the 16 Meg DRAM is expected to occur in late calendar year 1996. The Company is developing various SDRAM products which are expected to be ready for volume production in fiscal 1998, as the Company expects a gradual transition by computer manufacturers to faster types of DRAM-based main memory, including but not limited to SDRAM, over the next several years. During periods of transition to new generation products, including the transition to the 16 Meg DRAM, the Company's gross margins have been adversely affected and there can be no assurance that they will not continue to be adversely affected as a result of the continuing transition to the 16 Meg DRAM or the transition to the SDRAM product. Rapid technological change and intense price competition place a premium on both new product and new process development efforts. The Company's continued ability to compete in the semiconductor memory market will depend in part on its ability to continue to develop technologically advanced products and processes, of which there can be no assurance. Research and development expenses vary primarily with the number of wafers and personnel dedicated to new product and process development. The Company's research and development efforts are currently focused principally on further development of shrink versions of the 16 Meg DRAM. Development efforts are also focused on 16 Meg and 64 Meg SDRAM and a move from .35 (mu) process technology to .25 (mu) and .18 (mu) process technology. Other research and development efforts are currently devoted to design of the 64 Meg, 256 Meg and 1 Gig DRAMs, and design and development of new technologies including remote intelligent communications products and Flash semiconductor memory products. There can be no assurance that the Company will be successful in shrinking the 16 Meg DRAM as fast as its competitors, or that the Company's competitors will not be able to develop and offer 64 Meg or 256 Meg DRAM products before the Company is able to bring comparable products to market. The Company's ability to reduce costs per megabit of its semiconductor memory products is largely dependent on its ability to design and develop new generation products and shrink versions of existing products and its ability to ramp such products at acceptable rates to acceptable yields, of which there can be no assurance. In the event that the Company is unable to decrease costs per megabit for semiconductor memory products at a rate equal to the rate of decline in selling prices for such products, the Company's business and results of operations will be adversely impacted.</w:t>
      </w:r>
    </w:p>
    <w:p>
      <w:pPr>
        <w:spacing w:after="0" w:line="200" w:lineRule="exact"/>
        <w:rPr>
          <w:sz w:val="20"/>
          <w:szCs w:val="20"/>
          <w:color w:val="auto"/>
        </w:rPr>
      </w:pPr>
    </w:p>
    <w:p>
      <w:pPr>
        <w:spacing w:after="0" w:line="24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COMPETITION</w:t>
      </w:r>
    </w:p>
    <w:p>
      <w:pPr>
        <w:spacing w:after="0" w:line="166" w:lineRule="exact"/>
        <w:rPr>
          <w:sz w:val="20"/>
          <w:szCs w:val="20"/>
          <w:color w:val="auto"/>
        </w:rPr>
      </w:pPr>
    </w:p>
    <w:p>
      <w:pPr>
        <w:ind w:right="3399" w:firstLine="175"/>
        <w:spacing w:after="0" w:line="261" w:lineRule="auto"/>
        <w:rPr>
          <w:sz w:val="20"/>
          <w:szCs w:val="20"/>
          <w:color w:val="auto"/>
        </w:rPr>
      </w:pPr>
      <w:r>
        <w:rPr>
          <w:rFonts w:ascii="Courier New" w:cs="Courier New" w:eastAsia="Courier New" w:hAnsi="Courier New"/>
          <w:sz w:val="14"/>
          <w:szCs w:val="14"/>
          <w:color w:val="auto"/>
        </w:rPr>
        <w:t>The Company's semiconductor memory operations experience intense competition from a number of substantially larger foreign and domestic companies, including Fujitsu, Ltd., Hitachi, Ltd., Hyundai Electronics, Co., Ltd., Mitsubishi Electronic Corp., Motorola, Inc., NEC Corp., Samsung Semiconductor, Inc., LG Semicon, Texas Instruments Incorporated and Toshiba Corporation. The Company has captured only a small percentage of the semiconductor memory market and may be at a disadvantage in competing against larger manufacturers with significantly greater capital resources or manufacturing capacities, larger engineer and employee bases, larger portfolios of intellectual property, and more diverse product lines that provide cash flows counter cyclical to fluctuations in semiconductor memory operations. The Company's larger competitors also have long-term advantages over MTI in research and new product development and in their ability to withstand periodic downturns in the semiconductor memory market. The Company believes that its competition has sufficient resources and manufacturing capacity to influence market pricing. Many of the Company's competitors have recently added new wafer fabrication facilities, significantly increasing worldwide capacity for the production of semiconductor memory products, resulting in downward price pressures on semiconductor memory products.</w:t>
      </w:r>
    </w:p>
    <w:p>
      <w:pPr>
        <w:spacing w:after="0" w:line="2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598" w:right="1440" w:bottom="1440" w:gutter="0" w:footer="0" w:header="0"/>
        </w:sectPr>
      </w:pPr>
    </w:p>
    <w:bookmarkStart w:id="25" w:name="page26"/>
    <w:bookmarkEnd w:id="25"/>
    <w:p>
      <w:pPr>
        <w:ind w:left="100"/>
        <w:spacing w:after="0"/>
        <w:rPr>
          <w:sz w:val="20"/>
          <w:szCs w:val="20"/>
          <w:color w:val="auto"/>
        </w:rPr>
      </w:pPr>
      <w:r>
        <w:rPr>
          <w:rFonts w:ascii="Courier New" w:cs="Courier New" w:eastAsia="Courier New" w:hAnsi="Courier New"/>
          <w:sz w:val="15"/>
          <w:szCs w:val="15"/>
          <w:color w:val="auto"/>
        </w:rPr>
        <w:t>INTELLECTUAL PROPERTY MATTERS</w:t>
      </w:r>
    </w:p>
    <w:p>
      <w:pPr>
        <w:spacing w:after="0" w:line="166" w:lineRule="exact"/>
        <w:rPr>
          <w:sz w:val="20"/>
          <w:szCs w:val="20"/>
          <w:color w:val="auto"/>
        </w:rPr>
      </w:pPr>
    </w:p>
    <w:p>
      <w:pPr>
        <w:ind w:right="3399" w:firstLine="175"/>
        <w:spacing w:after="0" w:line="260" w:lineRule="auto"/>
        <w:rPr>
          <w:sz w:val="20"/>
          <w:szCs w:val="20"/>
          <w:color w:val="auto"/>
        </w:rPr>
      </w:pPr>
      <w:r>
        <w:rPr>
          <w:rFonts w:ascii="Courier New" w:cs="Courier New" w:eastAsia="Courier New" w:hAnsi="Courier New"/>
          <w:sz w:val="14"/>
          <w:szCs w:val="14"/>
          <w:color w:val="auto"/>
        </w:rPr>
        <w:t>The semiconductor industry has experienced a substantial amount of litigation regarding patent and other intellectual property rights. In the future, litigation may be necessary to enforce patents issued to the Company, to protect trade secrets or know-how owned by the Company, or to defend the Company against claimed infringement of the rights of others. The Company has from time to time received, and may in the future receive, communications alleging that the technology used by the Company in the manufacture of some or all of its products may infringe on product or process technology rights held by others. The Company has entered into a number of patent and intellectual property license agreements with third parties, some of which require one-time or periodic royalty payments. It may be necessary or advantageous in the future for the Company to obtain additional patent licenses or to renew existing license agreements, some of which expire at the end of calendar year 1996. The Company is unable to predict whether these license agreements can be obtained or renewed on terms acceptable to the Company. Failure to obtain or renew such licenses could result in litigation. Any determination that the Company's manufacturing processes or products have infringed on the product or process rights held by others could have a material adverse effect on the Company's business and results of operations. Further, adverse determinations could result in the Company's loss of proprietary rights, subject the Company to significant liabilities to third parties, require the Company to seek licenses from third parties or prevent the Company from manufacturing or selling its products, any of which could have a material adverse effect on the Company's business and results of operations.</w:t>
      </w:r>
    </w:p>
    <w:p>
      <w:pPr>
        <w:spacing w:after="0" w:line="253" w:lineRule="exact"/>
        <w:rPr>
          <w:sz w:val="20"/>
          <w:szCs w:val="20"/>
          <w:color w:val="auto"/>
        </w:rPr>
      </w:pPr>
    </w:p>
    <w:p>
      <w:pPr>
        <w:ind w:right="3399" w:firstLine="175"/>
        <w:spacing w:after="0" w:line="261" w:lineRule="auto"/>
        <w:rPr>
          <w:sz w:val="20"/>
          <w:szCs w:val="20"/>
          <w:color w:val="auto"/>
        </w:rPr>
      </w:pPr>
      <w:r>
        <w:rPr>
          <w:rFonts w:ascii="Courier New" w:cs="Courier New" w:eastAsia="Courier New" w:hAnsi="Courier New"/>
          <w:sz w:val="14"/>
          <w:szCs w:val="14"/>
          <w:color w:val="auto"/>
        </w:rPr>
        <w:t>The Company intends to continue to pursue patent, trade secret and mask work protection for its semiconductor process technologies and designs. To that end, the Company has obtained certain patents and patent licenses and intends to continue to seek patents on its inventions and manufacturing processes, as appropriate. The process of seeking patent protection can be long and expensive, and there is no assurance that patents will be issued from currently pending or future applications or that, if patents are issued, they will be of sufficient scope or strength to provide meaningful protection or any commercial advantage to the Company. In particular, there can be no assurance that any patents held by the Company will not be challenged, invalidated or circumvented. The Company also relies on trade secret protection for its technology, in part through confidentiality agreements with its employees, consultants and third parties. There can be no assurance that these agreements will not be breached, that the Company will have adequate remedies for any breach or that the Company's trade secrets will not otherwise become known to or independently developed by others. In addition, the laws of certain territories in which the Company's products are or may be developed, manufactured or sold may not protect the Company's products and intellectual property rights to the same extent as do the laws of the United States.</w:t>
      </w:r>
    </w:p>
    <w:p>
      <w:pPr>
        <w:spacing w:after="0" w:line="8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STATE TAXATION</w:t>
      </w:r>
    </w:p>
    <w:p>
      <w:pPr>
        <w:spacing w:after="0" w:line="166" w:lineRule="exact"/>
        <w:rPr>
          <w:sz w:val="20"/>
          <w:szCs w:val="20"/>
          <w:color w:val="auto"/>
        </w:rPr>
      </w:pPr>
    </w:p>
    <w:p>
      <w:pPr>
        <w:ind w:right="3399" w:firstLine="175"/>
        <w:spacing w:after="0" w:line="264" w:lineRule="auto"/>
        <w:rPr>
          <w:sz w:val="20"/>
          <w:szCs w:val="20"/>
          <w:color w:val="auto"/>
        </w:rPr>
      </w:pPr>
      <w:r>
        <w:rPr>
          <w:rFonts w:ascii="Courier New" w:cs="Courier New" w:eastAsia="Courier New" w:hAnsi="Courier New"/>
          <w:sz w:val="14"/>
          <w:szCs w:val="14"/>
          <w:color w:val="auto"/>
        </w:rPr>
        <w:t>Several states have enacted legislation which would require out of state direct marketers to collect and remit sales and use taxes based on certain limited contacts with the state. Taxation authorities in certain states have, from time to time, solicited information from the Company to determine whether the Company has sufficient contacts with such states to require payment of sales and use taxes on its PC systems sold to customers in those states. The Company could be required to pay sales and use taxes and income and franchise taxes related to the Company's operations in prior periods, which could have a material adverse effect on the Company's business and results of operations. In addition, the Company may be increasing its contacts and presence in various states as it pursues its business strategies. As a result of its contacts, the Company may be required to collect and remit sales and use taxes in the future, which could materially adversely affect the Company's business and results of operations.</w:t>
      </w:r>
    </w:p>
    <w:p>
      <w:pPr>
        <w:spacing w:after="0" w:line="2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598" w:right="1440" w:bottom="1440" w:gutter="0" w:footer="0" w:header="0"/>
        </w:sectPr>
      </w:pPr>
    </w:p>
    <w:bookmarkStart w:id="26" w:name="page27"/>
    <w:bookmarkEnd w:id="26"/>
    <w:p>
      <w:pPr>
        <w:ind w:left="100"/>
        <w:spacing w:after="0"/>
        <w:rPr>
          <w:sz w:val="20"/>
          <w:szCs w:val="20"/>
          <w:color w:val="auto"/>
        </w:rPr>
      </w:pPr>
      <w:r>
        <w:rPr>
          <w:rFonts w:ascii="Courier New" w:cs="Courier New" w:eastAsia="Courier New" w:hAnsi="Courier New"/>
          <w:sz w:val="15"/>
          <w:szCs w:val="15"/>
          <w:color w:val="auto"/>
        </w:rPr>
        <w:t>DEPENDENCE ON LIMITED SOURCES OF SUPPLY</w:t>
      </w:r>
    </w:p>
    <w:p>
      <w:pPr>
        <w:spacing w:after="0" w:line="166" w:lineRule="exact"/>
        <w:rPr>
          <w:sz w:val="20"/>
          <w:szCs w:val="20"/>
          <w:color w:val="auto"/>
        </w:rPr>
      </w:pPr>
    </w:p>
    <w:p>
      <w:pPr>
        <w:ind w:right="3399" w:firstLine="175"/>
        <w:spacing w:after="0" w:line="266" w:lineRule="auto"/>
        <w:rPr>
          <w:sz w:val="20"/>
          <w:szCs w:val="20"/>
          <w:color w:val="auto"/>
        </w:rPr>
      </w:pPr>
      <w:r>
        <w:rPr>
          <w:rFonts w:ascii="Courier New" w:cs="Courier New" w:eastAsia="Courier New" w:hAnsi="Courier New"/>
          <w:sz w:val="14"/>
          <w:szCs w:val="14"/>
          <w:color w:val="auto"/>
        </w:rPr>
        <w:t>Raw materials utilized by the Company's semiconductor manufacturing operation generally must meet exacting product specifications. The Company generally uses multiple sources of supply, but there are only a limited number of suppliers capable of delivering certain raw materials that meet the Company's specifications. Additionally, the availability of raw materials may decline due to the overall increase in world-wide semiconductor manufacturing. Although shortages have occurred from time to time and lead times in the industry have been extended on occasion, to date the Company has not experienced any significant interruption in operations as a result of a difficulty in obtaining raw materials for its semiconductor manufacturing operations. Interruption of any one raw material source could have a material adverse effect on the Company's business and results of operations.</w:t>
      </w:r>
    </w:p>
    <w:p>
      <w:pPr>
        <w:spacing w:after="0" w:line="7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DEPENDENCE ON KEY PERSONNEL</w:t>
      </w:r>
    </w:p>
    <w:p>
      <w:pPr>
        <w:spacing w:after="0" w:line="166" w:lineRule="exact"/>
        <w:rPr>
          <w:sz w:val="20"/>
          <w:szCs w:val="20"/>
          <w:color w:val="auto"/>
        </w:rPr>
      </w:pPr>
    </w:p>
    <w:p>
      <w:pPr>
        <w:ind w:right="3399" w:firstLine="175"/>
        <w:spacing w:after="0" w:line="264" w:lineRule="auto"/>
        <w:rPr>
          <w:sz w:val="20"/>
          <w:szCs w:val="20"/>
          <w:color w:val="auto"/>
        </w:rPr>
      </w:pPr>
      <w:r>
        <w:rPr>
          <w:rFonts w:ascii="Courier New" w:cs="Courier New" w:eastAsia="Courier New" w:hAnsi="Courier New"/>
          <w:sz w:val="14"/>
          <w:szCs w:val="14"/>
          <w:color w:val="auto"/>
        </w:rPr>
        <w:t>The Company is dependent upon a limited number of key management and technical personnel. In addition, the Company's future success will depend in part upon its ability to attract and retain highly qualified personnel. The Company competes for such personnel with other companies, academic institutions, government entities and other organizations. In recent periods, the Company has experienced increased recruitment of its existing personnel by other employers. There can be no assurance that the Company will be successful in hiring or retaining qualified personnel. On September 30, 1996, MTI announced that Tyler A. Lowrey, previously the Chief Operations Officer and a director of MTI, had resigned as a director and will no longer serve as Chief Operations Officer. There can be no assurance that any of MTI's key personnel will remain employed by MTI. Any loss of key personnel or the inability to hire or retain qualified personnel could have a material adverse effect on the Company's business and results of operations.</w:t>
      </w:r>
    </w:p>
    <w:p>
      <w:pPr>
        <w:spacing w:after="0" w:line="25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ENVIRONMENTAL REGULATIONS</w:t>
      </w:r>
    </w:p>
    <w:p>
      <w:pPr>
        <w:spacing w:after="0" w:line="166" w:lineRule="exact"/>
        <w:rPr>
          <w:sz w:val="20"/>
          <w:szCs w:val="20"/>
          <w:color w:val="auto"/>
        </w:rPr>
      </w:pPr>
    </w:p>
    <w:p>
      <w:pPr>
        <w:ind w:right="3399" w:firstLine="175"/>
        <w:spacing w:after="0" w:line="266" w:lineRule="auto"/>
        <w:rPr>
          <w:sz w:val="20"/>
          <w:szCs w:val="20"/>
          <w:color w:val="auto"/>
        </w:rPr>
      </w:pPr>
      <w:r>
        <w:rPr>
          <w:rFonts w:ascii="Courier New" w:cs="Courier New" w:eastAsia="Courier New" w:hAnsi="Courier New"/>
          <w:sz w:val="14"/>
          <w:szCs w:val="14"/>
          <w:color w:val="auto"/>
        </w:rPr>
        <w:t>The Company is subject to a variety of federal, state and local governmental regulations related to the storage, use, discharge and disposal of toxic, volatile or otherwise hazardous chemicals used in its manufacturing process. Increasing public attention has been focused on the environmental impact of semiconductor manufacturing operations. There can be no assurance that changes in environmental regulations will not impose the need for additional capital equipment or other requirements. Any failure by the Company to control the use of, or adequately to restrict the discharge of, hazardous substances under present or future regulations could subject MTI to substantial liability or could cause its manufacturing operations to be suspended. Such liability or suspension of manufacturing operations could have a material adverse effect on the Company's business and results of operations.</w:t>
      </w:r>
    </w:p>
    <w:p>
      <w:pPr>
        <w:spacing w:after="0" w:line="7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598"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INDEX TO CONSOLIDATED FINANCIAL STATEMENTS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2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PAGE</w:t>
            </w:r>
          </w:p>
        </w:tc>
        <w:tc>
          <w:tcPr>
            <w:tcW w:w="0" w:type="dxa"/>
            <w:vAlign w:val="bottom"/>
          </w:tcPr>
          <w:p>
            <w:pPr>
              <w:spacing w:after="0"/>
              <w:rPr>
                <w:sz w:val="1"/>
                <w:szCs w:val="1"/>
                <w:color w:val="auto"/>
              </w:rPr>
            </w:pPr>
          </w:p>
        </w:tc>
      </w:tr>
      <w:tr>
        <w:trPr>
          <w:trHeight w:val="245"/>
        </w:trPr>
        <w:tc>
          <w:tcPr>
            <w:tcW w:w="6520" w:type="dxa"/>
            <w:vAlign w:val="bottom"/>
          </w:tcPr>
          <w:p>
            <w:pPr>
              <w:spacing w:after="0"/>
              <w:rPr>
                <w:sz w:val="21"/>
                <w:szCs w:val="21"/>
                <w:color w:val="auto"/>
              </w:rPr>
            </w:pP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9"/>
        </w:trPr>
        <w:tc>
          <w:tcPr>
            <w:tcW w:w="652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Consolidated Statements of Operations for Fiscal Years Ended August 29,</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1996,</w:t>
            </w:r>
          </w:p>
        </w:tc>
        <w:tc>
          <w:tcPr>
            <w:tcW w:w="40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28</w:t>
            </w:r>
          </w:p>
        </w:tc>
        <w:tc>
          <w:tcPr>
            <w:tcW w:w="0" w:type="dxa"/>
            <w:vAlign w:val="bottom"/>
          </w:tcPr>
          <w:p>
            <w:pPr>
              <w:spacing w:after="0"/>
              <w:rPr>
                <w:sz w:val="1"/>
                <w:szCs w:val="1"/>
                <w:color w:val="auto"/>
              </w:rPr>
            </w:pPr>
          </w:p>
        </w:tc>
      </w:tr>
      <w:tr>
        <w:trPr>
          <w:trHeight w:val="168"/>
        </w:trPr>
        <w:tc>
          <w:tcPr>
            <w:tcW w:w="6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7"/>
              </w:rPr>
              <w:t>August 31, 1995, and September 1, 1994.................................</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9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Consolidated Balance Sheets as of August 29, 1996, and August 31, 1995..  29</w:t>
            </w:r>
          </w:p>
        </w:tc>
        <w:tc>
          <w:tcPr>
            <w:tcW w:w="0" w:type="dxa"/>
            <w:vAlign w:val="bottom"/>
          </w:tcPr>
          <w:p>
            <w:pPr>
              <w:spacing w:after="0"/>
              <w:rPr>
                <w:sz w:val="1"/>
                <w:szCs w:val="1"/>
                <w:color w:val="auto"/>
              </w:rPr>
            </w:pPr>
          </w:p>
        </w:tc>
      </w:tr>
      <w:tr>
        <w:trPr>
          <w:trHeight w:val="168"/>
        </w:trPr>
        <w:tc>
          <w:tcPr>
            <w:tcW w:w="6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Consolidated Statements of Shareholders' Equity for Fiscal Years Ended</w:t>
            </w:r>
          </w:p>
        </w:tc>
        <w:tc>
          <w:tcPr>
            <w:tcW w:w="40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30</w:t>
            </w:r>
          </w:p>
        </w:tc>
        <w:tc>
          <w:tcPr>
            <w:tcW w:w="0" w:type="dxa"/>
            <w:vAlign w:val="bottom"/>
          </w:tcPr>
          <w:p>
            <w:pPr>
              <w:spacing w:after="0"/>
              <w:rPr>
                <w:sz w:val="1"/>
                <w:szCs w:val="1"/>
                <w:color w:val="auto"/>
              </w:rPr>
            </w:pPr>
          </w:p>
        </w:tc>
      </w:tr>
      <w:tr>
        <w:trPr>
          <w:trHeight w:val="168"/>
        </w:trPr>
        <w:tc>
          <w:tcPr>
            <w:tcW w:w="6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7"/>
              </w:rPr>
              <w:t>August 29, 1996, August 31, 1995, and September 1, 1994................</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Consolidated Statements of Cash Flows for Fiscal Years Ended August 29,</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1996,</w:t>
            </w:r>
          </w:p>
        </w:tc>
        <w:tc>
          <w:tcPr>
            <w:tcW w:w="40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31</w:t>
            </w:r>
          </w:p>
        </w:tc>
        <w:tc>
          <w:tcPr>
            <w:tcW w:w="0" w:type="dxa"/>
            <w:vAlign w:val="bottom"/>
          </w:tcPr>
          <w:p>
            <w:pPr>
              <w:spacing w:after="0"/>
              <w:rPr>
                <w:sz w:val="1"/>
                <w:szCs w:val="1"/>
                <w:color w:val="auto"/>
              </w:rPr>
            </w:pPr>
          </w:p>
        </w:tc>
      </w:tr>
      <w:tr>
        <w:trPr>
          <w:trHeight w:val="168"/>
        </w:trPr>
        <w:tc>
          <w:tcPr>
            <w:tcW w:w="6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7"/>
              </w:rPr>
              <w:t>August 31, 1995, and September 1, 1994.................................</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Notes to Consolidated Financial Statements..............................</w:t>
            </w:r>
          </w:p>
        </w:tc>
        <w:tc>
          <w:tcPr>
            <w:tcW w:w="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32</w:t>
            </w:r>
          </w:p>
        </w:tc>
        <w:tc>
          <w:tcPr>
            <w:tcW w:w="0" w:type="dxa"/>
            <w:vAlign w:val="bottom"/>
          </w:tcPr>
          <w:p>
            <w:pPr>
              <w:spacing w:after="0"/>
              <w:rPr>
                <w:sz w:val="1"/>
                <w:szCs w:val="1"/>
                <w:color w:val="auto"/>
              </w:rPr>
            </w:pPr>
          </w:p>
        </w:tc>
      </w:tr>
      <w:tr>
        <w:trPr>
          <w:trHeight w:val="245"/>
        </w:trPr>
        <w:tc>
          <w:tcPr>
            <w:tcW w:w="6520" w:type="dxa"/>
            <w:vAlign w:val="bottom"/>
          </w:tcPr>
          <w:p>
            <w:pPr>
              <w:ind w:left="180"/>
              <w:spacing w:after="0"/>
              <w:rPr>
                <w:sz w:val="20"/>
                <w:szCs w:val="20"/>
                <w:color w:val="auto"/>
              </w:rPr>
            </w:pPr>
            <w:r>
              <w:rPr>
                <w:rFonts w:ascii="Courier New" w:cs="Courier New" w:eastAsia="Courier New" w:hAnsi="Courier New"/>
                <w:sz w:val="15"/>
                <w:szCs w:val="15"/>
                <w:color w:val="auto"/>
                <w:w w:val="97"/>
              </w:rPr>
              <w:t>Report of Independent Accountants.......................................</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43</w:t>
            </w:r>
          </w:p>
        </w:tc>
        <w:tc>
          <w:tcPr>
            <w:tcW w:w="0" w:type="dxa"/>
            <w:vAlign w:val="bottom"/>
          </w:tcPr>
          <w:p>
            <w:pPr>
              <w:spacing w:after="0"/>
              <w:rPr>
                <w:sz w:val="1"/>
                <w:szCs w:val="1"/>
                <w:color w:val="auto"/>
              </w:rPr>
            </w:pPr>
          </w:p>
        </w:tc>
      </w:tr>
      <w:tr>
        <w:trPr>
          <w:trHeight w:val="505"/>
        </w:trPr>
        <w:tc>
          <w:tcPr>
            <w:tcW w:w="6520" w:type="dxa"/>
            <w:vAlign w:val="bottom"/>
          </w:tcPr>
          <w:p>
            <w:pPr>
              <w:ind w:left="3420"/>
              <w:spacing w:after="0"/>
              <w:rPr>
                <w:sz w:val="20"/>
                <w:szCs w:val="20"/>
                <w:color w:val="auto"/>
              </w:rPr>
            </w:pPr>
            <w:r>
              <w:rPr>
                <w:rFonts w:ascii="Courier New" w:cs="Courier New" w:eastAsia="Courier New" w:hAnsi="Courier New"/>
                <w:sz w:val="15"/>
                <w:szCs w:val="15"/>
                <w:color w:val="auto"/>
              </w:rPr>
              <w:t>27</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98" w:right="1440" w:bottom="1440" w:gutter="0" w:footer="0" w:header="0"/>
        </w:sectPr>
      </w:pPr>
    </w:p>
    <w:bookmarkStart w:id="28" w:name="page29"/>
    <w:bookmarkEnd w:id="28"/>
    <w:p>
      <w:pPr>
        <w:jc w:val="center"/>
        <w:ind w:right="3319"/>
        <w:spacing w:after="0"/>
        <w:rPr>
          <w:sz w:val="20"/>
          <w:szCs w:val="20"/>
          <w:color w:val="auto"/>
        </w:rPr>
      </w:pPr>
      <w:r>
        <w:rPr>
          <w:rFonts w:ascii="Courier New" w:cs="Courier New" w:eastAsia="Courier New" w:hAnsi="Courier New"/>
          <w:sz w:val="15"/>
          <w:szCs w:val="15"/>
          <w:color w:val="auto"/>
        </w:rPr>
        <w:t>MICRON TECHNOLOGY, INC.</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4"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(AMOUNTS IN MILLIONS, EXCEPT FOR PER SHARE DATA)</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FISCAL YEAR ENDED</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40" w:type="dxa"/>
            <w:vAlign w:val="bottom"/>
          </w:tcPr>
          <w:p>
            <w:pPr>
              <w:spacing w:after="0"/>
              <w:rPr>
                <w:sz w:val="14"/>
                <w:szCs w:val="14"/>
                <w:color w:val="auto"/>
              </w:rPr>
            </w:pPr>
          </w:p>
        </w:tc>
        <w:tc>
          <w:tcPr>
            <w:tcW w:w="4380" w:type="dxa"/>
            <w:vAlign w:val="bottom"/>
            <w:gridSpan w:val="6"/>
          </w:tcPr>
          <w:p>
            <w:pPr>
              <w:jc w:val="center"/>
              <w:ind w:left="31"/>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2540" w:type="dxa"/>
            <w:vAlign w:val="bottom"/>
          </w:tcPr>
          <w:p>
            <w:pPr>
              <w:spacing w:after="0"/>
              <w:rPr>
                <w:sz w:val="14"/>
                <w:szCs w:val="14"/>
                <w:color w:val="auto"/>
              </w:rPr>
            </w:pPr>
          </w:p>
        </w:tc>
        <w:tc>
          <w:tcPr>
            <w:tcW w:w="4380" w:type="dxa"/>
            <w:vAlign w:val="bottom"/>
            <w:gridSpan w:val="6"/>
          </w:tcPr>
          <w:p>
            <w:pPr>
              <w:jc w:val="center"/>
              <w:ind w:left="31"/>
              <w:spacing w:after="0" w:line="168" w:lineRule="exact"/>
              <w:rPr>
                <w:sz w:val="20"/>
                <w:szCs w:val="20"/>
                <w:color w:val="auto"/>
              </w:rPr>
            </w:pPr>
            <w:r>
              <w:rPr>
                <w:rFonts w:ascii="Courier New" w:cs="Courier New" w:eastAsia="Courier New" w:hAnsi="Courier New"/>
                <w:sz w:val="15"/>
                <w:szCs w:val="15"/>
                <w:color w:val="auto"/>
                <w:w w:val="97"/>
              </w:rPr>
              <w:t>AUGUST 29, 1996 AUGUST 31, 1995 SEPTEMBER 1, 1994</w:t>
            </w:r>
          </w:p>
        </w:tc>
        <w:tc>
          <w:tcPr>
            <w:tcW w:w="0" w:type="dxa"/>
            <w:vAlign w:val="bottom"/>
          </w:tcPr>
          <w:p>
            <w:pPr>
              <w:spacing w:after="0"/>
              <w:rPr>
                <w:sz w:val="1"/>
                <w:szCs w:val="1"/>
                <w:color w:val="auto"/>
              </w:rPr>
            </w:pPr>
          </w:p>
        </w:tc>
      </w:tr>
      <w:tr>
        <w:trPr>
          <w:trHeight w:val="245"/>
        </w:trPr>
        <w:tc>
          <w:tcPr>
            <w:tcW w:w="2540" w:type="dxa"/>
            <w:vAlign w:val="bottom"/>
          </w:tcPr>
          <w:p>
            <w:pPr>
              <w:spacing w:after="0"/>
              <w:rPr>
                <w:sz w:val="21"/>
                <w:szCs w:val="21"/>
                <w:color w:val="auto"/>
              </w:rPr>
            </w:pPr>
          </w:p>
        </w:tc>
        <w:tc>
          <w:tcPr>
            <w:tcW w:w="4380" w:type="dxa"/>
            <w:vAlign w:val="bottom"/>
            <w:gridSpan w:val="6"/>
          </w:tcPr>
          <w:p>
            <w:pPr>
              <w:jc w:val="center"/>
              <w:ind w:left="31"/>
              <w:spacing w:after="0"/>
              <w:rPr>
                <w:sz w:val="20"/>
                <w:szCs w:val="20"/>
                <w:color w:val="auto"/>
              </w:rPr>
            </w:pPr>
            <w:r>
              <w:rPr>
                <w:rFonts w:ascii="Courier New" w:cs="Courier New" w:eastAsia="Courier New" w:hAnsi="Courier New"/>
                <w:sz w:val="15"/>
                <w:szCs w:val="15"/>
                <w:color w:val="auto"/>
                <w:w w:val="97"/>
              </w:rPr>
              <w:t>--------------- --------------- -----------------</w:t>
            </w:r>
          </w:p>
        </w:tc>
        <w:tc>
          <w:tcPr>
            <w:tcW w:w="0" w:type="dxa"/>
            <w:vAlign w:val="bottom"/>
          </w:tcPr>
          <w:p>
            <w:pPr>
              <w:spacing w:after="0"/>
              <w:rPr>
                <w:sz w:val="1"/>
                <w:szCs w:val="1"/>
                <w:color w:val="auto"/>
              </w:rPr>
            </w:pPr>
          </w:p>
        </w:tc>
      </w:tr>
      <w:tr>
        <w:trPr>
          <w:trHeight w:val="259"/>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Net sales...................</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$3,653.8</w:t>
            </w:r>
          </w:p>
        </w:tc>
        <w:tc>
          <w:tcPr>
            <w:tcW w:w="180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$2,952.7</w:t>
            </w:r>
          </w:p>
        </w:tc>
        <w:tc>
          <w:tcPr>
            <w:tcW w:w="12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$1,628.6</w:t>
            </w:r>
          </w:p>
        </w:tc>
        <w:tc>
          <w:tcPr>
            <w:tcW w:w="0" w:type="dxa"/>
            <w:vAlign w:val="bottom"/>
          </w:tcPr>
          <w:p>
            <w:pPr>
              <w:spacing w:after="0"/>
              <w:rPr>
                <w:sz w:val="1"/>
                <w:szCs w:val="1"/>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440" w:type="dxa"/>
            <w:vAlign w:val="bottom"/>
          </w:tcPr>
          <w:p>
            <w:pPr>
              <w:spacing w:after="0"/>
              <w:rPr>
                <w:sz w:val="14"/>
                <w:szCs w:val="14"/>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5"/>
              </w:rPr>
              <w:t>2,198.4</w:t>
            </w:r>
          </w:p>
        </w:tc>
        <w:tc>
          <w:tcPr>
            <w:tcW w:w="520" w:type="dxa"/>
            <w:vAlign w:val="bottom"/>
          </w:tcPr>
          <w:p>
            <w:pPr>
              <w:spacing w:after="0"/>
              <w:rPr>
                <w:sz w:val="14"/>
                <w:szCs w:val="14"/>
                <w:color w:val="auto"/>
              </w:rPr>
            </w:pPr>
          </w:p>
        </w:tc>
        <w:tc>
          <w:tcPr>
            <w:tcW w:w="128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w w:val="95"/>
              </w:rPr>
              <w:t>1,328.7</w:t>
            </w:r>
          </w:p>
        </w:tc>
        <w:tc>
          <w:tcPr>
            <w:tcW w:w="200" w:type="dxa"/>
            <w:vAlign w:val="bottom"/>
          </w:tcPr>
          <w:p>
            <w:pPr>
              <w:spacing w:after="0"/>
              <w:rPr>
                <w:sz w:val="14"/>
                <w:szCs w:val="14"/>
                <w:color w:val="auto"/>
              </w:rPr>
            </w:pP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789.4</w:t>
            </w:r>
          </w:p>
        </w:tc>
        <w:tc>
          <w:tcPr>
            <w:tcW w:w="0" w:type="dxa"/>
            <w:vAlign w:val="bottom"/>
          </w:tcPr>
          <w:p>
            <w:pPr>
              <w:spacing w:after="0"/>
              <w:rPr>
                <w:sz w:val="1"/>
                <w:szCs w:val="1"/>
                <w:color w:val="auto"/>
              </w:rPr>
            </w:pP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Cost of goods sold........</w:t>
            </w:r>
          </w:p>
        </w:tc>
        <w:tc>
          <w:tcPr>
            <w:tcW w:w="4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Selling, general and ad-</w:t>
            </w:r>
          </w:p>
        </w:tc>
        <w:tc>
          <w:tcPr>
            <w:tcW w:w="440" w:type="dxa"/>
            <w:vAlign w:val="bottom"/>
          </w:tcPr>
          <w:p>
            <w:pPr>
              <w:spacing w:after="0"/>
              <w:rPr>
                <w:sz w:val="14"/>
                <w:szCs w:val="14"/>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289.4</w:t>
            </w:r>
          </w:p>
        </w:tc>
        <w:tc>
          <w:tcPr>
            <w:tcW w:w="520" w:type="dxa"/>
            <w:vAlign w:val="bottom"/>
          </w:tcPr>
          <w:p>
            <w:pPr>
              <w:spacing w:after="0"/>
              <w:rPr>
                <w:sz w:val="14"/>
                <w:szCs w:val="14"/>
                <w:color w:val="auto"/>
              </w:rPr>
            </w:pPr>
          </w:p>
        </w:tc>
        <w:tc>
          <w:tcPr>
            <w:tcW w:w="128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187.2</w:t>
            </w:r>
          </w:p>
        </w:tc>
        <w:tc>
          <w:tcPr>
            <w:tcW w:w="200" w:type="dxa"/>
            <w:vAlign w:val="bottom"/>
          </w:tcPr>
          <w:p>
            <w:pPr>
              <w:spacing w:after="0"/>
              <w:rPr>
                <w:sz w:val="14"/>
                <w:szCs w:val="14"/>
                <w:color w:val="auto"/>
              </w:rPr>
            </w:pP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130.7</w:t>
            </w:r>
          </w:p>
        </w:tc>
        <w:tc>
          <w:tcPr>
            <w:tcW w:w="0" w:type="dxa"/>
            <w:vAlign w:val="bottom"/>
          </w:tcPr>
          <w:p>
            <w:pPr>
              <w:spacing w:after="0"/>
              <w:rPr>
                <w:sz w:val="1"/>
                <w:szCs w:val="1"/>
                <w:color w:val="auto"/>
              </w:rPr>
            </w:pP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ministrative.............</w:t>
            </w:r>
          </w:p>
        </w:tc>
        <w:tc>
          <w:tcPr>
            <w:tcW w:w="4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191.9</w:t>
            </w:r>
          </w:p>
        </w:tc>
        <w:tc>
          <w:tcPr>
            <w:tcW w:w="52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128.8</w:t>
            </w:r>
          </w:p>
        </w:tc>
        <w:tc>
          <w:tcPr>
            <w:tcW w:w="2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83.4</w:t>
            </w:r>
          </w:p>
        </w:tc>
        <w:tc>
          <w:tcPr>
            <w:tcW w:w="0" w:type="dxa"/>
            <w:vAlign w:val="bottom"/>
          </w:tcPr>
          <w:p>
            <w:pPr>
              <w:spacing w:after="0"/>
              <w:rPr>
                <w:sz w:val="1"/>
                <w:szCs w:val="1"/>
                <w:color w:val="auto"/>
              </w:rPr>
            </w:pP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Restructuring charge......</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29.6</w:t>
            </w:r>
          </w:p>
        </w:tc>
        <w:tc>
          <w:tcPr>
            <w:tcW w:w="520" w:type="dxa"/>
            <w:vAlign w:val="bottom"/>
          </w:tcPr>
          <w:p>
            <w:pPr>
              <w:spacing w:after="0"/>
              <w:rPr>
                <w:sz w:val="14"/>
                <w:szCs w:val="14"/>
                <w:color w:val="auto"/>
              </w:rPr>
            </w:pPr>
          </w:p>
        </w:tc>
        <w:tc>
          <w:tcPr>
            <w:tcW w:w="12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254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Total costs and ex-</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25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5"/>
              </w:rPr>
              <w:t>2,709.3</w:t>
            </w:r>
          </w:p>
        </w:tc>
        <w:tc>
          <w:tcPr>
            <w:tcW w:w="520" w:type="dxa"/>
            <w:vAlign w:val="bottom"/>
          </w:tcPr>
          <w:p>
            <w:pPr>
              <w:spacing w:after="0"/>
              <w:rPr>
                <w:sz w:val="7"/>
                <w:szCs w:val="7"/>
                <w:color w:val="auto"/>
              </w:rPr>
            </w:pPr>
          </w:p>
        </w:tc>
        <w:tc>
          <w:tcPr>
            <w:tcW w:w="128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w w:val="95"/>
              </w:rPr>
              <w:t>1,644.7</w:t>
            </w:r>
          </w:p>
        </w:tc>
        <w:tc>
          <w:tcPr>
            <w:tcW w:w="200" w:type="dxa"/>
            <w:vAlign w:val="bottom"/>
          </w:tcPr>
          <w:p>
            <w:pPr>
              <w:spacing w:after="0"/>
              <w:rPr>
                <w:sz w:val="7"/>
                <w:szCs w:val="7"/>
                <w:color w:val="auto"/>
              </w:rPr>
            </w:pP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w w:val="95"/>
              </w:rPr>
              <w:t>1,003.5</w:t>
            </w:r>
          </w:p>
        </w:tc>
        <w:tc>
          <w:tcPr>
            <w:tcW w:w="0" w:type="dxa"/>
            <w:vAlign w:val="bottom"/>
          </w:tcPr>
          <w:p>
            <w:pPr>
              <w:spacing w:after="0"/>
              <w:rPr>
                <w:sz w:val="1"/>
                <w:szCs w:val="1"/>
                <w:color w:val="auto"/>
              </w:rPr>
            </w:pP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penses.................</w:t>
            </w:r>
          </w:p>
        </w:tc>
        <w:tc>
          <w:tcPr>
            <w:tcW w:w="4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6"/>
              </w:rPr>
              <w:t>Operating income............</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w w:val="72"/>
              </w:rPr>
              <w:t>--------</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944.5</w:t>
            </w:r>
          </w:p>
        </w:tc>
        <w:tc>
          <w:tcPr>
            <w:tcW w:w="18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5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5"/>
              </w:rPr>
              <w:t>1,308.0</w:t>
            </w:r>
          </w:p>
        </w:tc>
        <w:tc>
          <w:tcPr>
            <w:tcW w:w="2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625.1</w:t>
            </w:r>
          </w:p>
        </w:tc>
        <w:tc>
          <w:tcPr>
            <w:tcW w:w="0" w:type="dxa"/>
            <w:vAlign w:val="bottom"/>
          </w:tcPr>
          <w:p>
            <w:pPr>
              <w:spacing w:after="0"/>
              <w:rPr>
                <w:sz w:val="1"/>
                <w:szCs w:val="1"/>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from merger transac-</w:t>
            </w:r>
          </w:p>
        </w:tc>
        <w:tc>
          <w:tcPr>
            <w:tcW w:w="440" w:type="dxa"/>
            <w:vAlign w:val="bottom"/>
          </w:tcPr>
          <w:p>
            <w:pPr>
              <w:spacing w:after="0"/>
              <w:rPr>
                <w:sz w:val="14"/>
                <w:szCs w:val="14"/>
                <w:color w:val="auto"/>
              </w:rPr>
            </w:pPr>
          </w:p>
        </w:tc>
        <w:tc>
          <w:tcPr>
            <w:tcW w:w="8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28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29.0</w:t>
            </w:r>
          </w:p>
        </w:tc>
        <w:tc>
          <w:tcPr>
            <w:tcW w:w="200" w:type="dxa"/>
            <w:vAlign w:val="bottom"/>
          </w:tcPr>
          <w:p>
            <w:pPr>
              <w:spacing w:after="0"/>
              <w:rPr>
                <w:sz w:val="14"/>
                <w:szCs w:val="14"/>
                <w:color w:val="auto"/>
              </w:rPr>
            </w:pPr>
          </w:p>
        </w:tc>
        <w:tc>
          <w:tcPr>
            <w:tcW w:w="10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tion.......................</w:t>
            </w:r>
          </w:p>
        </w:tc>
        <w:tc>
          <w:tcPr>
            <w:tcW w:w="4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Interest income, net........</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14.3</w:t>
            </w:r>
          </w:p>
        </w:tc>
        <w:tc>
          <w:tcPr>
            <w:tcW w:w="52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25.0</w:t>
            </w:r>
          </w:p>
        </w:tc>
        <w:tc>
          <w:tcPr>
            <w:tcW w:w="2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5.7</w:t>
            </w:r>
          </w:p>
        </w:tc>
        <w:tc>
          <w:tcPr>
            <w:tcW w:w="0" w:type="dxa"/>
            <w:vAlign w:val="bottom"/>
          </w:tcPr>
          <w:p>
            <w:pPr>
              <w:spacing w:after="0"/>
              <w:rPr>
                <w:sz w:val="1"/>
                <w:szCs w:val="1"/>
                <w:color w:val="auto"/>
              </w:rPr>
            </w:pP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Minority interests..........</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w:t>
            </w:r>
          </w:p>
        </w:tc>
        <w:tc>
          <w:tcPr>
            <w:tcW w:w="52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(11.5)</w:t>
            </w:r>
          </w:p>
        </w:tc>
        <w:tc>
          <w:tcPr>
            <w:tcW w:w="2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Income before income taxes..</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950.5</w:t>
            </w:r>
          </w:p>
        </w:tc>
        <w:tc>
          <w:tcPr>
            <w:tcW w:w="52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5"/>
              </w:rPr>
              <w:t>1,350.5</w:t>
            </w:r>
          </w:p>
        </w:tc>
        <w:tc>
          <w:tcPr>
            <w:tcW w:w="2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625.8</w:t>
            </w:r>
          </w:p>
        </w:tc>
        <w:tc>
          <w:tcPr>
            <w:tcW w:w="0" w:type="dxa"/>
            <w:vAlign w:val="bottom"/>
          </w:tcPr>
          <w:p>
            <w:pPr>
              <w:spacing w:after="0"/>
              <w:rPr>
                <w:sz w:val="1"/>
                <w:szCs w:val="1"/>
                <w:color w:val="auto"/>
              </w:rPr>
            </w:pP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Income tax provision........</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357.0</w:t>
            </w:r>
          </w:p>
        </w:tc>
        <w:tc>
          <w:tcPr>
            <w:tcW w:w="52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506.4</w:t>
            </w:r>
          </w:p>
        </w:tc>
        <w:tc>
          <w:tcPr>
            <w:tcW w:w="2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225.3</w:t>
            </w:r>
          </w:p>
        </w:tc>
        <w:tc>
          <w:tcPr>
            <w:tcW w:w="0" w:type="dxa"/>
            <w:vAlign w:val="bottom"/>
          </w:tcPr>
          <w:p>
            <w:pPr>
              <w:spacing w:after="0"/>
              <w:rPr>
                <w:sz w:val="1"/>
                <w:szCs w:val="1"/>
                <w:color w:val="auto"/>
              </w:rPr>
            </w:pPr>
          </w:p>
        </w:tc>
      </w:tr>
      <w:tr>
        <w:trPr>
          <w:trHeight w:val="168"/>
        </w:trPr>
        <w:tc>
          <w:tcPr>
            <w:tcW w:w="25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6"/>
              </w:rPr>
              <w:t>Net income..................</w:t>
            </w:r>
          </w:p>
        </w:tc>
        <w:tc>
          <w:tcPr>
            <w:tcW w:w="4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76"/>
                <w:vertAlign w:val="subscript"/>
              </w:rPr>
              <w:t>$</w:t>
            </w:r>
            <w:r>
              <w:rPr>
                <w:rFonts w:ascii="Courier New" w:cs="Courier New" w:eastAsia="Courier New" w:hAnsi="Courier New"/>
                <w:sz w:val="10"/>
                <w:szCs w:val="10"/>
                <w:color w:val="auto"/>
                <w:w w:val="76"/>
              </w:rPr>
              <w:t>--------</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593.5</w:t>
            </w:r>
          </w:p>
        </w:tc>
        <w:tc>
          <w:tcPr>
            <w:tcW w:w="18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5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844.1</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400.5</w:t>
            </w:r>
          </w:p>
        </w:tc>
        <w:tc>
          <w:tcPr>
            <w:tcW w:w="0" w:type="dxa"/>
            <w:vAlign w:val="bottom"/>
          </w:tcPr>
          <w:p>
            <w:pPr>
              <w:spacing w:after="0"/>
              <w:rPr>
                <w:sz w:val="1"/>
                <w:szCs w:val="1"/>
                <w:color w:val="auto"/>
              </w:rPr>
            </w:pPr>
          </w:p>
        </w:tc>
      </w:tr>
      <w:tr>
        <w:trPr>
          <w:trHeight w:val="245"/>
        </w:trPr>
        <w:tc>
          <w:tcPr>
            <w:tcW w:w="2540" w:type="dxa"/>
            <w:vAlign w:val="bottom"/>
            <w:vMerge w:val="restart"/>
          </w:tcPr>
          <w:p>
            <w:pPr>
              <w:spacing w:after="0"/>
              <w:rPr>
                <w:sz w:val="20"/>
                <w:szCs w:val="20"/>
                <w:color w:val="auto"/>
              </w:rPr>
            </w:pPr>
            <w:r>
              <w:rPr>
                <w:rFonts w:ascii="Courier New" w:cs="Courier New" w:eastAsia="Courier New" w:hAnsi="Courier New"/>
                <w:sz w:val="15"/>
                <w:szCs w:val="15"/>
                <w:color w:val="auto"/>
              </w:rPr>
              <w:t>Earnings per share:</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2540" w:type="dxa"/>
            <w:vAlign w:val="bottom"/>
            <w:vMerge w:val="continue"/>
          </w:tcPr>
          <w:p>
            <w:pPr>
              <w:spacing w:after="0"/>
              <w:rPr>
                <w:sz w:val="7"/>
                <w:szCs w:val="7"/>
                <w:color w:val="auto"/>
              </w:rPr>
            </w:pP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2.76</w:t>
            </w: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3.95</w:t>
            </w:r>
          </w:p>
        </w:tc>
        <w:tc>
          <w:tcPr>
            <w:tcW w:w="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1.92</w:t>
            </w:r>
          </w:p>
        </w:tc>
        <w:tc>
          <w:tcPr>
            <w:tcW w:w="0" w:type="dxa"/>
            <w:vAlign w:val="bottom"/>
          </w:tcPr>
          <w:p>
            <w:pPr>
              <w:spacing w:after="0"/>
              <w:rPr>
                <w:sz w:val="1"/>
                <w:szCs w:val="1"/>
                <w:color w:val="auto"/>
              </w:rPr>
            </w:pP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Primary...................</w:t>
            </w:r>
          </w:p>
        </w:tc>
        <w:tc>
          <w:tcPr>
            <w:tcW w:w="4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Fully diluted.............</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2.76</w:t>
            </w:r>
          </w:p>
        </w:tc>
        <w:tc>
          <w:tcPr>
            <w:tcW w:w="52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3.90</w:t>
            </w:r>
          </w:p>
        </w:tc>
        <w:tc>
          <w:tcPr>
            <w:tcW w:w="2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1.90</w:t>
            </w:r>
          </w:p>
        </w:tc>
        <w:tc>
          <w:tcPr>
            <w:tcW w:w="0" w:type="dxa"/>
            <w:vAlign w:val="bottom"/>
          </w:tcPr>
          <w:p>
            <w:pPr>
              <w:spacing w:after="0"/>
              <w:rPr>
                <w:sz w:val="1"/>
                <w:szCs w:val="1"/>
                <w:color w:val="auto"/>
              </w:rPr>
            </w:pP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Number of shares used in per</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4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share calculation:</w:t>
            </w:r>
          </w:p>
        </w:tc>
        <w:tc>
          <w:tcPr>
            <w:tcW w:w="440" w:type="dxa"/>
            <w:vAlign w:val="bottom"/>
          </w:tcPr>
          <w:p>
            <w:pPr>
              <w:spacing w:after="0"/>
              <w:rPr>
                <w:sz w:val="14"/>
                <w:szCs w:val="14"/>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215.0</w:t>
            </w:r>
          </w:p>
        </w:tc>
        <w:tc>
          <w:tcPr>
            <w:tcW w:w="520" w:type="dxa"/>
            <w:vAlign w:val="bottom"/>
          </w:tcPr>
          <w:p>
            <w:pPr>
              <w:spacing w:after="0"/>
              <w:rPr>
                <w:sz w:val="14"/>
                <w:szCs w:val="14"/>
                <w:color w:val="auto"/>
              </w:rPr>
            </w:pPr>
          </w:p>
        </w:tc>
        <w:tc>
          <w:tcPr>
            <w:tcW w:w="128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213.9</w:t>
            </w:r>
          </w:p>
        </w:tc>
        <w:tc>
          <w:tcPr>
            <w:tcW w:w="200" w:type="dxa"/>
            <w:vAlign w:val="bottom"/>
          </w:tcPr>
          <w:p>
            <w:pPr>
              <w:spacing w:after="0"/>
              <w:rPr>
                <w:sz w:val="14"/>
                <w:szCs w:val="14"/>
                <w:color w:val="auto"/>
              </w:rPr>
            </w:pP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208.9</w:t>
            </w:r>
          </w:p>
        </w:tc>
        <w:tc>
          <w:tcPr>
            <w:tcW w:w="0" w:type="dxa"/>
            <w:vAlign w:val="bottom"/>
          </w:tcPr>
          <w:p>
            <w:pPr>
              <w:spacing w:after="0"/>
              <w:rPr>
                <w:sz w:val="1"/>
                <w:szCs w:val="1"/>
                <w:color w:val="auto"/>
              </w:rPr>
            </w:pP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Primary...................</w:t>
            </w:r>
          </w:p>
        </w:tc>
        <w:tc>
          <w:tcPr>
            <w:tcW w:w="4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Fully diluted.............</w:t>
            </w:r>
          </w:p>
        </w:tc>
        <w:tc>
          <w:tcPr>
            <w:tcW w:w="440" w:type="dxa"/>
            <w:vAlign w:val="bottom"/>
          </w:tcPr>
          <w:p>
            <w:pPr>
              <w:spacing w:after="0"/>
              <w:rPr>
                <w:sz w:val="21"/>
                <w:szCs w:val="21"/>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215.0</w:t>
            </w:r>
          </w:p>
        </w:tc>
        <w:tc>
          <w:tcPr>
            <w:tcW w:w="520" w:type="dxa"/>
            <w:vAlign w:val="bottom"/>
          </w:tcPr>
          <w:p>
            <w:pPr>
              <w:spacing w:after="0"/>
              <w:rPr>
                <w:sz w:val="21"/>
                <w:szCs w:val="21"/>
                <w:color w:val="auto"/>
              </w:rPr>
            </w:pP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216.2</w:t>
            </w:r>
          </w:p>
        </w:tc>
        <w:tc>
          <w:tcPr>
            <w:tcW w:w="200" w:type="dxa"/>
            <w:vAlign w:val="bottom"/>
          </w:tcPr>
          <w:p>
            <w:pPr>
              <w:spacing w:after="0"/>
              <w:rPr>
                <w:sz w:val="21"/>
                <w:szCs w:val="21"/>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598" w:right="1440" w:bottom="1440" w:gutter="0" w:footer="0" w:header="0"/>
        </w:sectPr>
      </w:pPr>
    </w:p>
    <w:bookmarkStart w:id="29" w:name="page30"/>
    <w:bookmarkEnd w:id="29"/>
    <w:p>
      <w:pPr>
        <w:jc w:val="center"/>
        <w:ind w:right="3319"/>
        <w:spacing w:after="0"/>
        <w:rPr>
          <w:sz w:val="20"/>
          <w:szCs w:val="20"/>
          <w:color w:val="auto"/>
        </w:rPr>
      </w:pPr>
      <w:r>
        <w:rPr>
          <w:rFonts w:ascii="Courier New" w:cs="Courier New" w:eastAsia="Courier New" w:hAnsi="Courier New"/>
          <w:sz w:val="15"/>
          <w:szCs w:val="15"/>
          <w:color w:val="auto"/>
        </w:rPr>
        <w:t>MICRON TECHNOLOGY, INC.</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CONSOLIDATED BALANCE SHEETS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0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(DOLLARS IN MILLIONS, EXCEPT FOR PAR VALUE DATA)</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0"/>
        </w:trPr>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center"/>
              <w:ind w:left="447"/>
              <w:spacing w:after="0"/>
              <w:rPr>
                <w:sz w:val="20"/>
                <w:szCs w:val="20"/>
                <w:color w:val="auto"/>
              </w:rPr>
            </w:pPr>
            <w:r>
              <w:rPr>
                <w:rFonts w:ascii="Courier New" w:cs="Courier New" w:eastAsia="Courier New" w:hAnsi="Courier New"/>
                <w:sz w:val="15"/>
                <w:szCs w:val="15"/>
                <w:color w:val="auto"/>
                <w:w w:val="97"/>
              </w:rPr>
              <w:t>AS OF</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1880" w:type="dxa"/>
            <w:vAlign w:val="bottom"/>
            <w:gridSpan w:val="4"/>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1880" w:type="dxa"/>
            <w:vAlign w:val="bottom"/>
            <w:gridSpan w:val="4"/>
          </w:tcPr>
          <w:p>
            <w:pPr>
              <w:jc w:val="center"/>
              <w:spacing w:after="0" w:line="168" w:lineRule="exact"/>
              <w:rPr>
                <w:sz w:val="20"/>
                <w:szCs w:val="20"/>
                <w:color w:val="auto"/>
              </w:rPr>
            </w:pPr>
            <w:r>
              <w:rPr>
                <w:rFonts w:ascii="Courier New" w:cs="Courier New" w:eastAsia="Courier New" w:hAnsi="Courier New"/>
                <w:sz w:val="15"/>
                <w:szCs w:val="15"/>
                <w:color w:val="auto"/>
                <w:w w:val="97"/>
              </w:rPr>
              <w:t>AUGUST 29, AUGUST 31,</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5"/>
        </w:trPr>
        <w:tc>
          <w:tcPr>
            <w:tcW w:w="5040" w:type="dxa"/>
            <w:vAlign w:val="bottom"/>
          </w:tcPr>
          <w:p>
            <w:pPr>
              <w:spacing w:after="0"/>
              <w:rPr>
                <w:sz w:val="21"/>
                <w:szCs w:val="21"/>
                <w:color w:val="auto"/>
              </w:rPr>
            </w:pPr>
          </w:p>
        </w:tc>
        <w:tc>
          <w:tcPr>
            <w:tcW w:w="1880" w:type="dxa"/>
            <w:vAlign w:val="bottom"/>
            <w:gridSpan w:val="4"/>
          </w:tcPr>
          <w:p>
            <w:pPr>
              <w:jc w:val="center"/>
              <w:spacing w:after="0"/>
              <w:rPr>
                <w:sz w:val="20"/>
                <w:szCs w:val="20"/>
                <w:color w:val="auto"/>
              </w:rPr>
            </w:pPr>
            <w:r>
              <w:rPr>
                <w:rFonts w:ascii="Courier New" w:cs="Courier New" w:eastAsia="Courier New" w:hAnsi="Courier New"/>
                <w:sz w:val="15"/>
                <w:szCs w:val="15"/>
                <w:color w:val="auto"/>
                <w:w w:val="97"/>
              </w:rPr>
              <w:t>---------- ----------</w:t>
            </w:r>
          </w:p>
        </w:tc>
        <w:tc>
          <w:tcPr>
            <w:tcW w:w="0" w:type="dxa"/>
            <w:vAlign w:val="bottom"/>
          </w:tcPr>
          <w:p>
            <w:pPr>
              <w:spacing w:after="0"/>
              <w:rPr>
                <w:sz w:val="1"/>
                <w:szCs w:val="1"/>
                <w:color w:val="auto"/>
              </w:rPr>
            </w:pPr>
          </w:p>
        </w:tc>
      </w:tr>
      <w:tr>
        <w:trPr>
          <w:trHeight w:val="259"/>
        </w:trPr>
        <w:tc>
          <w:tcPr>
            <w:tcW w:w="504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ASSETS</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276.1</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128.1</w:t>
            </w:r>
          </w:p>
        </w:tc>
        <w:tc>
          <w:tcPr>
            <w:tcW w:w="0" w:type="dxa"/>
            <w:vAlign w:val="bottom"/>
          </w:tcPr>
          <w:p>
            <w:pPr>
              <w:spacing w:after="0"/>
              <w:rPr>
                <w:sz w:val="1"/>
                <w:szCs w:val="1"/>
                <w:color w:val="auto"/>
              </w:rPr>
            </w:pP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Cash and equivalents.....................................</w:t>
            </w:r>
          </w:p>
        </w:tc>
        <w:tc>
          <w:tcPr>
            <w:tcW w:w="2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Liquid investments.......................................</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10.7</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427.7</w:t>
            </w:r>
          </w:p>
        </w:tc>
        <w:tc>
          <w:tcPr>
            <w:tcW w:w="0" w:type="dxa"/>
            <w:vAlign w:val="bottom"/>
          </w:tcPr>
          <w:p>
            <w:pPr>
              <w:spacing w:after="0"/>
              <w:rPr>
                <w:sz w:val="1"/>
                <w:szCs w:val="1"/>
                <w:color w:val="auto"/>
              </w:rPr>
            </w:pP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Receivables..............................................</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347.4</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455.4</w:t>
            </w:r>
          </w:p>
        </w:tc>
        <w:tc>
          <w:tcPr>
            <w:tcW w:w="0" w:type="dxa"/>
            <w:vAlign w:val="bottom"/>
          </w:tcPr>
          <w:p>
            <w:pPr>
              <w:spacing w:after="0"/>
              <w:rPr>
                <w:sz w:val="1"/>
                <w:szCs w:val="1"/>
                <w:color w:val="auto"/>
              </w:rPr>
            </w:pP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Inventories..............................................</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251.4</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204.8</w:t>
            </w:r>
          </w:p>
        </w:tc>
        <w:tc>
          <w:tcPr>
            <w:tcW w:w="0" w:type="dxa"/>
            <w:vAlign w:val="bottom"/>
          </w:tcPr>
          <w:p>
            <w:pPr>
              <w:spacing w:after="0"/>
              <w:rPr>
                <w:sz w:val="1"/>
                <w:szCs w:val="1"/>
                <w:color w:val="auto"/>
              </w:rPr>
            </w:pP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Prepaid expenses.........................................</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13.4</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w:t>
            </w:r>
          </w:p>
        </w:tc>
        <w:tc>
          <w:tcPr>
            <w:tcW w:w="0" w:type="dxa"/>
            <w:vAlign w:val="bottom"/>
          </w:tcPr>
          <w:p>
            <w:pPr>
              <w:spacing w:after="0"/>
              <w:rPr>
                <w:sz w:val="1"/>
                <w:szCs w:val="1"/>
                <w:color w:val="auto"/>
              </w:rPr>
            </w:pP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Deferred income taxes....................................</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65.0</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49.0</w:t>
            </w:r>
          </w:p>
        </w:tc>
        <w:tc>
          <w:tcPr>
            <w:tcW w:w="0" w:type="dxa"/>
            <w:vAlign w:val="bottom"/>
          </w:tcPr>
          <w:p>
            <w:pPr>
              <w:spacing w:after="0"/>
              <w:rPr>
                <w:sz w:val="1"/>
                <w:szCs w:val="1"/>
                <w:color w:val="auto"/>
              </w:rPr>
            </w:pPr>
          </w:p>
        </w:tc>
      </w:tr>
      <w:tr>
        <w:trPr>
          <w:trHeight w:val="168"/>
        </w:trPr>
        <w:tc>
          <w:tcPr>
            <w:tcW w:w="5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220" w:type="dxa"/>
            <w:vAlign w:val="bottom"/>
          </w:tcPr>
          <w:p>
            <w:pPr>
              <w:jc w:val="right"/>
              <w:spacing w:after="0"/>
              <w:rPr>
                <w:sz w:val="20"/>
                <w:szCs w:val="20"/>
                <w:color w:val="auto"/>
              </w:rPr>
            </w:pPr>
            <w:r>
              <w:rPr>
                <w:rFonts w:ascii="Courier New" w:cs="Courier New" w:eastAsia="Courier New" w:hAnsi="Courier New"/>
                <w:sz w:val="5"/>
                <w:szCs w:val="5"/>
                <w:color w:val="auto"/>
                <w:w w:val="83"/>
              </w:rPr>
              <w:t>--------</w:t>
            </w: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964.0</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1,274.1</w:t>
            </w:r>
          </w:p>
        </w:tc>
        <w:tc>
          <w:tcPr>
            <w:tcW w:w="0" w:type="dxa"/>
            <w:vAlign w:val="bottom"/>
          </w:tcPr>
          <w:p>
            <w:pPr>
              <w:spacing w:after="0"/>
              <w:rPr>
                <w:sz w:val="1"/>
                <w:szCs w:val="1"/>
                <w:color w:val="auto"/>
              </w:rPr>
            </w:pP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Product and process technology, net......................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43.2</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41.6</w:t>
            </w:r>
          </w:p>
        </w:tc>
        <w:tc>
          <w:tcPr>
            <w:tcW w:w="0" w:type="dxa"/>
            <w:vAlign w:val="bottom"/>
          </w:tcPr>
          <w:p>
            <w:pPr>
              <w:spacing w:after="0"/>
              <w:rPr>
                <w:sz w:val="1"/>
                <w:szCs w:val="1"/>
                <w:color w:val="auto"/>
              </w:rPr>
            </w:pP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Property, plant and equipment, net.......................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2,708.1</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1,385.6</w:t>
            </w:r>
          </w:p>
        </w:tc>
        <w:tc>
          <w:tcPr>
            <w:tcW w:w="0" w:type="dxa"/>
            <w:vAlign w:val="bottom"/>
          </w:tcPr>
          <w:p>
            <w:pPr>
              <w:spacing w:after="0"/>
              <w:rPr>
                <w:sz w:val="1"/>
                <w:szCs w:val="1"/>
                <w:color w:val="auto"/>
              </w:rPr>
            </w:pP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Other assets.............................................</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36.2</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73.6</w:t>
            </w:r>
          </w:p>
        </w:tc>
        <w:tc>
          <w:tcPr>
            <w:tcW w:w="0" w:type="dxa"/>
            <w:vAlign w:val="bottom"/>
          </w:tcPr>
          <w:p>
            <w:pPr>
              <w:spacing w:after="0"/>
              <w:rPr>
                <w:sz w:val="1"/>
                <w:szCs w:val="1"/>
                <w:color w:val="auto"/>
              </w:rPr>
            </w:pPr>
          </w:p>
        </w:tc>
      </w:tr>
      <w:tr>
        <w:trPr>
          <w:trHeight w:val="168"/>
        </w:trPr>
        <w:tc>
          <w:tcPr>
            <w:tcW w:w="5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 assets.........................................</w:t>
            </w:r>
          </w:p>
        </w:tc>
        <w:tc>
          <w:tcPr>
            <w:tcW w:w="960" w:type="dxa"/>
            <w:vAlign w:val="bottom"/>
            <w:gridSpan w:val="2"/>
            <w:vMerge w:val="restart"/>
          </w:tcPr>
          <w:p>
            <w:pPr>
              <w:jc w:val="right"/>
              <w:ind w:right="67"/>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3,751.5</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4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$2,774.9</w:t>
            </w:r>
          </w:p>
        </w:tc>
        <w:tc>
          <w:tcPr>
            <w:tcW w:w="0" w:type="dxa"/>
            <w:vAlign w:val="bottom"/>
          </w:tcPr>
          <w:p>
            <w:pPr>
              <w:spacing w:after="0"/>
              <w:rPr>
                <w:sz w:val="1"/>
                <w:szCs w:val="1"/>
                <w:color w:val="auto"/>
              </w:rPr>
            </w:pPr>
          </w:p>
        </w:tc>
      </w:tr>
      <w:tr>
        <w:trPr>
          <w:trHeight w:val="245"/>
        </w:trPr>
        <w:tc>
          <w:tcPr>
            <w:tcW w:w="5040" w:type="dxa"/>
            <w:vAlign w:val="bottom"/>
            <w:vMerge w:val="restart"/>
          </w:tcPr>
          <w:p>
            <w:pPr>
              <w:jc w:val="center"/>
              <w:ind w:right="47"/>
              <w:spacing w:after="0"/>
              <w:rPr>
                <w:sz w:val="20"/>
                <w:szCs w:val="20"/>
                <w:color w:val="auto"/>
              </w:rPr>
            </w:pPr>
            <w:r>
              <w:rPr>
                <w:rFonts w:ascii="Courier New" w:cs="Courier New" w:eastAsia="Courier New" w:hAnsi="Courier New"/>
                <w:sz w:val="15"/>
                <w:szCs w:val="15"/>
                <w:color w:val="auto"/>
                <w:w w:val="97"/>
              </w:rPr>
              <w:t>LIABILITIES AND SHAREHOLDERS' EQUITY</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040" w:type="dxa"/>
            <w:vAlign w:val="bottom"/>
            <w:vMerge w:val="continue"/>
          </w:tcPr>
          <w:p>
            <w:pPr>
              <w:spacing w:after="0"/>
              <w:rPr>
                <w:sz w:val="7"/>
                <w:szCs w:val="7"/>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423.7</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502.3</w:t>
            </w:r>
          </w:p>
        </w:tc>
        <w:tc>
          <w:tcPr>
            <w:tcW w:w="0" w:type="dxa"/>
            <w:vAlign w:val="bottom"/>
          </w:tcPr>
          <w:p>
            <w:pPr>
              <w:spacing w:after="0"/>
              <w:rPr>
                <w:sz w:val="1"/>
                <w:szCs w:val="1"/>
                <w:color w:val="auto"/>
              </w:rPr>
            </w:pP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Accounts payable and accrued expenses....................</w:t>
            </w:r>
          </w:p>
        </w:tc>
        <w:tc>
          <w:tcPr>
            <w:tcW w:w="2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Short-term debt..........................................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90.0</w:t>
            </w:r>
          </w:p>
        </w:tc>
        <w:tc>
          <w:tcPr>
            <w:tcW w:w="2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Deferred income..........................................</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w:t>
            </w:r>
          </w:p>
        </w:tc>
        <w:tc>
          <w:tcPr>
            <w:tcW w:w="0" w:type="dxa"/>
            <w:vAlign w:val="bottom"/>
          </w:tcPr>
          <w:p>
            <w:pPr>
              <w:spacing w:after="0"/>
              <w:rPr>
                <w:sz w:val="1"/>
                <w:szCs w:val="1"/>
                <w:color w:val="auto"/>
              </w:rPr>
            </w:pP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Equipment purchase contracts.............................</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67.8</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59.6</w:t>
            </w:r>
          </w:p>
        </w:tc>
        <w:tc>
          <w:tcPr>
            <w:tcW w:w="0" w:type="dxa"/>
            <w:vAlign w:val="bottom"/>
          </w:tcPr>
          <w:p>
            <w:pPr>
              <w:spacing w:after="0"/>
              <w:rPr>
                <w:sz w:val="1"/>
                <w:szCs w:val="1"/>
                <w:color w:val="auto"/>
              </w:rPr>
            </w:pP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Current portion of long-term debt........................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75.2</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26.5</w:t>
            </w:r>
          </w:p>
        </w:tc>
        <w:tc>
          <w:tcPr>
            <w:tcW w:w="0" w:type="dxa"/>
            <w:vAlign w:val="bottom"/>
          </w:tcPr>
          <w:p>
            <w:pPr>
              <w:spacing w:after="0"/>
              <w:rPr>
                <w:sz w:val="1"/>
                <w:szCs w:val="1"/>
                <w:color w:val="auto"/>
              </w:rPr>
            </w:pPr>
          </w:p>
        </w:tc>
      </w:tr>
      <w:tr>
        <w:trPr>
          <w:trHeight w:val="168"/>
        </w:trPr>
        <w:tc>
          <w:tcPr>
            <w:tcW w:w="5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220" w:type="dxa"/>
            <w:vAlign w:val="bottom"/>
          </w:tcPr>
          <w:p>
            <w:pPr>
              <w:jc w:val="right"/>
              <w:spacing w:after="0"/>
              <w:rPr>
                <w:sz w:val="20"/>
                <w:szCs w:val="20"/>
                <w:color w:val="auto"/>
              </w:rPr>
            </w:pPr>
            <w:r>
              <w:rPr>
                <w:rFonts w:ascii="Courier New" w:cs="Courier New" w:eastAsia="Courier New" w:hAnsi="Courier New"/>
                <w:sz w:val="5"/>
                <w:szCs w:val="5"/>
                <w:color w:val="auto"/>
                <w:w w:val="83"/>
              </w:rPr>
              <w:t>--------</w:t>
            </w: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664.5</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604.8</w:t>
            </w:r>
          </w:p>
        </w:tc>
        <w:tc>
          <w:tcPr>
            <w:tcW w:w="0" w:type="dxa"/>
            <w:vAlign w:val="bottom"/>
          </w:tcPr>
          <w:p>
            <w:pPr>
              <w:spacing w:after="0"/>
              <w:rPr>
                <w:sz w:val="1"/>
                <w:szCs w:val="1"/>
                <w:color w:val="auto"/>
              </w:rPr>
            </w:pP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Long-term debt...........................................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314.6</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129.4</w:t>
            </w:r>
          </w:p>
        </w:tc>
        <w:tc>
          <w:tcPr>
            <w:tcW w:w="0" w:type="dxa"/>
            <w:vAlign w:val="bottom"/>
          </w:tcPr>
          <w:p>
            <w:pPr>
              <w:spacing w:after="0"/>
              <w:rPr>
                <w:sz w:val="1"/>
                <w:szCs w:val="1"/>
                <w:color w:val="auto"/>
              </w:rPr>
            </w:pP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Deferred income taxes....................................</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157.4</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93.3</w:t>
            </w:r>
          </w:p>
        </w:tc>
        <w:tc>
          <w:tcPr>
            <w:tcW w:w="0" w:type="dxa"/>
            <w:vAlign w:val="bottom"/>
          </w:tcPr>
          <w:p>
            <w:pPr>
              <w:spacing w:after="0"/>
              <w:rPr>
                <w:sz w:val="1"/>
                <w:szCs w:val="1"/>
                <w:color w:val="auto"/>
              </w:rPr>
            </w:pP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Non-current product and process technology...............</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43.5</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w:t>
            </w:r>
          </w:p>
        </w:tc>
        <w:tc>
          <w:tcPr>
            <w:tcW w:w="0" w:type="dxa"/>
            <w:vAlign w:val="bottom"/>
          </w:tcPr>
          <w:p>
            <w:pPr>
              <w:spacing w:after="0"/>
              <w:rPr>
                <w:sz w:val="1"/>
                <w:szCs w:val="1"/>
                <w:color w:val="auto"/>
              </w:rPr>
            </w:pP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Other liabilities........................................</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15.7</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w:t>
            </w:r>
          </w:p>
        </w:tc>
        <w:tc>
          <w:tcPr>
            <w:tcW w:w="0" w:type="dxa"/>
            <w:vAlign w:val="bottom"/>
          </w:tcPr>
          <w:p>
            <w:pPr>
              <w:spacing w:after="0"/>
              <w:rPr>
                <w:sz w:val="1"/>
                <w:szCs w:val="1"/>
                <w:color w:val="auto"/>
              </w:rPr>
            </w:pPr>
          </w:p>
        </w:tc>
      </w:tr>
      <w:tr>
        <w:trPr>
          <w:trHeight w:val="168"/>
        </w:trPr>
        <w:tc>
          <w:tcPr>
            <w:tcW w:w="5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 liabilities....................................</w:t>
            </w:r>
          </w:p>
        </w:tc>
        <w:tc>
          <w:tcPr>
            <w:tcW w:w="220" w:type="dxa"/>
            <w:vAlign w:val="bottom"/>
          </w:tcPr>
          <w:p>
            <w:pPr>
              <w:jc w:val="right"/>
              <w:spacing w:after="0"/>
              <w:rPr>
                <w:sz w:val="20"/>
                <w:szCs w:val="20"/>
                <w:color w:val="auto"/>
              </w:rPr>
            </w:pPr>
            <w:r>
              <w:rPr>
                <w:rFonts w:ascii="Courier New" w:cs="Courier New" w:eastAsia="Courier New" w:hAnsi="Courier New"/>
                <w:sz w:val="5"/>
                <w:szCs w:val="5"/>
                <w:color w:val="auto"/>
                <w:w w:val="83"/>
              </w:rPr>
              <w:t>--------</w:t>
            </w: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1"/>
              </w:rPr>
              <w:t>1,195.7</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840.5</w:t>
            </w:r>
          </w:p>
        </w:tc>
        <w:tc>
          <w:tcPr>
            <w:tcW w:w="0" w:type="dxa"/>
            <w:vAlign w:val="bottom"/>
          </w:tcPr>
          <w:p>
            <w:pPr>
              <w:spacing w:after="0"/>
              <w:rPr>
                <w:sz w:val="1"/>
                <w:szCs w:val="1"/>
                <w:color w:val="auto"/>
              </w:rPr>
            </w:pPr>
          </w:p>
        </w:tc>
      </w:tr>
      <w:tr>
        <w:trPr>
          <w:trHeight w:val="168"/>
        </w:trPr>
        <w:tc>
          <w:tcPr>
            <w:tcW w:w="5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7"/>
              </w:rPr>
              <w:t>Minority interests.......................................</w:t>
            </w:r>
          </w:p>
        </w:tc>
        <w:tc>
          <w:tcPr>
            <w:tcW w:w="220" w:type="dxa"/>
            <w:vAlign w:val="bottom"/>
          </w:tcPr>
          <w:p>
            <w:pPr>
              <w:jc w:val="right"/>
              <w:spacing w:after="0"/>
              <w:rPr>
                <w:sz w:val="20"/>
                <w:szCs w:val="20"/>
                <w:color w:val="auto"/>
              </w:rPr>
            </w:pPr>
            <w:r>
              <w:rPr>
                <w:rFonts w:ascii="Courier New" w:cs="Courier New" w:eastAsia="Courier New" w:hAnsi="Courier New"/>
                <w:sz w:val="5"/>
                <w:szCs w:val="5"/>
                <w:color w:val="auto"/>
                <w:w w:val="83"/>
              </w:rPr>
              <w:t>--------</w:t>
            </w: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53.8</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38.2</w:t>
            </w:r>
          </w:p>
        </w:tc>
        <w:tc>
          <w:tcPr>
            <w:tcW w:w="0" w:type="dxa"/>
            <w:vAlign w:val="bottom"/>
          </w:tcPr>
          <w:p>
            <w:pPr>
              <w:spacing w:after="0"/>
              <w:rPr>
                <w:sz w:val="1"/>
                <w:szCs w:val="1"/>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$0.10 par value, authorized 1.0 billion</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shares, issued and outstanding 208.8 million and 206.4</w:t>
            </w:r>
          </w:p>
        </w:tc>
        <w:tc>
          <w:tcPr>
            <w:tcW w:w="220" w:type="dxa"/>
            <w:vAlign w:val="bottom"/>
          </w:tcPr>
          <w:p>
            <w:pPr>
              <w:spacing w:after="0"/>
              <w:rPr>
                <w:sz w:val="14"/>
                <w:szCs w:val="14"/>
                <w:color w:val="auto"/>
              </w:rPr>
            </w:pP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20.9</w:t>
            </w:r>
          </w:p>
        </w:tc>
        <w:tc>
          <w:tcPr>
            <w:tcW w:w="220" w:type="dxa"/>
            <w:vAlign w:val="bottom"/>
          </w:tcPr>
          <w:p>
            <w:pPr>
              <w:spacing w:after="0"/>
              <w:rPr>
                <w:sz w:val="14"/>
                <w:szCs w:val="14"/>
                <w:color w:val="auto"/>
              </w:rPr>
            </w:pP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20.6</w:t>
            </w:r>
          </w:p>
        </w:tc>
        <w:tc>
          <w:tcPr>
            <w:tcW w:w="0" w:type="dxa"/>
            <w:vAlign w:val="bottom"/>
          </w:tcPr>
          <w:p>
            <w:pPr>
              <w:spacing w:after="0"/>
              <w:rPr>
                <w:sz w:val="1"/>
                <w:szCs w:val="1"/>
                <w:color w:val="auto"/>
              </w:rPr>
            </w:pP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million shares, respectively............................</w:t>
            </w: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Additional capital.......................................</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434.7</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391.5</w:t>
            </w:r>
          </w:p>
        </w:tc>
        <w:tc>
          <w:tcPr>
            <w:tcW w:w="0" w:type="dxa"/>
            <w:vAlign w:val="bottom"/>
          </w:tcPr>
          <w:p>
            <w:pPr>
              <w:spacing w:after="0"/>
              <w:rPr>
                <w:sz w:val="1"/>
                <w:szCs w:val="1"/>
                <w:color w:val="auto"/>
              </w:rPr>
            </w:pP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Retained earnings........................................</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2,046.4</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1,484.1</w:t>
            </w:r>
          </w:p>
        </w:tc>
        <w:tc>
          <w:tcPr>
            <w:tcW w:w="0" w:type="dxa"/>
            <w:vAlign w:val="bottom"/>
          </w:tcPr>
          <w:p>
            <w:pPr>
              <w:spacing w:after="0"/>
              <w:rPr>
                <w:sz w:val="1"/>
                <w:szCs w:val="1"/>
                <w:color w:val="auto"/>
              </w:rPr>
            </w:pPr>
          </w:p>
        </w:tc>
      </w:tr>
      <w:tr>
        <w:trPr>
          <w:trHeight w:val="168"/>
        </w:trPr>
        <w:tc>
          <w:tcPr>
            <w:tcW w:w="5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 shareholders' equity.............................</w:t>
            </w:r>
          </w:p>
        </w:tc>
        <w:tc>
          <w:tcPr>
            <w:tcW w:w="220" w:type="dxa"/>
            <w:vAlign w:val="bottom"/>
          </w:tcPr>
          <w:p>
            <w:pPr>
              <w:jc w:val="right"/>
              <w:spacing w:after="0"/>
              <w:rPr>
                <w:sz w:val="20"/>
                <w:szCs w:val="20"/>
                <w:color w:val="auto"/>
              </w:rPr>
            </w:pPr>
            <w:r>
              <w:rPr>
                <w:rFonts w:ascii="Courier New" w:cs="Courier New" w:eastAsia="Courier New" w:hAnsi="Courier New"/>
                <w:sz w:val="5"/>
                <w:szCs w:val="5"/>
                <w:color w:val="auto"/>
                <w:w w:val="83"/>
              </w:rPr>
              <w:t>--------</w:t>
            </w: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1"/>
              </w:rPr>
              <w:t>2,502.0</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1,896.2</w:t>
            </w:r>
          </w:p>
        </w:tc>
        <w:tc>
          <w:tcPr>
            <w:tcW w:w="0" w:type="dxa"/>
            <w:vAlign w:val="bottom"/>
          </w:tcPr>
          <w:p>
            <w:pPr>
              <w:spacing w:after="0"/>
              <w:rPr>
                <w:sz w:val="1"/>
                <w:szCs w:val="1"/>
                <w:color w:val="auto"/>
              </w:rPr>
            </w:pPr>
          </w:p>
        </w:tc>
      </w:tr>
      <w:tr>
        <w:trPr>
          <w:trHeight w:val="168"/>
        </w:trPr>
        <w:tc>
          <w:tcPr>
            <w:tcW w:w="5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 liabilities and shareholders' equity...........</w:t>
            </w:r>
          </w:p>
        </w:tc>
        <w:tc>
          <w:tcPr>
            <w:tcW w:w="960" w:type="dxa"/>
            <w:vAlign w:val="bottom"/>
            <w:gridSpan w:val="2"/>
            <w:vMerge w:val="restart"/>
          </w:tcPr>
          <w:p>
            <w:pPr>
              <w:jc w:val="right"/>
              <w:ind w:right="67"/>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3,751.5</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4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$2,774.9</w:t>
            </w:r>
          </w:p>
        </w:tc>
        <w:tc>
          <w:tcPr>
            <w:tcW w:w="0" w:type="dxa"/>
            <w:vAlign w:val="bottom"/>
          </w:tcPr>
          <w:p>
            <w:pPr>
              <w:spacing w:after="0"/>
              <w:rPr>
                <w:sz w:val="1"/>
                <w:szCs w:val="1"/>
                <w:color w:val="auto"/>
              </w:rPr>
            </w:pPr>
          </w:p>
        </w:tc>
      </w:tr>
      <w:tr>
        <w:trPr>
          <w:trHeight w:val="245"/>
        </w:trPr>
        <w:tc>
          <w:tcPr>
            <w:tcW w:w="5040" w:type="dxa"/>
            <w:vAlign w:val="bottom"/>
          </w:tcPr>
          <w:p>
            <w:pPr>
              <w:spacing w:after="0"/>
              <w:rPr>
                <w:sz w:val="21"/>
                <w:szCs w:val="21"/>
                <w:color w:val="auto"/>
              </w:rPr>
            </w:pP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598" w:right="1440" w:bottom="1440" w:gutter="0" w:footer="0" w:header="0"/>
        </w:sectPr>
      </w:pPr>
    </w:p>
    <w:bookmarkStart w:id="30" w:name="page31"/>
    <w:bookmarkEnd w:id="30"/>
    <w:p>
      <w:pPr>
        <w:jc w:val="center"/>
        <w:ind w:right="3319"/>
        <w:spacing w:after="0"/>
        <w:rPr>
          <w:sz w:val="20"/>
          <w:szCs w:val="20"/>
          <w:color w:val="auto"/>
        </w:rPr>
      </w:pPr>
      <w:r>
        <w:rPr>
          <w:rFonts w:ascii="Courier New" w:cs="Courier New" w:eastAsia="Courier New" w:hAnsi="Courier New"/>
          <w:sz w:val="15"/>
          <w:szCs w:val="15"/>
          <w:color w:val="auto"/>
        </w:rPr>
        <w:t>MICRON TECHNOLOGY, INC.</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CONSOLIDATED STATEMENTS OF SHAREHOLDERS' EQUITY</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(DOLLARS AND SHARES IN MILLIONS)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8"/>
              </w:rPr>
              <w:t>FISCAL YEAR ENDED</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00" w:type="dxa"/>
            <w:vAlign w:val="bottom"/>
          </w:tcPr>
          <w:p>
            <w:pPr>
              <w:spacing w:after="0"/>
              <w:rPr>
                <w:sz w:val="14"/>
                <w:szCs w:val="14"/>
                <w:color w:val="auto"/>
              </w:rPr>
            </w:pPr>
          </w:p>
        </w:tc>
        <w:tc>
          <w:tcPr>
            <w:tcW w:w="4800" w:type="dxa"/>
            <w:vAlign w:val="bottom"/>
            <w:gridSpan w:val="9"/>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68"/>
        </w:trPr>
        <w:tc>
          <w:tcPr>
            <w:tcW w:w="2200" w:type="dxa"/>
            <w:vAlign w:val="bottom"/>
          </w:tcPr>
          <w:p>
            <w:pPr>
              <w:spacing w:after="0"/>
              <w:rPr>
                <w:sz w:val="14"/>
                <w:szCs w:val="14"/>
                <w:color w:val="auto"/>
              </w:rPr>
            </w:pPr>
          </w:p>
        </w:tc>
        <w:tc>
          <w:tcPr>
            <w:tcW w:w="14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AUGUST 29, 1996</w:t>
            </w:r>
          </w:p>
        </w:tc>
        <w:tc>
          <w:tcPr>
            <w:tcW w:w="154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6"/>
              </w:rPr>
              <w:t>AUGUST 31, 1995</w:t>
            </w:r>
          </w:p>
        </w:tc>
        <w:tc>
          <w:tcPr>
            <w:tcW w:w="178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SEPTEMBER 1, 1994</w:t>
            </w:r>
          </w:p>
        </w:tc>
        <w:tc>
          <w:tcPr>
            <w:tcW w:w="0" w:type="dxa"/>
            <w:vAlign w:val="bottom"/>
          </w:tcPr>
          <w:p>
            <w:pPr>
              <w:spacing w:after="0"/>
              <w:rPr>
                <w:sz w:val="1"/>
                <w:szCs w:val="1"/>
                <w:color w:val="auto"/>
              </w:rPr>
            </w:pPr>
          </w:p>
        </w:tc>
      </w:tr>
      <w:tr>
        <w:trPr>
          <w:trHeight w:val="168"/>
        </w:trPr>
        <w:tc>
          <w:tcPr>
            <w:tcW w:w="2200" w:type="dxa"/>
            <w:vAlign w:val="bottom"/>
          </w:tcPr>
          <w:p>
            <w:pPr>
              <w:spacing w:after="0"/>
              <w:rPr>
                <w:sz w:val="14"/>
                <w:szCs w:val="14"/>
                <w:color w:val="auto"/>
              </w:rPr>
            </w:pPr>
          </w:p>
        </w:tc>
        <w:tc>
          <w:tcPr>
            <w:tcW w:w="780" w:type="dxa"/>
            <w:vAlign w:val="bottom"/>
            <w:gridSpan w:val="2"/>
            <w:vMerge w:val="restart"/>
          </w:tcPr>
          <w:p>
            <w:pPr>
              <w:jc w:val="right"/>
              <w:spacing w:after="0"/>
              <w:rPr>
                <w:sz w:val="20"/>
                <w:szCs w:val="20"/>
                <w:color w:val="auto"/>
              </w:rPr>
            </w:pPr>
            <w:r>
              <w:rPr>
                <w:rFonts w:ascii="Courier New" w:cs="Courier New" w:eastAsia="Courier New" w:hAnsi="Courier New"/>
                <w:sz w:val="11"/>
                <w:szCs w:val="11"/>
                <w:color w:val="auto"/>
                <w:w w:val="77"/>
                <w:vertAlign w:val="subscript"/>
              </w:rPr>
              <w:t>SHARES</w:t>
            </w:r>
            <w:r>
              <w:rPr>
                <w:rFonts w:ascii="Courier New" w:cs="Courier New" w:eastAsia="Courier New" w:hAnsi="Courier New"/>
                <w:sz w:val="8"/>
                <w:szCs w:val="8"/>
                <w:color w:val="auto"/>
                <w:w w:val="77"/>
              </w:rPr>
              <w:t>---------------</w:t>
            </w: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2"/>
              </w:rPr>
              <w:t>AMOUNT</w:t>
            </w:r>
          </w:p>
        </w:tc>
        <w:tc>
          <w:tcPr>
            <w:tcW w:w="154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68"/>
        </w:trPr>
        <w:tc>
          <w:tcPr>
            <w:tcW w:w="2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SHARES</w:t>
            </w:r>
          </w:p>
        </w:tc>
        <w:tc>
          <w:tcPr>
            <w:tcW w:w="1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AMOUNT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SHARES</w:t>
            </w:r>
          </w:p>
        </w:tc>
        <w:tc>
          <w:tcPr>
            <w:tcW w:w="1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AMOUNT</w:t>
            </w:r>
          </w:p>
        </w:tc>
        <w:tc>
          <w:tcPr>
            <w:tcW w:w="0" w:type="dxa"/>
            <w:vAlign w:val="bottom"/>
          </w:tcPr>
          <w:p>
            <w:pPr>
              <w:spacing w:after="0"/>
              <w:rPr>
                <w:sz w:val="1"/>
                <w:szCs w:val="1"/>
                <w:color w:val="auto"/>
              </w:rPr>
            </w:pPr>
          </w:p>
        </w:tc>
      </w:tr>
      <w:tr>
        <w:trPr>
          <w:trHeight w:val="245"/>
        </w:trPr>
        <w:tc>
          <w:tcPr>
            <w:tcW w:w="2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154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rPr>
              <w:t>------ --------</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20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beginning of</w:t>
            </w:r>
          </w:p>
        </w:tc>
        <w:tc>
          <w:tcPr>
            <w:tcW w:w="700" w:type="dxa"/>
            <w:vAlign w:val="bottom"/>
            <w:vMerge w:val="restart"/>
          </w:tcPr>
          <w:p>
            <w:pPr>
              <w:jc w:val="right"/>
              <w:ind w:right="110"/>
              <w:spacing w:after="0"/>
              <w:rPr>
                <w:sz w:val="20"/>
                <w:szCs w:val="20"/>
                <w:color w:val="auto"/>
              </w:rPr>
            </w:pPr>
            <w:r>
              <w:rPr>
                <w:rFonts w:ascii="Courier New" w:cs="Courier New" w:eastAsia="Courier New" w:hAnsi="Courier New"/>
                <w:sz w:val="15"/>
                <w:szCs w:val="15"/>
                <w:color w:val="auto"/>
              </w:rPr>
              <w:t>206.4</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20.6</w:t>
            </w:r>
          </w:p>
        </w:tc>
        <w:tc>
          <w:tcPr>
            <w:tcW w:w="6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101.9</w:t>
            </w:r>
          </w:p>
        </w:tc>
        <w:tc>
          <w:tcPr>
            <w:tcW w:w="14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10.2</w:t>
            </w: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40.1</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4.0</w:t>
            </w:r>
          </w:p>
        </w:tc>
        <w:tc>
          <w:tcPr>
            <w:tcW w:w="0" w:type="dxa"/>
            <w:vAlign w:val="bottom"/>
          </w:tcPr>
          <w:p>
            <w:pPr>
              <w:spacing w:after="0"/>
              <w:rPr>
                <w:sz w:val="1"/>
                <w:szCs w:val="1"/>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year...................</w:t>
            </w:r>
          </w:p>
        </w:tc>
        <w:tc>
          <w:tcPr>
            <w:tcW w:w="70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 sold..............</w:t>
            </w:r>
          </w:p>
        </w:tc>
        <w:tc>
          <w:tcPr>
            <w:tcW w:w="700" w:type="dxa"/>
            <w:vAlign w:val="bottom"/>
          </w:tcPr>
          <w:p>
            <w:pPr>
              <w:jc w:val="right"/>
              <w:ind w:right="110"/>
              <w:spacing w:after="0" w:line="168" w:lineRule="exact"/>
              <w:rPr>
                <w:sz w:val="20"/>
                <w:szCs w:val="20"/>
                <w:color w:val="auto"/>
              </w:rPr>
            </w:pPr>
            <w:r>
              <w:rPr>
                <w:rFonts w:ascii="Courier New" w:cs="Courier New" w:eastAsia="Courier New" w:hAnsi="Courier New"/>
                <w:sz w:val="15"/>
                <w:szCs w:val="15"/>
                <w:color w:val="auto"/>
              </w:rPr>
              <w:t>0.4</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0.2</w:t>
            </w:r>
          </w:p>
        </w:tc>
        <w:tc>
          <w:tcPr>
            <w:tcW w:w="1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w:t>
            </w:r>
          </w:p>
        </w:tc>
        <w:tc>
          <w:tcPr>
            <w:tcW w:w="0" w:type="dxa"/>
            <w:vAlign w:val="bottom"/>
          </w:tcPr>
          <w:p>
            <w:pPr>
              <w:spacing w:after="0"/>
              <w:rPr>
                <w:sz w:val="1"/>
                <w:szCs w:val="1"/>
                <w:color w:val="auto"/>
              </w:rPr>
            </w:pP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 option plan.......</w:t>
            </w:r>
          </w:p>
        </w:tc>
        <w:tc>
          <w:tcPr>
            <w:tcW w:w="700" w:type="dxa"/>
            <w:vAlign w:val="bottom"/>
          </w:tcPr>
          <w:p>
            <w:pPr>
              <w:jc w:val="right"/>
              <w:ind w:right="110"/>
              <w:spacing w:after="0" w:line="168" w:lineRule="exact"/>
              <w:rPr>
                <w:sz w:val="20"/>
                <w:szCs w:val="20"/>
                <w:color w:val="auto"/>
              </w:rPr>
            </w:pPr>
            <w:r>
              <w:rPr>
                <w:rFonts w:ascii="Courier New" w:cs="Courier New" w:eastAsia="Courier New" w:hAnsi="Courier New"/>
                <w:sz w:val="15"/>
                <w:szCs w:val="15"/>
                <w:color w:val="auto"/>
              </w:rPr>
              <w:t>2.0</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w:t>
            </w:r>
          </w:p>
        </w:tc>
        <w:tc>
          <w:tcPr>
            <w:tcW w:w="1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0.8</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w:t>
            </w:r>
          </w:p>
        </w:tc>
        <w:tc>
          <w:tcPr>
            <w:tcW w:w="0" w:type="dxa"/>
            <w:vAlign w:val="bottom"/>
          </w:tcPr>
          <w:p>
            <w:pPr>
              <w:spacing w:after="0"/>
              <w:rPr>
                <w:sz w:val="1"/>
                <w:szCs w:val="1"/>
                <w:color w:val="auto"/>
              </w:rPr>
            </w:pP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 split.............</w:t>
            </w:r>
          </w:p>
        </w:tc>
        <w:tc>
          <w:tcPr>
            <w:tcW w:w="700" w:type="dxa"/>
            <w:vAlign w:val="bottom"/>
          </w:tcPr>
          <w:p>
            <w:pPr>
              <w:jc w:val="right"/>
              <w:ind w:right="190"/>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102.9</w:t>
            </w:r>
          </w:p>
        </w:tc>
        <w:tc>
          <w:tcPr>
            <w:tcW w:w="1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10.3</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60.9</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w:t>
            </w:r>
          </w:p>
        </w:tc>
        <w:tc>
          <w:tcPr>
            <w:tcW w:w="0" w:type="dxa"/>
            <w:vAlign w:val="bottom"/>
          </w:tcPr>
          <w:p>
            <w:pPr>
              <w:spacing w:after="0"/>
              <w:rPr>
                <w:sz w:val="1"/>
                <w:szCs w:val="1"/>
                <w:color w:val="auto"/>
              </w:rPr>
            </w:pPr>
          </w:p>
        </w:tc>
      </w:tr>
      <w:tr>
        <w:trPr>
          <w:trHeight w:val="168"/>
        </w:trPr>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end of year..</w:t>
            </w:r>
          </w:p>
        </w:tc>
        <w:tc>
          <w:tcPr>
            <w:tcW w:w="700" w:type="dxa"/>
            <w:vAlign w:val="bottom"/>
          </w:tcPr>
          <w:p>
            <w:pPr>
              <w:jc w:val="right"/>
              <w:ind w:right="11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200" w:type="dxa"/>
            <w:vAlign w:val="bottom"/>
            <w:vMerge w:val="continue"/>
          </w:tcPr>
          <w:p>
            <w:pPr>
              <w:spacing w:after="0"/>
              <w:rPr>
                <w:sz w:val="14"/>
                <w:szCs w:val="14"/>
                <w:color w:val="auto"/>
              </w:rPr>
            </w:pPr>
          </w:p>
        </w:tc>
        <w:tc>
          <w:tcPr>
            <w:tcW w:w="700" w:type="dxa"/>
            <w:vAlign w:val="bottom"/>
          </w:tcPr>
          <w:p>
            <w:pPr>
              <w:jc w:val="right"/>
              <w:ind w:right="110"/>
              <w:spacing w:after="0" w:line="168" w:lineRule="exact"/>
              <w:rPr>
                <w:sz w:val="20"/>
                <w:szCs w:val="20"/>
                <w:color w:val="auto"/>
              </w:rPr>
            </w:pPr>
            <w:r>
              <w:rPr>
                <w:rFonts w:ascii="Courier New" w:cs="Courier New" w:eastAsia="Courier New" w:hAnsi="Courier New"/>
                <w:sz w:val="15"/>
                <w:szCs w:val="15"/>
                <w:color w:val="auto"/>
              </w:rPr>
              <w:t>208.8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20.9</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206.4</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20.6</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w:t>
            </w:r>
          </w:p>
        </w:tc>
        <w:tc>
          <w:tcPr>
            <w:tcW w:w="0" w:type="dxa"/>
            <w:vAlign w:val="bottom"/>
          </w:tcPr>
          <w:p>
            <w:pPr>
              <w:spacing w:after="0"/>
              <w:rPr>
                <w:sz w:val="1"/>
                <w:szCs w:val="1"/>
                <w:color w:val="auto"/>
              </w:rPr>
            </w:pPr>
          </w:p>
        </w:tc>
      </w:tr>
      <w:tr>
        <w:trPr>
          <w:trHeight w:val="245"/>
        </w:trPr>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ADDITIONAL CAPITAL</w:t>
            </w:r>
          </w:p>
        </w:tc>
        <w:tc>
          <w:tcPr>
            <w:tcW w:w="70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22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beginning of</w:t>
            </w:r>
          </w:p>
        </w:tc>
        <w:tc>
          <w:tcPr>
            <w:tcW w:w="700" w:type="dxa"/>
            <w:vAlign w:val="bottom"/>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391.5</w:t>
            </w:r>
          </w:p>
        </w:tc>
        <w:tc>
          <w:tcPr>
            <w:tcW w:w="660" w:type="dxa"/>
            <w:vAlign w:val="bottom"/>
          </w:tcPr>
          <w:p>
            <w:pPr>
              <w:spacing w:after="0"/>
              <w:rPr>
                <w:sz w:val="14"/>
                <w:szCs w:val="14"/>
                <w:color w:val="auto"/>
              </w:rPr>
            </w:pPr>
          </w:p>
        </w:tc>
        <w:tc>
          <w:tcPr>
            <w:tcW w:w="14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368.3</w:t>
            </w:r>
          </w:p>
        </w:tc>
        <w:tc>
          <w:tcPr>
            <w:tcW w:w="82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353.0</w:t>
            </w:r>
          </w:p>
        </w:tc>
        <w:tc>
          <w:tcPr>
            <w:tcW w:w="0" w:type="dxa"/>
            <w:vAlign w:val="bottom"/>
          </w:tcPr>
          <w:p>
            <w:pPr>
              <w:spacing w:after="0"/>
              <w:rPr>
                <w:sz w:val="1"/>
                <w:szCs w:val="1"/>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year...................</w:t>
            </w:r>
          </w:p>
        </w:tc>
        <w:tc>
          <w:tcPr>
            <w:tcW w:w="7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 sold..............</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 option plan.......</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14.3</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w:t>
            </w:r>
          </w:p>
        </w:tc>
        <w:tc>
          <w:tcPr>
            <w:tcW w:w="0" w:type="dxa"/>
            <w:vAlign w:val="bottom"/>
          </w:tcPr>
          <w:p>
            <w:pPr>
              <w:spacing w:after="0"/>
              <w:rPr>
                <w:sz w:val="1"/>
                <w:szCs w:val="1"/>
                <w:color w:val="auto"/>
              </w:rPr>
            </w:pP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Tax effect of stock pur-</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20.6</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13.6</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10.6</w:t>
            </w:r>
          </w:p>
        </w:tc>
        <w:tc>
          <w:tcPr>
            <w:tcW w:w="0" w:type="dxa"/>
            <w:vAlign w:val="bottom"/>
          </w:tcPr>
          <w:p>
            <w:pPr>
              <w:spacing w:after="0"/>
              <w:rPr>
                <w:sz w:val="1"/>
                <w:szCs w:val="1"/>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chase plans............</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 split.............</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w:t>
            </w:r>
          </w:p>
        </w:tc>
        <w:tc>
          <w:tcPr>
            <w:tcW w:w="0" w:type="dxa"/>
            <w:vAlign w:val="bottom"/>
          </w:tcPr>
          <w:p>
            <w:pPr>
              <w:spacing w:after="0"/>
              <w:rPr>
                <w:sz w:val="1"/>
                <w:szCs w:val="1"/>
                <w:color w:val="auto"/>
              </w:rPr>
            </w:pPr>
          </w:p>
        </w:tc>
      </w:tr>
      <w:tr>
        <w:trPr>
          <w:trHeight w:val="168"/>
        </w:trPr>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end of year..</w:t>
            </w:r>
          </w:p>
        </w:tc>
        <w:tc>
          <w:tcPr>
            <w:tcW w:w="700" w:type="dxa"/>
            <w:vAlign w:val="bottom"/>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434.7</w:t>
            </w:r>
          </w:p>
        </w:tc>
        <w:tc>
          <w:tcPr>
            <w:tcW w:w="660" w:type="dxa"/>
            <w:vAlign w:val="bottom"/>
          </w:tcPr>
          <w:p>
            <w:pPr>
              <w:spacing w:after="0"/>
              <w:rPr>
                <w:sz w:val="14"/>
                <w:szCs w:val="14"/>
                <w:color w:val="auto"/>
              </w:rPr>
            </w:pP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82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20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391.5</w:t>
            </w:r>
          </w:p>
        </w:tc>
        <w:tc>
          <w:tcPr>
            <w:tcW w:w="8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368.3</w:t>
            </w:r>
          </w:p>
        </w:tc>
        <w:tc>
          <w:tcPr>
            <w:tcW w:w="0" w:type="dxa"/>
            <w:vAlign w:val="bottom"/>
          </w:tcPr>
          <w:p>
            <w:pPr>
              <w:spacing w:after="0"/>
              <w:rPr>
                <w:sz w:val="1"/>
                <w:szCs w:val="1"/>
                <w:color w:val="auto"/>
              </w:rPr>
            </w:pPr>
          </w:p>
        </w:tc>
      </w:tr>
      <w:tr>
        <w:trPr>
          <w:trHeight w:val="245"/>
        </w:trPr>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RETAINED EARNINGS</w:t>
            </w:r>
          </w:p>
        </w:tc>
        <w:tc>
          <w:tcPr>
            <w:tcW w:w="700" w:type="dxa"/>
            <w:vAlign w:val="bottom"/>
          </w:tcPr>
          <w:p>
            <w:pPr>
              <w:spacing w:after="0"/>
              <w:rPr>
                <w:sz w:val="21"/>
                <w:szCs w:val="21"/>
                <w:color w:val="auto"/>
              </w:rPr>
            </w:pPr>
          </w:p>
        </w:tc>
        <w:tc>
          <w:tcPr>
            <w:tcW w:w="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660" w:type="dxa"/>
            <w:vAlign w:val="bottom"/>
          </w:tcPr>
          <w:p>
            <w:pPr>
              <w:spacing w:after="0"/>
              <w:rPr>
                <w:sz w:val="21"/>
                <w:szCs w:val="21"/>
                <w:color w:val="auto"/>
              </w:rPr>
            </w:pP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20" w:type="dxa"/>
            <w:vAlign w:val="bottom"/>
          </w:tcPr>
          <w:p>
            <w:pPr>
              <w:spacing w:after="0"/>
              <w:rPr>
                <w:sz w:val="21"/>
                <w:szCs w:val="21"/>
                <w:color w:val="auto"/>
              </w:rPr>
            </w:pP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22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beginning of</w:t>
            </w:r>
          </w:p>
        </w:tc>
        <w:tc>
          <w:tcPr>
            <w:tcW w:w="700" w:type="dxa"/>
            <w:vAlign w:val="bottom"/>
          </w:tcPr>
          <w:p>
            <w:pPr>
              <w:spacing w:after="0"/>
              <w:rPr>
                <w:sz w:val="14"/>
                <w:szCs w:val="14"/>
                <w:color w:val="auto"/>
              </w:rPr>
            </w:pPr>
          </w:p>
        </w:tc>
        <w:tc>
          <w:tcPr>
            <w:tcW w:w="78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w w:val="94"/>
              </w:rPr>
              <w:t>$1,484.1</w:t>
            </w:r>
          </w:p>
        </w:tc>
        <w:tc>
          <w:tcPr>
            <w:tcW w:w="660" w:type="dxa"/>
            <w:vAlign w:val="bottom"/>
          </w:tcPr>
          <w:p>
            <w:pPr>
              <w:spacing w:after="0"/>
              <w:rPr>
                <w:sz w:val="14"/>
                <w:szCs w:val="14"/>
                <w:color w:val="auto"/>
              </w:rPr>
            </w:pPr>
          </w:p>
        </w:tc>
        <w:tc>
          <w:tcPr>
            <w:tcW w:w="14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670.8</w:t>
            </w:r>
          </w:p>
        </w:tc>
        <w:tc>
          <w:tcPr>
            <w:tcW w:w="82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282.5</w:t>
            </w:r>
          </w:p>
        </w:tc>
        <w:tc>
          <w:tcPr>
            <w:tcW w:w="0" w:type="dxa"/>
            <w:vAlign w:val="bottom"/>
          </w:tcPr>
          <w:p>
            <w:pPr>
              <w:spacing w:after="0"/>
              <w:rPr>
                <w:sz w:val="1"/>
                <w:szCs w:val="1"/>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year...................</w:t>
            </w:r>
          </w:p>
        </w:tc>
        <w:tc>
          <w:tcPr>
            <w:tcW w:w="7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593.5</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844.1</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400.5</w:t>
            </w:r>
          </w:p>
        </w:tc>
        <w:tc>
          <w:tcPr>
            <w:tcW w:w="0" w:type="dxa"/>
            <w:vAlign w:val="bottom"/>
          </w:tcPr>
          <w:p>
            <w:pPr>
              <w:spacing w:after="0"/>
              <w:rPr>
                <w:sz w:val="1"/>
                <w:szCs w:val="1"/>
                <w:color w:val="auto"/>
              </w:rPr>
            </w:pP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paid..........</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(31.2)</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(30.8)</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w:t>
            </w:r>
          </w:p>
        </w:tc>
        <w:tc>
          <w:tcPr>
            <w:tcW w:w="0" w:type="dxa"/>
            <w:vAlign w:val="bottom"/>
          </w:tcPr>
          <w:p>
            <w:pPr>
              <w:spacing w:after="0"/>
              <w:rPr>
                <w:sz w:val="1"/>
                <w:szCs w:val="1"/>
                <w:color w:val="auto"/>
              </w:rPr>
            </w:pPr>
          </w:p>
        </w:tc>
      </w:tr>
      <w:tr>
        <w:trPr>
          <w:trHeight w:val="168"/>
        </w:trPr>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end of year..</w:t>
            </w:r>
          </w:p>
        </w:tc>
        <w:tc>
          <w:tcPr>
            <w:tcW w:w="700" w:type="dxa"/>
            <w:vAlign w:val="bottom"/>
          </w:tcPr>
          <w:p>
            <w:pPr>
              <w:spacing w:after="0"/>
              <w:rPr>
                <w:sz w:val="14"/>
                <w:szCs w:val="14"/>
                <w:color w:val="auto"/>
              </w:rPr>
            </w:pPr>
          </w:p>
        </w:tc>
        <w:tc>
          <w:tcPr>
            <w:tcW w:w="1440" w:type="dxa"/>
            <w:vAlign w:val="bottom"/>
            <w:gridSpan w:val="3"/>
            <w:vMerge w:val="restart"/>
          </w:tcPr>
          <w:p>
            <w:pPr>
              <w:jc w:val="right"/>
              <w:ind w:right="667"/>
              <w:spacing w:after="0"/>
              <w:rPr>
                <w:sz w:val="20"/>
                <w:szCs w:val="20"/>
                <w:color w:val="auto"/>
              </w:rPr>
            </w:pPr>
            <w:r>
              <w:rPr>
                <w:rFonts w:ascii="Courier New" w:cs="Courier New" w:eastAsia="Courier New" w:hAnsi="Courier New"/>
                <w:sz w:val="10"/>
                <w:szCs w:val="10"/>
                <w:color w:val="auto"/>
                <w:w w:val="70"/>
              </w:rPr>
              <w:t>$</w:t>
            </w:r>
            <w:r>
              <w:rPr>
                <w:rFonts w:ascii="Courier New" w:cs="Courier New" w:eastAsia="Courier New" w:hAnsi="Courier New"/>
                <w:sz w:val="15"/>
                <w:szCs w:val="15"/>
                <w:color w:val="auto"/>
                <w:w w:val="70"/>
                <w:vertAlign w:val="superscript"/>
              </w:rPr>
              <w:t>--------</w:t>
            </w:r>
            <w:r>
              <w:rPr>
                <w:rFonts w:ascii="Courier New" w:cs="Courier New" w:eastAsia="Courier New" w:hAnsi="Courier New"/>
                <w:sz w:val="10"/>
                <w:szCs w:val="10"/>
                <w:color w:val="auto"/>
                <w:w w:val="70"/>
              </w:rPr>
              <w:t>2,046.4</w:t>
            </w: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82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20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$1,484.1</w:t>
            </w:r>
          </w:p>
        </w:tc>
        <w:tc>
          <w:tcPr>
            <w:tcW w:w="8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670.8</w:t>
            </w:r>
          </w:p>
        </w:tc>
        <w:tc>
          <w:tcPr>
            <w:tcW w:w="0" w:type="dxa"/>
            <w:vAlign w:val="bottom"/>
          </w:tcPr>
          <w:p>
            <w:pPr>
              <w:spacing w:after="0"/>
              <w:rPr>
                <w:sz w:val="1"/>
                <w:szCs w:val="1"/>
                <w:color w:val="auto"/>
              </w:rPr>
            </w:pPr>
          </w:p>
        </w:tc>
      </w:tr>
      <w:tr>
        <w:trPr>
          <w:trHeight w:val="245"/>
        </w:trPr>
        <w:tc>
          <w:tcPr>
            <w:tcW w:w="2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660" w:type="dxa"/>
            <w:vAlign w:val="bottom"/>
          </w:tcPr>
          <w:p>
            <w:pPr>
              <w:spacing w:after="0"/>
              <w:rPr>
                <w:sz w:val="21"/>
                <w:szCs w:val="21"/>
                <w:color w:val="auto"/>
              </w:rPr>
            </w:pP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20" w:type="dxa"/>
            <w:vAlign w:val="bottom"/>
          </w:tcPr>
          <w:p>
            <w:pPr>
              <w:spacing w:after="0"/>
              <w:rPr>
                <w:sz w:val="21"/>
                <w:szCs w:val="21"/>
                <w:color w:val="auto"/>
              </w:rPr>
            </w:pP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598" w:right="1440" w:bottom="1440" w:gutter="0" w:footer="0" w:header="0"/>
        </w:sectPr>
      </w:pPr>
    </w:p>
    <w:bookmarkStart w:id="31" w:name="page32"/>
    <w:bookmarkEnd w:id="31"/>
    <w:p>
      <w:pPr>
        <w:jc w:val="center"/>
        <w:ind w:right="3319"/>
        <w:spacing w:after="0"/>
        <w:rPr>
          <w:sz w:val="20"/>
          <w:szCs w:val="20"/>
          <w:color w:val="auto"/>
        </w:rPr>
      </w:pPr>
      <w:r>
        <w:rPr>
          <w:rFonts w:ascii="Courier New" w:cs="Courier New" w:eastAsia="Courier New" w:hAnsi="Courier New"/>
          <w:sz w:val="15"/>
          <w:szCs w:val="15"/>
          <w:color w:val="auto"/>
        </w:rPr>
        <w:t>MICRON TECHNOLOGY, INC.</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(DOLLARS IN MILLIONS)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FISCAL YEAR ENDED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80" w:type="dxa"/>
            <w:vAlign w:val="bottom"/>
          </w:tcPr>
          <w:p>
            <w:pPr>
              <w:spacing w:after="0"/>
              <w:rPr>
                <w:sz w:val="14"/>
                <w:szCs w:val="14"/>
                <w:color w:val="auto"/>
              </w:rPr>
            </w:pPr>
          </w:p>
        </w:tc>
        <w:tc>
          <w:tcPr>
            <w:tcW w:w="314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378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AUGUST 29,</w:t>
            </w:r>
          </w:p>
        </w:tc>
        <w:tc>
          <w:tcPr>
            <w:tcW w:w="21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AUGUST 31, SEPTEMBER 1,</w:t>
            </w:r>
          </w:p>
        </w:tc>
        <w:tc>
          <w:tcPr>
            <w:tcW w:w="0" w:type="dxa"/>
            <w:vAlign w:val="bottom"/>
          </w:tcPr>
          <w:p>
            <w:pPr>
              <w:spacing w:after="0"/>
              <w:rPr>
                <w:sz w:val="1"/>
                <w:szCs w:val="1"/>
                <w:color w:val="auto"/>
              </w:rPr>
            </w:pPr>
          </w:p>
        </w:tc>
      </w:tr>
      <w:tr>
        <w:trPr>
          <w:trHeight w:val="168"/>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4"/>
                <w:szCs w:val="14"/>
                <w:color w:val="auto"/>
              </w:rPr>
            </w:pPr>
          </w:p>
        </w:tc>
        <w:tc>
          <w:tcPr>
            <w:tcW w:w="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1994</w:t>
            </w:r>
          </w:p>
        </w:tc>
        <w:tc>
          <w:tcPr>
            <w:tcW w:w="0" w:type="dxa"/>
            <w:vAlign w:val="bottom"/>
          </w:tcPr>
          <w:p>
            <w:pPr>
              <w:spacing w:after="0"/>
              <w:rPr>
                <w:sz w:val="1"/>
                <w:szCs w:val="1"/>
                <w:color w:val="auto"/>
              </w:rPr>
            </w:pPr>
          </w:p>
        </w:tc>
      </w:tr>
      <w:tr>
        <w:trPr>
          <w:trHeight w:val="245"/>
        </w:trPr>
        <w:tc>
          <w:tcPr>
            <w:tcW w:w="378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21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59"/>
        </w:trPr>
        <w:tc>
          <w:tcPr>
            <w:tcW w:w="37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60" w:type="dxa"/>
            <w:vAlign w:val="bottom"/>
            <w:vMerge w:val="restart"/>
          </w:tcPr>
          <w:p>
            <w:pPr>
              <w:ind w:left="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593.5</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844.1</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400.5</w:t>
            </w:r>
          </w:p>
        </w:tc>
        <w:tc>
          <w:tcPr>
            <w:tcW w:w="0" w:type="dxa"/>
            <w:vAlign w:val="bottom"/>
          </w:tcPr>
          <w:p>
            <w:pPr>
              <w:spacing w:after="0"/>
              <w:rPr>
                <w:sz w:val="1"/>
                <w:szCs w:val="1"/>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1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Adjustments to reconcile net income to net</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 provided by operating activities:</w:t>
            </w:r>
          </w:p>
        </w:tc>
        <w:tc>
          <w:tcPr>
            <w:tcW w:w="16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363.7</w:t>
            </w:r>
          </w:p>
        </w:tc>
        <w:tc>
          <w:tcPr>
            <w:tcW w:w="260" w:type="dxa"/>
            <w:vAlign w:val="bottom"/>
          </w:tcPr>
          <w:p>
            <w:pPr>
              <w:spacing w:after="0"/>
              <w:rPr>
                <w:sz w:val="14"/>
                <w:szCs w:val="14"/>
                <w:color w:val="auto"/>
              </w:rPr>
            </w:pPr>
          </w:p>
        </w:tc>
        <w:tc>
          <w:tcPr>
            <w:tcW w:w="9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199.0</w:t>
            </w:r>
          </w:p>
        </w:tc>
        <w:tc>
          <w:tcPr>
            <w:tcW w:w="140" w:type="dxa"/>
            <w:vAlign w:val="bottom"/>
          </w:tcPr>
          <w:p>
            <w:pPr>
              <w:spacing w:after="0"/>
              <w:rPr>
                <w:sz w:val="14"/>
                <w:szCs w:val="14"/>
                <w:color w:val="auto"/>
              </w:rPr>
            </w:pPr>
          </w:p>
        </w:tc>
        <w:tc>
          <w:tcPr>
            <w:tcW w:w="7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138.8</w:t>
            </w:r>
          </w:p>
        </w:tc>
        <w:tc>
          <w:tcPr>
            <w:tcW w:w="0" w:type="dxa"/>
            <w:vAlign w:val="bottom"/>
          </w:tcPr>
          <w:p>
            <w:pPr>
              <w:spacing w:after="0"/>
              <w:rPr>
                <w:sz w:val="1"/>
                <w:szCs w:val="1"/>
                <w:color w:val="auto"/>
              </w:rPr>
            </w:pP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Depreciation............................</w:t>
            </w: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Decrease (increase) in receivables......</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107.5</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(197.9)</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(81.0)</w:t>
            </w:r>
          </w:p>
        </w:tc>
        <w:tc>
          <w:tcPr>
            <w:tcW w:w="0" w:type="dxa"/>
            <w:vAlign w:val="bottom"/>
          </w:tcPr>
          <w:p>
            <w:pPr>
              <w:spacing w:after="0"/>
              <w:rPr>
                <w:sz w:val="1"/>
                <w:szCs w:val="1"/>
                <w:color w:val="auto"/>
              </w:rPr>
            </w:pP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Increase in inventories.................</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(61.1)</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(76.0)</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(17.9)</w:t>
            </w:r>
          </w:p>
        </w:tc>
        <w:tc>
          <w:tcPr>
            <w:tcW w:w="0" w:type="dxa"/>
            <w:vAlign w:val="bottom"/>
          </w:tcPr>
          <w:p>
            <w:pPr>
              <w:spacing w:after="0"/>
              <w:rPr>
                <w:sz w:val="1"/>
                <w:szCs w:val="1"/>
                <w:color w:val="auto"/>
              </w:rPr>
            </w:pP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Increase (decrease) in accounts payable</w:t>
            </w:r>
          </w:p>
        </w:tc>
        <w:tc>
          <w:tcPr>
            <w:tcW w:w="160" w:type="dxa"/>
            <w:vAlign w:val="bottom"/>
          </w:tcPr>
          <w:p>
            <w:pPr>
              <w:spacing w:after="0"/>
              <w:rPr>
                <w:sz w:val="14"/>
                <w:szCs w:val="14"/>
                <w:color w:val="auto"/>
              </w:rPr>
            </w:pP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(80.6)</w:t>
            </w:r>
          </w:p>
        </w:tc>
        <w:tc>
          <w:tcPr>
            <w:tcW w:w="260" w:type="dxa"/>
            <w:vAlign w:val="bottom"/>
          </w:tcPr>
          <w:p>
            <w:pPr>
              <w:spacing w:after="0"/>
              <w:rPr>
                <w:sz w:val="14"/>
                <w:szCs w:val="14"/>
                <w:color w:val="auto"/>
              </w:rPr>
            </w:pPr>
          </w:p>
        </w:tc>
        <w:tc>
          <w:tcPr>
            <w:tcW w:w="9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249.4</w:t>
            </w:r>
          </w:p>
        </w:tc>
        <w:tc>
          <w:tcPr>
            <w:tcW w:w="140" w:type="dxa"/>
            <w:vAlign w:val="bottom"/>
          </w:tcPr>
          <w:p>
            <w:pPr>
              <w:spacing w:after="0"/>
              <w:rPr>
                <w:sz w:val="14"/>
                <w:szCs w:val="14"/>
                <w:color w:val="auto"/>
              </w:rPr>
            </w:pPr>
          </w:p>
        </w:tc>
        <w:tc>
          <w:tcPr>
            <w:tcW w:w="7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45.2</w:t>
            </w:r>
          </w:p>
        </w:tc>
        <w:tc>
          <w:tcPr>
            <w:tcW w:w="0" w:type="dxa"/>
            <w:vAlign w:val="bottom"/>
          </w:tcPr>
          <w:p>
            <w:pPr>
              <w:spacing w:after="0"/>
              <w:rPr>
                <w:sz w:val="1"/>
                <w:szCs w:val="1"/>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and accrued expenses...................</w:t>
            </w: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Increase in non-current product and</w:t>
            </w:r>
          </w:p>
        </w:tc>
        <w:tc>
          <w:tcPr>
            <w:tcW w:w="16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40.0</w:t>
            </w:r>
          </w:p>
        </w:tc>
        <w:tc>
          <w:tcPr>
            <w:tcW w:w="260" w:type="dxa"/>
            <w:vAlign w:val="bottom"/>
          </w:tcPr>
          <w:p>
            <w:pPr>
              <w:spacing w:after="0"/>
              <w:rPr>
                <w:sz w:val="14"/>
                <w:szCs w:val="14"/>
                <w:color w:val="auto"/>
              </w:rPr>
            </w:pPr>
          </w:p>
        </w:tc>
        <w:tc>
          <w:tcPr>
            <w:tcW w:w="9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2.1</w:t>
            </w:r>
          </w:p>
        </w:tc>
        <w:tc>
          <w:tcPr>
            <w:tcW w:w="140" w:type="dxa"/>
            <w:vAlign w:val="bottom"/>
          </w:tcPr>
          <w:p>
            <w:pPr>
              <w:spacing w:after="0"/>
              <w:rPr>
                <w:sz w:val="14"/>
                <w:szCs w:val="14"/>
                <w:color w:val="auto"/>
              </w:rPr>
            </w:pPr>
          </w:p>
        </w:tc>
        <w:tc>
          <w:tcPr>
            <w:tcW w:w="7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0.5</w:t>
            </w:r>
          </w:p>
        </w:tc>
        <w:tc>
          <w:tcPr>
            <w:tcW w:w="0" w:type="dxa"/>
            <w:vAlign w:val="bottom"/>
          </w:tcPr>
          <w:p>
            <w:pPr>
              <w:spacing w:after="0"/>
              <w:rPr>
                <w:sz w:val="1"/>
                <w:szCs w:val="1"/>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process liability......................</w:t>
            </w: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Restructuring charge....................</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29.6</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Gain from equipment sales...............</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(20.7)</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w:t>
            </w:r>
          </w:p>
        </w:tc>
        <w:tc>
          <w:tcPr>
            <w:tcW w:w="0" w:type="dxa"/>
            <w:vAlign w:val="bottom"/>
          </w:tcPr>
          <w:p>
            <w:pPr>
              <w:spacing w:after="0"/>
              <w:rPr>
                <w:sz w:val="1"/>
                <w:szCs w:val="1"/>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Increase in deferred income taxes.......</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48.1</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24.8</w:t>
            </w:r>
          </w:p>
        </w:tc>
        <w:tc>
          <w:tcPr>
            <w:tcW w:w="14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Gain from merger transaction............</w:t>
            </w:r>
          </w:p>
        </w:tc>
        <w:tc>
          <w:tcPr>
            <w:tcW w:w="1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(29.0)</w:t>
            </w:r>
          </w:p>
        </w:tc>
        <w:tc>
          <w:tcPr>
            <w:tcW w:w="14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40.5</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29.7</w:t>
            </w:r>
          </w:p>
        </w:tc>
        <w:tc>
          <w:tcPr>
            <w:tcW w:w="14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72.0</w:t>
            </w:r>
          </w:p>
        </w:tc>
        <w:tc>
          <w:tcPr>
            <w:tcW w:w="0" w:type="dxa"/>
            <w:vAlign w:val="bottom"/>
          </w:tcPr>
          <w:p>
            <w:pPr>
              <w:spacing w:after="0"/>
              <w:rPr>
                <w:sz w:val="1"/>
                <w:szCs w:val="1"/>
                <w:color w:val="auto"/>
              </w:rPr>
            </w:pPr>
          </w:p>
        </w:tc>
      </w:tr>
      <w:tr>
        <w:trPr>
          <w:trHeight w:val="245"/>
        </w:trPr>
        <w:tc>
          <w:tcPr>
            <w:tcW w:w="378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provided by operating activi-</w:t>
            </w:r>
          </w:p>
        </w:tc>
        <w:tc>
          <w:tcPr>
            <w:tcW w:w="1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91"/>
        </w:trPr>
        <w:tc>
          <w:tcPr>
            <w:tcW w:w="37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1,060.5</w:t>
            </w:r>
          </w:p>
        </w:tc>
        <w:tc>
          <w:tcPr>
            <w:tcW w:w="260" w:type="dxa"/>
            <w:vAlign w:val="bottom"/>
          </w:tcPr>
          <w:p>
            <w:pPr>
              <w:spacing w:after="0"/>
              <w:rPr>
                <w:sz w:val="7"/>
                <w:szCs w:val="7"/>
                <w:color w:val="auto"/>
              </w:rPr>
            </w:pPr>
          </w:p>
        </w:tc>
        <w:tc>
          <w:tcPr>
            <w:tcW w:w="9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w w:val="95"/>
              </w:rPr>
              <w:t>1,038.8</w:t>
            </w:r>
          </w:p>
        </w:tc>
        <w:tc>
          <w:tcPr>
            <w:tcW w:w="140" w:type="dxa"/>
            <w:vAlign w:val="bottom"/>
          </w:tcPr>
          <w:p>
            <w:pPr>
              <w:spacing w:after="0"/>
              <w:rPr>
                <w:sz w:val="7"/>
                <w:szCs w:val="7"/>
                <w:color w:val="auto"/>
              </w:rPr>
            </w:pPr>
          </w:p>
        </w:tc>
        <w:tc>
          <w:tcPr>
            <w:tcW w:w="7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557.5</w:t>
            </w:r>
          </w:p>
        </w:tc>
        <w:tc>
          <w:tcPr>
            <w:tcW w:w="0" w:type="dxa"/>
            <w:vAlign w:val="bottom"/>
          </w:tcPr>
          <w:p>
            <w:pPr>
              <w:spacing w:after="0"/>
              <w:rPr>
                <w:sz w:val="1"/>
                <w:szCs w:val="1"/>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ties.....................................</w:t>
            </w: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78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91"/>
        </w:trPr>
        <w:tc>
          <w:tcPr>
            <w:tcW w:w="37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Expenditures for property, plant and</w:t>
            </w:r>
          </w:p>
        </w:tc>
        <w:tc>
          <w:tcPr>
            <w:tcW w:w="160" w:type="dxa"/>
            <w:vAlign w:val="bottom"/>
          </w:tcPr>
          <w:p>
            <w:pPr>
              <w:spacing w:after="0"/>
              <w:rPr>
                <w:sz w:val="14"/>
                <w:szCs w:val="14"/>
                <w:color w:val="auto"/>
              </w:rPr>
            </w:pP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6"/>
              </w:rPr>
              <w:t>(1,425.9)</w:t>
            </w:r>
          </w:p>
        </w:tc>
        <w:tc>
          <w:tcPr>
            <w:tcW w:w="260" w:type="dxa"/>
            <w:vAlign w:val="bottom"/>
          </w:tcPr>
          <w:p>
            <w:pPr>
              <w:spacing w:after="0"/>
              <w:rPr>
                <w:sz w:val="14"/>
                <w:szCs w:val="14"/>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(730.0)</w:t>
            </w:r>
          </w:p>
        </w:tc>
        <w:tc>
          <w:tcPr>
            <w:tcW w:w="140" w:type="dxa"/>
            <w:vAlign w:val="bottom"/>
          </w:tcPr>
          <w:p>
            <w:pPr>
              <w:spacing w:after="0"/>
              <w:rPr>
                <w:sz w:val="14"/>
                <w:szCs w:val="14"/>
                <w:color w:val="auto"/>
              </w:rPr>
            </w:pP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(251.0)</w:t>
            </w:r>
          </w:p>
        </w:tc>
        <w:tc>
          <w:tcPr>
            <w:tcW w:w="0" w:type="dxa"/>
            <w:vAlign w:val="bottom"/>
          </w:tcPr>
          <w:p>
            <w:pPr>
              <w:spacing w:after="0"/>
              <w:rPr>
                <w:sz w:val="1"/>
                <w:szCs w:val="1"/>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equipment................................</w:t>
            </w: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available-for-sale and held-</w:t>
            </w:r>
          </w:p>
        </w:tc>
        <w:tc>
          <w:tcPr>
            <w:tcW w:w="160" w:type="dxa"/>
            <w:vAlign w:val="bottom"/>
          </w:tcPr>
          <w:p>
            <w:pPr>
              <w:spacing w:after="0"/>
              <w:rPr>
                <w:sz w:val="14"/>
                <w:szCs w:val="14"/>
                <w:color w:val="auto"/>
              </w:rPr>
            </w:pP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(194.6)</w:t>
            </w:r>
          </w:p>
        </w:tc>
        <w:tc>
          <w:tcPr>
            <w:tcW w:w="260" w:type="dxa"/>
            <w:vAlign w:val="bottom"/>
          </w:tcPr>
          <w:p>
            <w:pPr>
              <w:spacing w:after="0"/>
              <w:rPr>
                <w:sz w:val="14"/>
                <w:szCs w:val="14"/>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(719.6)</w:t>
            </w:r>
          </w:p>
        </w:tc>
        <w:tc>
          <w:tcPr>
            <w:tcW w:w="140" w:type="dxa"/>
            <w:vAlign w:val="bottom"/>
          </w:tcPr>
          <w:p>
            <w:pPr>
              <w:spacing w:after="0"/>
              <w:rPr>
                <w:sz w:val="14"/>
                <w:szCs w:val="14"/>
                <w:color w:val="auto"/>
              </w:rPr>
            </w:pP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(403.6)</w:t>
            </w:r>
          </w:p>
        </w:tc>
        <w:tc>
          <w:tcPr>
            <w:tcW w:w="0" w:type="dxa"/>
            <w:vAlign w:val="bottom"/>
          </w:tcPr>
          <w:p>
            <w:pPr>
              <w:spacing w:after="0"/>
              <w:rPr>
                <w:sz w:val="1"/>
                <w:szCs w:val="1"/>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to-maturity securities...................</w:t>
            </w: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sales and maturities of se-</w:t>
            </w:r>
          </w:p>
        </w:tc>
        <w:tc>
          <w:tcPr>
            <w:tcW w:w="16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613.8</w:t>
            </w:r>
          </w:p>
        </w:tc>
        <w:tc>
          <w:tcPr>
            <w:tcW w:w="260" w:type="dxa"/>
            <w:vAlign w:val="bottom"/>
          </w:tcPr>
          <w:p>
            <w:pPr>
              <w:spacing w:after="0"/>
              <w:rPr>
                <w:sz w:val="14"/>
                <w:szCs w:val="14"/>
                <w:color w:val="auto"/>
              </w:rPr>
            </w:pPr>
          </w:p>
        </w:tc>
        <w:tc>
          <w:tcPr>
            <w:tcW w:w="9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651.8</w:t>
            </w:r>
          </w:p>
        </w:tc>
        <w:tc>
          <w:tcPr>
            <w:tcW w:w="140" w:type="dxa"/>
            <w:vAlign w:val="bottom"/>
          </w:tcPr>
          <w:p>
            <w:pPr>
              <w:spacing w:after="0"/>
              <w:rPr>
                <w:sz w:val="14"/>
                <w:szCs w:val="14"/>
                <w:color w:val="auto"/>
              </w:rPr>
            </w:pPr>
          </w:p>
        </w:tc>
        <w:tc>
          <w:tcPr>
            <w:tcW w:w="7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185.3</w:t>
            </w:r>
          </w:p>
        </w:tc>
        <w:tc>
          <w:tcPr>
            <w:tcW w:w="0" w:type="dxa"/>
            <w:vAlign w:val="bottom"/>
          </w:tcPr>
          <w:p>
            <w:pPr>
              <w:spacing w:after="0"/>
              <w:rPr>
                <w:sz w:val="1"/>
                <w:szCs w:val="1"/>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curities.................................</w:t>
            </w: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Proceeds from sale of equipment...........</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33.8</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13.7</w:t>
            </w:r>
          </w:p>
        </w:tc>
        <w:tc>
          <w:tcPr>
            <w:tcW w:w="14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w:t>
            </w:r>
          </w:p>
        </w:tc>
        <w:tc>
          <w:tcPr>
            <w:tcW w:w="0" w:type="dxa"/>
            <w:vAlign w:val="bottom"/>
          </w:tcPr>
          <w:p>
            <w:pPr>
              <w:spacing w:after="0"/>
              <w:rPr>
                <w:sz w:val="1"/>
                <w:szCs w:val="1"/>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Other.....................................</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13.5</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w:t>
            </w:r>
          </w:p>
        </w:tc>
        <w:tc>
          <w:tcPr>
            <w:tcW w:w="0" w:type="dxa"/>
            <w:vAlign w:val="bottom"/>
          </w:tcPr>
          <w:p>
            <w:pPr>
              <w:spacing w:after="0"/>
              <w:rPr>
                <w:sz w:val="1"/>
                <w:szCs w:val="1"/>
                <w:color w:val="auto"/>
              </w:rPr>
            </w:pPr>
          </w:p>
        </w:tc>
      </w:tr>
      <w:tr>
        <w:trPr>
          <w:trHeight w:val="168"/>
        </w:trPr>
        <w:tc>
          <w:tcPr>
            <w:tcW w:w="37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6"/>
              </w:rPr>
              <w:t>Net cash used for investing activities....</w:t>
            </w:r>
          </w:p>
        </w:tc>
        <w:tc>
          <w:tcPr>
            <w:tcW w:w="160" w:type="dxa"/>
            <w:vAlign w:val="bottom"/>
          </w:tcPr>
          <w:p>
            <w:pPr>
              <w:ind w:left="80"/>
              <w:spacing w:after="0"/>
              <w:rPr>
                <w:sz w:val="20"/>
                <w:szCs w:val="20"/>
                <w:color w:val="auto"/>
              </w:rPr>
            </w:pPr>
            <w:r>
              <w:rPr>
                <w:rFonts w:ascii="Courier New" w:cs="Courier New" w:eastAsia="Courier New" w:hAnsi="Courier New"/>
                <w:sz w:val="1"/>
                <w:szCs w:val="1"/>
                <w:color w:val="auto"/>
              </w:rPr>
              <w:t>---------</w:t>
            </w: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(980.4)</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68"/>
        </w:trPr>
        <w:tc>
          <w:tcPr>
            <w:tcW w:w="3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(770.6)</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(479.8)</w:t>
            </w:r>
          </w:p>
        </w:tc>
        <w:tc>
          <w:tcPr>
            <w:tcW w:w="0" w:type="dxa"/>
            <w:vAlign w:val="bottom"/>
          </w:tcPr>
          <w:p>
            <w:pPr>
              <w:spacing w:after="0"/>
              <w:rPr>
                <w:sz w:val="1"/>
                <w:szCs w:val="1"/>
                <w:color w:val="auto"/>
              </w:rPr>
            </w:pPr>
          </w:p>
        </w:tc>
      </w:tr>
      <w:tr>
        <w:trPr>
          <w:trHeight w:val="245"/>
        </w:trPr>
        <w:tc>
          <w:tcPr>
            <w:tcW w:w="378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91"/>
        </w:trPr>
        <w:tc>
          <w:tcPr>
            <w:tcW w:w="37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264.7</w:t>
            </w:r>
          </w:p>
        </w:tc>
        <w:tc>
          <w:tcPr>
            <w:tcW w:w="260" w:type="dxa"/>
            <w:vAlign w:val="bottom"/>
          </w:tcPr>
          <w:p>
            <w:pPr>
              <w:spacing w:after="0"/>
              <w:rPr>
                <w:sz w:val="7"/>
                <w:szCs w:val="7"/>
                <w:color w:val="auto"/>
              </w:rPr>
            </w:pPr>
          </w:p>
        </w:tc>
        <w:tc>
          <w:tcPr>
            <w:tcW w:w="9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62.4</w:t>
            </w:r>
          </w:p>
        </w:tc>
        <w:tc>
          <w:tcPr>
            <w:tcW w:w="140" w:type="dxa"/>
            <w:vAlign w:val="bottom"/>
          </w:tcPr>
          <w:p>
            <w:pPr>
              <w:spacing w:after="0"/>
              <w:rPr>
                <w:sz w:val="7"/>
                <w:szCs w:val="7"/>
                <w:color w:val="auto"/>
              </w:rPr>
            </w:pPr>
          </w:p>
        </w:tc>
        <w:tc>
          <w:tcPr>
            <w:tcW w:w="7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119.2</w:t>
            </w:r>
          </w:p>
        </w:tc>
        <w:tc>
          <w:tcPr>
            <w:tcW w:w="0" w:type="dxa"/>
            <w:vAlign w:val="bottom"/>
          </w:tcPr>
          <w:p>
            <w:pPr>
              <w:spacing w:after="0"/>
              <w:rPr>
                <w:sz w:val="1"/>
                <w:szCs w:val="1"/>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Proceeds from issuance of long-term debt..</w:t>
            </w: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proceeds from borrowings on lines of</w:t>
            </w:r>
          </w:p>
        </w:tc>
        <w:tc>
          <w:tcPr>
            <w:tcW w:w="16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90.0</w:t>
            </w:r>
          </w:p>
        </w:tc>
        <w:tc>
          <w:tcPr>
            <w:tcW w:w="260" w:type="dxa"/>
            <w:vAlign w:val="bottom"/>
          </w:tcPr>
          <w:p>
            <w:pPr>
              <w:spacing w:after="0"/>
              <w:rPr>
                <w:sz w:val="14"/>
                <w:szCs w:val="14"/>
                <w:color w:val="auto"/>
              </w:rPr>
            </w:pPr>
          </w:p>
        </w:tc>
        <w:tc>
          <w:tcPr>
            <w:tcW w:w="9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credit...................................</w:t>
            </w: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Payments on equipment purchase contracts..</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(226.1)</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(202.5)</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(119.3)</w:t>
            </w:r>
          </w:p>
        </w:tc>
        <w:tc>
          <w:tcPr>
            <w:tcW w:w="0" w:type="dxa"/>
            <w:vAlign w:val="bottom"/>
          </w:tcPr>
          <w:p>
            <w:pPr>
              <w:spacing w:after="0"/>
              <w:rPr>
                <w:sz w:val="1"/>
                <w:szCs w:val="1"/>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Repayments of long-term debt..............</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(54.9)</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(63.4)</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(46.2)</w:t>
            </w:r>
          </w:p>
        </w:tc>
        <w:tc>
          <w:tcPr>
            <w:tcW w:w="0" w:type="dxa"/>
            <w:vAlign w:val="bottom"/>
          </w:tcPr>
          <w:p>
            <w:pPr>
              <w:spacing w:after="0"/>
              <w:rPr>
                <w:sz w:val="1"/>
                <w:szCs w:val="1"/>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Proceeds from issuance of common stock....</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25.1</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18.4</w:t>
            </w:r>
          </w:p>
        </w:tc>
        <w:tc>
          <w:tcPr>
            <w:tcW w:w="14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12.1</w:t>
            </w:r>
          </w:p>
        </w:tc>
        <w:tc>
          <w:tcPr>
            <w:tcW w:w="0" w:type="dxa"/>
            <w:vAlign w:val="bottom"/>
          </w:tcPr>
          <w:p>
            <w:pPr>
              <w:spacing w:after="0"/>
              <w:rPr>
                <w:sz w:val="1"/>
                <w:szCs w:val="1"/>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Payment of dividends......................</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(31.2)</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(30.8)</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w:t>
            </w:r>
          </w:p>
        </w:tc>
        <w:tc>
          <w:tcPr>
            <w:tcW w:w="0" w:type="dxa"/>
            <w:vAlign w:val="bottom"/>
          </w:tcPr>
          <w:p>
            <w:pPr>
              <w:spacing w:after="0"/>
              <w:rPr>
                <w:sz w:val="1"/>
                <w:szCs w:val="1"/>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Other.....................................</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w:t>
            </w:r>
          </w:p>
        </w:tc>
        <w:tc>
          <w:tcPr>
            <w:tcW w:w="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w:t>
            </w:r>
          </w:p>
        </w:tc>
        <w:tc>
          <w:tcPr>
            <w:tcW w:w="0" w:type="dxa"/>
            <w:vAlign w:val="bottom"/>
          </w:tcPr>
          <w:p>
            <w:pPr>
              <w:spacing w:after="0"/>
              <w:rPr>
                <w:sz w:val="1"/>
                <w:szCs w:val="1"/>
                <w:color w:val="auto"/>
              </w:rPr>
            </w:pPr>
          </w:p>
        </w:tc>
      </w:tr>
      <w:tr>
        <w:trPr>
          <w:trHeight w:val="245"/>
        </w:trPr>
        <w:tc>
          <w:tcPr>
            <w:tcW w:w="378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provided by (used for) financing</w:t>
            </w:r>
          </w:p>
        </w:tc>
        <w:tc>
          <w:tcPr>
            <w:tcW w:w="1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91"/>
        </w:trPr>
        <w:tc>
          <w:tcPr>
            <w:tcW w:w="37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67.9</w:t>
            </w:r>
          </w:p>
        </w:tc>
        <w:tc>
          <w:tcPr>
            <w:tcW w:w="260" w:type="dxa"/>
            <w:vAlign w:val="bottom"/>
          </w:tcPr>
          <w:p>
            <w:pPr>
              <w:spacing w:after="0"/>
              <w:rPr>
                <w:sz w:val="7"/>
                <w:szCs w:val="7"/>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(218.5)</w:t>
            </w:r>
          </w:p>
        </w:tc>
        <w:tc>
          <w:tcPr>
            <w:tcW w:w="140" w:type="dxa"/>
            <w:vAlign w:val="bottom"/>
          </w:tcPr>
          <w:p>
            <w:pPr>
              <w:spacing w:after="0"/>
              <w:rPr>
                <w:sz w:val="7"/>
                <w:szCs w:val="7"/>
                <w:color w:val="auto"/>
              </w:rPr>
            </w:pP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(46.8)</w:t>
            </w:r>
          </w:p>
        </w:tc>
        <w:tc>
          <w:tcPr>
            <w:tcW w:w="0" w:type="dxa"/>
            <w:vAlign w:val="bottom"/>
          </w:tcPr>
          <w:p>
            <w:pPr>
              <w:spacing w:after="0"/>
              <w:rPr>
                <w:sz w:val="1"/>
                <w:szCs w:val="1"/>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activities...............................</w:t>
            </w: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6"/>
              </w:rPr>
              <w:t>Net increase in cash and equivalents......</w:t>
            </w:r>
          </w:p>
        </w:tc>
        <w:tc>
          <w:tcPr>
            <w:tcW w:w="160" w:type="dxa"/>
            <w:vAlign w:val="bottom"/>
          </w:tcPr>
          <w:p>
            <w:pPr>
              <w:ind w:left="80"/>
              <w:spacing w:after="0"/>
              <w:rPr>
                <w:sz w:val="20"/>
                <w:szCs w:val="20"/>
                <w:color w:val="auto"/>
              </w:rPr>
            </w:pPr>
            <w:r>
              <w:rPr>
                <w:rFonts w:ascii="Courier New" w:cs="Courier New" w:eastAsia="Courier New" w:hAnsi="Courier New"/>
                <w:sz w:val="1"/>
                <w:szCs w:val="1"/>
                <w:color w:val="auto"/>
              </w:rPr>
              <w:t>---------</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148.0</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68"/>
        </w:trPr>
        <w:tc>
          <w:tcPr>
            <w:tcW w:w="3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49.7</w:t>
            </w:r>
          </w:p>
        </w:tc>
        <w:tc>
          <w:tcPr>
            <w:tcW w:w="14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30.9</w:t>
            </w:r>
          </w:p>
        </w:tc>
        <w:tc>
          <w:tcPr>
            <w:tcW w:w="0" w:type="dxa"/>
            <w:vAlign w:val="bottom"/>
          </w:tcPr>
          <w:p>
            <w:pPr>
              <w:spacing w:after="0"/>
              <w:rPr>
                <w:sz w:val="1"/>
                <w:szCs w:val="1"/>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equivalents at beginning of</w:t>
            </w:r>
          </w:p>
        </w:tc>
        <w:tc>
          <w:tcPr>
            <w:tcW w:w="16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128.1</w:t>
            </w:r>
          </w:p>
        </w:tc>
        <w:tc>
          <w:tcPr>
            <w:tcW w:w="260" w:type="dxa"/>
            <w:vAlign w:val="bottom"/>
          </w:tcPr>
          <w:p>
            <w:pPr>
              <w:spacing w:after="0"/>
              <w:rPr>
                <w:sz w:val="14"/>
                <w:szCs w:val="14"/>
                <w:color w:val="auto"/>
              </w:rPr>
            </w:pPr>
          </w:p>
        </w:tc>
        <w:tc>
          <w:tcPr>
            <w:tcW w:w="9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78.4</w:t>
            </w:r>
          </w:p>
        </w:tc>
        <w:tc>
          <w:tcPr>
            <w:tcW w:w="140" w:type="dxa"/>
            <w:vAlign w:val="bottom"/>
          </w:tcPr>
          <w:p>
            <w:pPr>
              <w:spacing w:after="0"/>
              <w:rPr>
                <w:sz w:val="14"/>
                <w:szCs w:val="14"/>
                <w:color w:val="auto"/>
              </w:rPr>
            </w:pPr>
          </w:p>
        </w:tc>
        <w:tc>
          <w:tcPr>
            <w:tcW w:w="7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47.5</w:t>
            </w:r>
          </w:p>
        </w:tc>
        <w:tc>
          <w:tcPr>
            <w:tcW w:w="0" w:type="dxa"/>
            <w:vAlign w:val="bottom"/>
          </w:tcPr>
          <w:p>
            <w:pPr>
              <w:spacing w:after="0"/>
              <w:rPr>
                <w:sz w:val="1"/>
                <w:szCs w:val="1"/>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year.....................................</w:t>
            </w: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6"/>
              </w:rPr>
              <w:t>Cash and equivalents at end of year.......</w:t>
            </w:r>
          </w:p>
        </w:tc>
        <w:tc>
          <w:tcPr>
            <w:tcW w:w="160" w:type="dxa"/>
            <w:vAlign w:val="bottom"/>
            <w:vMerge w:val="restart"/>
          </w:tcPr>
          <w:p>
            <w:pPr>
              <w:ind w:left="80"/>
              <w:spacing w:after="0"/>
              <w:rPr>
                <w:sz w:val="20"/>
                <w:szCs w:val="20"/>
                <w:color w:val="auto"/>
              </w:rPr>
            </w:pPr>
            <w:r>
              <w:rPr>
                <w:rFonts w:ascii="Courier New" w:cs="Courier New" w:eastAsia="Courier New" w:hAnsi="Courier New"/>
                <w:sz w:val="2"/>
                <w:szCs w:val="2"/>
                <w:color w:val="auto"/>
                <w:w w:val="95"/>
                <w:vertAlign w:val="subscript"/>
              </w:rPr>
              <w:t>$</w:t>
            </w:r>
            <w:r>
              <w:rPr>
                <w:rFonts w:ascii="Courier New" w:cs="Courier New" w:eastAsia="Courier New" w:hAnsi="Courier New"/>
                <w:sz w:val="1"/>
                <w:szCs w:val="1"/>
                <w:color w:val="auto"/>
                <w:w w:val="95"/>
              </w:rPr>
              <w:t>---------</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276.1</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68"/>
        </w:trPr>
        <w:tc>
          <w:tcPr>
            <w:tcW w:w="37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128.1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78.4</w:t>
            </w:r>
          </w:p>
        </w:tc>
        <w:tc>
          <w:tcPr>
            <w:tcW w:w="0" w:type="dxa"/>
            <w:vAlign w:val="bottom"/>
          </w:tcPr>
          <w:p>
            <w:pPr>
              <w:spacing w:after="0"/>
              <w:rPr>
                <w:sz w:val="1"/>
                <w:szCs w:val="1"/>
                <w:color w:val="auto"/>
              </w:rPr>
            </w:pPr>
          </w:p>
        </w:tc>
      </w:tr>
      <w:tr>
        <w:trPr>
          <w:trHeight w:val="245"/>
        </w:trPr>
        <w:tc>
          <w:tcPr>
            <w:tcW w:w="3780" w:type="dxa"/>
            <w:vAlign w:val="bottom"/>
            <w:vMerge w:val="restart"/>
          </w:tcPr>
          <w:p>
            <w:pPr>
              <w:spacing w:after="0"/>
              <w:rPr>
                <w:sz w:val="20"/>
                <w:szCs w:val="20"/>
                <w:color w:val="auto"/>
              </w:rPr>
            </w:pPr>
            <w:r>
              <w:rPr>
                <w:rFonts w:ascii="Courier New" w:cs="Courier New" w:eastAsia="Courier New" w:hAnsi="Courier New"/>
                <w:sz w:val="15"/>
                <w:szCs w:val="15"/>
                <w:color w:val="auto"/>
              </w:rPr>
              <w:t>Supplemental disclosures</w:t>
            </w:r>
          </w:p>
        </w:tc>
        <w:tc>
          <w:tcPr>
            <w:tcW w:w="1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91"/>
        </w:trPr>
        <w:tc>
          <w:tcPr>
            <w:tcW w:w="3780" w:type="dxa"/>
            <w:vAlign w:val="bottom"/>
            <w:vMerge w:val="continue"/>
          </w:tcPr>
          <w:p>
            <w:pPr>
              <w:spacing w:after="0"/>
              <w:rPr>
                <w:sz w:val="7"/>
                <w:szCs w:val="7"/>
                <w:color w:val="auto"/>
              </w:rPr>
            </w:pPr>
          </w:p>
        </w:tc>
        <w:tc>
          <w:tcPr>
            <w:tcW w:w="160" w:type="dxa"/>
            <w:vAlign w:val="bottom"/>
            <w:vMerge w:val="restart"/>
          </w:tcPr>
          <w:p>
            <w:pPr>
              <w:ind w:left="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(403.4)</w:t>
            </w:r>
          </w:p>
        </w:tc>
        <w:tc>
          <w:tcPr>
            <w:tcW w:w="122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 (438.6)</w:t>
            </w:r>
          </w:p>
        </w:tc>
        <w:tc>
          <w:tcPr>
            <w:tcW w:w="88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w w:val="96"/>
              </w:rPr>
              <w:t>$ (197.4)</w:t>
            </w:r>
          </w:p>
        </w:tc>
        <w:tc>
          <w:tcPr>
            <w:tcW w:w="0" w:type="dxa"/>
            <w:vAlign w:val="bottom"/>
          </w:tcPr>
          <w:p>
            <w:pPr>
              <w:spacing w:after="0"/>
              <w:rPr>
                <w:sz w:val="1"/>
                <w:szCs w:val="1"/>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Income taxes paid, net....................</w:t>
            </w:r>
          </w:p>
        </w:tc>
        <w:tc>
          <w:tcPr>
            <w:tcW w:w="1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paid, net of amounts capital-</w:t>
            </w:r>
          </w:p>
        </w:tc>
        <w:tc>
          <w:tcPr>
            <w:tcW w:w="160" w:type="dxa"/>
            <w:vAlign w:val="bottom"/>
          </w:tcPr>
          <w:p>
            <w:pPr>
              <w:spacing w:after="0"/>
              <w:rPr>
                <w:sz w:val="14"/>
                <w:szCs w:val="14"/>
                <w:color w:val="auto"/>
              </w:rPr>
            </w:pP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(12.3)</w:t>
            </w:r>
          </w:p>
        </w:tc>
        <w:tc>
          <w:tcPr>
            <w:tcW w:w="260" w:type="dxa"/>
            <w:vAlign w:val="bottom"/>
          </w:tcPr>
          <w:p>
            <w:pPr>
              <w:spacing w:after="0"/>
              <w:rPr>
                <w:sz w:val="14"/>
                <w:szCs w:val="14"/>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(9.5)</w:t>
            </w:r>
          </w:p>
        </w:tc>
        <w:tc>
          <w:tcPr>
            <w:tcW w:w="140" w:type="dxa"/>
            <w:vAlign w:val="bottom"/>
          </w:tcPr>
          <w:p>
            <w:pPr>
              <w:spacing w:after="0"/>
              <w:rPr>
                <w:sz w:val="14"/>
                <w:szCs w:val="14"/>
                <w:color w:val="auto"/>
              </w:rPr>
            </w:pP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(6.6)</w:t>
            </w:r>
          </w:p>
        </w:tc>
        <w:tc>
          <w:tcPr>
            <w:tcW w:w="0" w:type="dxa"/>
            <w:vAlign w:val="bottom"/>
          </w:tcPr>
          <w:p>
            <w:pPr>
              <w:spacing w:after="0"/>
              <w:rPr>
                <w:sz w:val="1"/>
                <w:szCs w:val="1"/>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ized.....................................</w:t>
            </w: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Noncash investing and financing activi-</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ties: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Equipment acquisitions on contracts</w:t>
            </w:r>
          </w:p>
        </w:tc>
        <w:tc>
          <w:tcPr>
            <w:tcW w:w="16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273.0</w:t>
            </w:r>
          </w:p>
        </w:tc>
        <w:tc>
          <w:tcPr>
            <w:tcW w:w="260" w:type="dxa"/>
            <w:vAlign w:val="bottom"/>
          </w:tcPr>
          <w:p>
            <w:pPr>
              <w:spacing w:after="0"/>
              <w:rPr>
                <w:sz w:val="14"/>
                <w:szCs w:val="14"/>
                <w:color w:val="auto"/>
              </w:rPr>
            </w:pPr>
          </w:p>
        </w:tc>
        <w:tc>
          <w:tcPr>
            <w:tcW w:w="9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230.8</w:t>
            </w:r>
          </w:p>
        </w:tc>
        <w:tc>
          <w:tcPr>
            <w:tcW w:w="140" w:type="dxa"/>
            <w:vAlign w:val="bottom"/>
          </w:tcPr>
          <w:p>
            <w:pPr>
              <w:spacing w:after="0"/>
              <w:rPr>
                <w:sz w:val="14"/>
                <w:szCs w:val="14"/>
                <w:color w:val="auto"/>
              </w:rPr>
            </w:pPr>
          </w:p>
        </w:tc>
        <w:tc>
          <w:tcPr>
            <w:tcW w:w="7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125.6</w:t>
            </w:r>
          </w:p>
        </w:tc>
        <w:tc>
          <w:tcPr>
            <w:tcW w:w="0" w:type="dxa"/>
            <w:vAlign w:val="bottom"/>
          </w:tcPr>
          <w:p>
            <w:pPr>
              <w:spacing w:after="0"/>
              <w:rPr>
                <w:sz w:val="1"/>
                <w:szCs w:val="1"/>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payable and capital leases.............</w:t>
            </w: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Assets acquired, net of cash and</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8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liabilities assumed in merger</w:t>
            </w:r>
          </w:p>
        </w:tc>
        <w:tc>
          <w:tcPr>
            <w:tcW w:w="160" w:type="dxa"/>
            <w:vAlign w:val="bottom"/>
          </w:tcPr>
          <w:p>
            <w:pPr>
              <w:spacing w:after="0"/>
              <w:rPr>
                <w:sz w:val="14"/>
                <w:szCs w:val="14"/>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26.0</w:t>
            </w:r>
          </w:p>
        </w:tc>
        <w:tc>
          <w:tcPr>
            <w:tcW w:w="140" w:type="dxa"/>
            <w:vAlign w:val="bottom"/>
          </w:tcPr>
          <w:p>
            <w:pPr>
              <w:spacing w:after="0"/>
              <w:rPr>
                <w:sz w:val="14"/>
                <w:szCs w:val="14"/>
                <w:color w:val="auto"/>
              </w:rPr>
            </w:pPr>
          </w:p>
        </w:tc>
        <w:tc>
          <w:tcPr>
            <w:tcW w:w="7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7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transaction............................</w:t>
            </w:r>
          </w:p>
        </w:tc>
        <w:tc>
          <w:tcPr>
            <w:tcW w:w="1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598" w:right="1440" w:bottom="1440" w:gutter="0" w:footer="0" w:header="0"/>
        </w:sectPr>
      </w:pPr>
    </w:p>
    <w:bookmarkStart w:id="32" w:name="page33"/>
    <w:bookmarkEnd w:id="32"/>
    <w:p>
      <w:pPr>
        <w:jc w:val="center"/>
        <w:ind w:right="3299"/>
        <w:spacing w:after="0"/>
        <w:rPr>
          <w:sz w:val="20"/>
          <w:szCs w:val="20"/>
          <w:color w:val="auto"/>
        </w:rPr>
      </w:pPr>
      <w:r>
        <w:rPr>
          <w:rFonts w:ascii="Courier New" w:cs="Courier New" w:eastAsia="Courier New" w:hAnsi="Courier New"/>
          <w:sz w:val="15"/>
          <w:szCs w:val="15"/>
          <w:color w:val="auto"/>
        </w:rPr>
        <w:t>MICRON TECHNOLOGY, INC.</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4"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(ALL TABULAR DOLLAR AND SHARE AMOUNTS ARE STATED IN MILLIONS)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ACCOUNTING POLICIES</w:t>
      </w:r>
    </w:p>
    <w:p>
      <w:pPr>
        <w:spacing w:after="0" w:line="166" w:lineRule="exact"/>
        <w:rPr>
          <w:sz w:val="20"/>
          <w:szCs w:val="20"/>
          <w:color w:val="auto"/>
        </w:rPr>
      </w:pPr>
    </w:p>
    <w:p>
      <w:pPr>
        <w:ind w:right="3499" w:firstLine="175"/>
        <w:spacing w:after="0" w:line="249" w:lineRule="auto"/>
        <w:rPr>
          <w:sz w:val="20"/>
          <w:szCs w:val="20"/>
          <w:color w:val="auto"/>
        </w:rPr>
      </w:pPr>
      <w:r>
        <w:rPr>
          <w:rFonts w:ascii="Courier New" w:cs="Courier New" w:eastAsia="Courier New" w:hAnsi="Courier New"/>
          <w:sz w:val="15"/>
          <w:szCs w:val="15"/>
          <w:color w:val="auto"/>
        </w:rPr>
        <w:t>BASIS OF PRESENTATION: The consolidated financial statements include the accounts of Micron Technology, Inc. and its domestic and foreign subsidiaries (the "Company"). The Company designs, develops, manufactures, and markets semiconductor memory products, primarily DRAM, for use in personal computers ("PCs"). Through its majority-owned subsidiary, Micron Electronics, Inc. ("MEI"), the Company also designs, develops, markets, manufactures and supports Micron brand PC systems and operates a contract manufacturing and component recovery business. All significant intercompany accounts and transactions have been eliminated. The Company's fiscal year ends on the Thursday closest to August 31.</w:t>
      </w:r>
    </w:p>
    <w:p>
      <w:pPr>
        <w:spacing w:after="0" w:line="87" w:lineRule="exact"/>
        <w:rPr>
          <w:sz w:val="20"/>
          <w:szCs w:val="20"/>
          <w:color w:val="auto"/>
        </w:rPr>
      </w:pPr>
    </w:p>
    <w:p>
      <w:pPr>
        <w:ind w:right="3679" w:firstLine="175"/>
        <w:spacing w:after="0" w:line="298" w:lineRule="auto"/>
        <w:rPr>
          <w:sz w:val="20"/>
          <w:szCs w:val="20"/>
          <w:color w:val="auto"/>
        </w:rPr>
      </w:pPr>
      <w:r>
        <w:rPr>
          <w:rFonts w:ascii="Courier New" w:cs="Courier New" w:eastAsia="Courier New" w:hAnsi="Courier New"/>
          <w:sz w:val="14"/>
          <w:szCs w:val="14"/>
          <w:color w:val="auto"/>
        </w:rPr>
        <w:t>CERTAIN CONCENTRATIONS AND ESTIMATES: Approximately 80% of the Company's sales of semiconductor memory products are to the PC or peripheral markets. Certain components used by the Company in manufacturing of PC systems are purchased from a limited number of suppliers.</w:t>
      </w:r>
    </w:p>
    <w:p>
      <w:pPr>
        <w:spacing w:after="0" w:line="53" w:lineRule="exact"/>
        <w:rPr>
          <w:sz w:val="20"/>
          <w:szCs w:val="20"/>
          <w:color w:val="auto"/>
        </w:rPr>
      </w:pPr>
    </w:p>
    <w:p>
      <w:pPr>
        <w:ind w:right="3759" w:firstLine="175"/>
        <w:spacing w:after="0" w:line="264"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75"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5"/>
          <w:szCs w:val="15"/>
          <w:color w:val="auto"/>
        </w:rPr>
        <w:t>REVENUE RECOGNITION: Revenue from product sales to direct customers is recognized when title transfers to the customer, primarily upon shipment. The Company defers recognition of sales to distributors, which allow certain rights of return and price protection, until distributors have sold the products. Net sales include construction management fees earned, and revenues under cross-license agreements with third parties and under government research contracts.</w:t>
      </w:r>
    </w:p>
    <w:p>
      <w:pPr>
        <w:spacing w:after="0" w:line="82" w:lineRule="exact"/>
        <w:rPr>
          <w:sz w:val="20"/>
          <w:szCs w:val="20"/>
          <w:color w:val="auto"/>
        </w:rPr>
      </w:pPr>
    </w:p>
    <w:p>
      <w:pPr>
        <w:ind w:right="3839" w:firstLine="175"/>
        <w:spacing w:after="0" w:line="298" w:lineRule="auto"/>
        <w:rPr>
          <w:sz w:val="20"/>
          <w:szCs w:val="20"/>
          <w:color w:val="auto"/>
        </w:rPr>
      </w:pPr>
      <w:r>
        <w:rPr>
          <w:rFonts w:ascii="Courier New" w:cs="Courier New" w:eastAsia="Courier New" w:hAnsi="Courier New"/>
          <w:sz w:val="14"/>
          <w:szCs w:val="14"/>
          <w:color w:val="auto"/>
        </w:rPr>
        <w:t>EARNINGS PER SHARE: Earnings per share are computed using the weighted average number of common and common equivalent shares outstanding. Common equivalent shares result from the assumed exercise of outstanding stock options and affect earnings per share when they have a dilutive effect.</w:t>
      </w:r>
    </w:p>
    <w:p>
      <w:pPr>
        <w:spacing w:after="0" w:line="53" w:lineRule="exact"/>
        <w:rPr>
          <w:sz w:val="20"/>
          <w:szCs w:val="20"/>
          <w:color w:val="auto"/>
        </w:rPr>
      </w:pPr>
    </w:p>
    <w:p>
      <w:pPr>
        <w:ind w:right="3399" w:firstLine="175"/>
        <w:spacing w:after="0" w:line="267" w:lineRule="auto"/>
        <w:rPr>
          <w:sz w:val="20"/>
          <w:szCs w:val="20"/>
          <w:color w:val="auto"/>
        </w:rPr>
      </w:pPr>
      <w:r>
        <w:rPr>
          <w:rFonts w:ascii="Courier New" w:cs="Courier New" w:eastAsia="Courier New" w:hAnsi="Courier New"/>
          <w:sz w:val="14"/>
          <w:szCs w:val="14"/>
          <w:color w:val="auto"/>
        </w:rPr>
        <w:t>FINANCIAL INSTRUMENTS: Cash equivalents include highly liquid short-term investments with original maturities of three months or less, readily convertible to known amounts of cash. The amounts reported as cash and equivalents, liquid investments, receivables, other assets, accounts payable and accrued expenses, equipment purchase contracts and long-term debt are considered to be reasonable approximations of their fair values. The fair value estimates presented herein were based on market information available to management as of August 29, 1996. The use of different market assumptions and/or estimation methodologies could have a material effect on the estimated fair value amounts. The reported fair values do not take into consideration potential expenses that would be incurred in an actual settlement.</w:t>
      </w:r>
    </w:p>
    <w:p>
      <w:pPr>
        <w:spacing w:after="0" w:line="78" w:lineRule="exact"/>
        <w:rPr>
          <w:sz w:val="20"/>
          <w:szCs w:val="20"/>
          <w:color w:val="auto"/>
        </w:rPr>
      </w:pPr>
    </w:p>
    <w:p>
      <w:pPr>
        <w:ind w:right="3399" w:firstLine="175"/>
        <w:spacing w:after="0" w:line="264" w:lineRule="auto"/>
        <w:rPr>
          <w:sz w:val="20"/>
          <w:szCs w:val="20"/>
          <w:color w:val="auto"/>
        </w:rPr>
      </w:pPr>
      <w:r>
        <w:rPr>
          <w:rFonts w:ascii="Courier New" w:cs="Courier New" w:eastAsia="Courier New" w:hAnsi="Courier New"/>
          <w:sz w:val="14"/>
          <w:szCs w:val="14"/>
          <w:color w:val="auto"/>
        </w:rPr>
        <w:t>Financial instruments that potentially subject the Company to concentrations of credit risk consist principally of cash, liquid investments and trade accounts receivable. The Company invests cash through high-credit-quality financial institutions and performs periodic evaluations of the relative credit standing of these financial institutions. The Company, by policy, limits the concentration of credit exposure by restricting investments with any single obligor, instrument or geographic area. A concentration of credit risk may exist with respect to trade receivables, as a substantial portion of the Company's customers are affiliated with the computer, telecommunications and office automation industries. The Company performs ongoing credit evaluations of customers worldwide and generally does not require collateral from its customers. Historically, the Company has not experienced significant losses related to receivables for individual customers or groups of customers in any particular industry or geographic area.</w:t>
      </w:r>
    </w:p>
    <w:p>
      <w:pPr>
        <w:spacing w:after="0" w:line="2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598" w:right="1440" w:bottom="1440" w:gutter="0" w:footer="0" w:header="0"/>
        </w:sectPr>
      </w:pPr>
    </w:p>
    <w:bookmarkStart w:id="33" w:name="page34"/>
    <w:bookmarkEnd w:id="33"/>
    <w:p>
      <w:pPr>
        <w:jc w:val="center"/>
        <w:ind w:right="3299"/>
        <w:spacing w:after="0"/>
        <w:rPr>
          <w:sz w:val="20"/>
          <w:szCs w:val="20"/>
          <w:color w:val="auto"/>
        </w:rPr>
      </w:pPr>
      <w:r>
        <w:rPr>
          <w:rFonts w:ascii="Courier New" w:cs="Courier New" w:eastAsia="Courier New" w:hAnsi="Courier New"/>
          <w:sz w:val="15"/>
          <w:szCs w:val="15"/>
          <w:color w:val="auto"/>
        </w:rPr>
        <w:t>MICRON TECHNOLOGY, INC.</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35" w:lineRule="exact"/>
        <w:rPr>
          <w:sz w:val="20"/>
          <w:szCs w:val="20"/>
          <w:color w:val="auto"/>
        </w:rPr>
      </w:pPr>
    </w:p>
    <w:p>
      <w:pPr>
        <w:ind w:right="3499" w:firstLine="175"/>
        <w:spacing w:after="0" w:line="290" w:lineRule="auto"/>
        <w:rPr>
          <w:sz w:val="20"/>
          <w:szCs w:val="20"/>
          <w:color w:val="auto"/>
        </w:rPr>
      </w:pPr>
      <w:r>
        <w:rPr>
          <w:rFonts w:ascii="Courier New" w:cs="Courier New" w:eastAsia="Courier New" w:hAnsi="Courier New"/>
          <w:sz w:val="15"/>
          <w:szCs w:val="15"/>
          <w:color w:val="auto"/>
        </w:rPr>
        <w:t>INVENTORIES: Inventories are stated at the lower of average cost or market. Cost includes labor, material and overhead costs, including product and process technology costs.</w:t>
      </w:r>
    </w:p>
    <w:p>
      <w:pPr>
        <w:spacing w:after="0" w:line="57" w:lineRule="exact"/>
        <w:rPr>
          <w:sz w:val="20"/>
          <w:szCs w:val="20"/>
          <w:color w:val="auto"/>
        </w:rPr>
      </w:pPr>
    </w:p>
    <w:p>
      <w:pPr>
        <w:ind w:right="3579" w:firstLine="175"/>
        <w:spacing w:after="0" w:line="273" w:lineRule="auto"/>
        <w:rPr>
          <w:sz w:val="20"/>
          <w:szCs w:val="20"/>
          <w:color w:val="auto"/>
        </w:rPr>
      </w:pPr>
      <w:r>
        <w:rPr>
          <w:rFonts w:ascii="Courier New" w:cs="Courier New" w:eastAsia="Courier New" w:hAnsi="Courier New"/>
          <w:sz w:val="15"/>
          <w:szCs w:val="15"/>
          <w:color w:val="auto"/>
        </w:rPr>
        <w:t>PROPERTY, PLANT AND EQUIPMENT: Property, plant and equipment are stated at cost. Depreciation is computed using the straight-line method over the estimated useful lives of 5 to 30 years for buildings and 2 to 5 years for equipment.</w:t>
      </w:r>
    </w:p>
    <w:p>
      <w:pPr>
        <w:spacing w:after="0" w:line="68" w:lineRule="exact"/>
        <w:rPr>
          <w:sz w:val="20"/>
          <w:szCs w:val="20"/>
          <w:color w:val="auto"/>
        </w:rPr>
      </w:pPr>
    </w:p>
    <w:p>
      <w:pPr>
        <w:ind w:right="3399" w:firstLine="175"/>
        <w:spacing w:after="0" w:line="270" w:lineRule="auto"/>
        <w:rPr>
          <w:sz w:val="20"/>
          <w:szCs w:val="20"/>
          <w:color w:val="auto"/>
        </w:rPr>
      </w:pPr>
      <w:r>
        <w:rPr>
          <w:rFonts w:ascii="Courier New" w:cs="Courier New" w:eastAsia="Courier New" w:hAnsi="Courier New"/>
          <w:sz w:val="14"/>
          <w:szCs w:val="14"/>
          <w:color w:val="auto"/>
        </w:rPr>
        <w:t>PRODUCT AND PROCESS TECHNOLOGY: Costs related to the conceptual formulation and design of products and processes are expensed as research and development. Costs incurred to establish patents and acquire product and process technology are capitalized. Capitalized costs are amortized on the straight-line method over the shorter of the estimated useful life of the technology, the patent term or the agreement, ranging up to 10 years. The Company has royalty-bearing license agreements that allow it to manufacture and sell semiconductor memory devices, hardware and software. Royalty costs are accrued and included in cost of goods sold when the sale is recognized.</w:t>
      </w:r>
    </w:p>
    <w:p>
      <w:pPr>
        <w:spacing w:after="0" w:line="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ADVERTISING: Advertising costs are charged to operations as incurred.</w:t>
      </w:r>
    </w:p>
    <w:p>
      <w:pPr>
        <w:spacing w:after="0" w:line="166" w:lineRule="exact"/>
        <w:rPr>
          <w:sz w:val="20"/>
          <w:szCs w:val="20"/>
          <w:color w:val="auto"/>
        </w:rPr>
      </w:pPr>
    </w:p>
    <w:p>
      <w:pPr>
        <w:ind w:right="3499" w:firstLine="175"/>
        <w:spacing w:after="0" w:line="252" w:lineRule="auto"/>
        <w:rPr>
          <w:sz w:val="20"/>
          <w:szCs w:val="20"/>
          <w:color w:val="auto"/>
        </w:rPr>
      </w:pPr>
      <w:r>
        <w:rPr>
          <w:rFonts w:ascii="Courier New" w:cs="Courier New" w:eastAsia="Courier New" w:hAnsi="Courier New"/>
          <w:sz w:val="15"/>
          <w:szCs w:val="15"/>
          <w:color w:val="auto"/>
        </w:rPr>
        <w:t>RECENTLY ISSUED ACCOUNTING STANDARDS: In March 1995, the Financial Accounting Standards Board ("FASB") issued Statement of Financial Accounting Standards ("SFAS") No. 121, "Accounting for the Impairment of Long-Lived Assets and for Long-Lived Assets to Be Disposed Of." The Company has not elected early adoption of SFAS 121. The Company will adopt the provisions of SFAS 121 in fiscal 1997. Adoption of SFAS 121 is not expected to have a material effect on the Company's financial position, results of operations or cash flows.</w:t>
      </w:r>
    </w:p>
    <w:p>
      <w:pPr>
        <w:spacing w:after="0" w:line="86" w:lineRule="exact"/>
        <w:rPr>
          <w:sz w:val="20"/>
          <w:szCs w:val="20"/>
          <w:color w:val="auto"/>
        </w:rPr>
      </w:pPr>
    </w:p>
    <w:p>
      <w:pPr>
        <w:ind w:right="3399" w:firstLine="175"/>
        <w:spacing w:after="0" w:line="248" w:lineRule="auto"/>
        <w:rPr>
          <w:sz w:val="20"/>
          <w:szCs w:val="20"/>
          <w:color w:val="auto"/>
        </w:rPr>
      </w:pPr>
      <w:r>
        <w:rPr>
          <w:rFonts w:ascii="Courier New" w:cs="Courier New" w:eastAsia="Courier New" w:hAnsi="Courier New"/>
          <w:sz w:val="15"/>
          <w:szCs w:val="15"/>
          <w:color w:val="auto"/>
        </w:rPr>
        <w:t>In October 1995, the FASB issued SFAS 123, "Accounting for Stock-Based Compensation." The Company has not elected early adoption of SFAS 123. The Company intends to adopt SFAS 123 in fiscal 1997. As permitted under SFAS 123, the Company will continue to measure compensation expense for its stock-based employee compensation plans using the intrinsic value method prescribed by Accounting Principles Board Opinion No. 25, "Accounting for Stock Issued to Employees," and will provide pro forma disclosures of net income and earnings per share as if a fair value-based method had been applied in measuring compensation expense. As a result, adoption of SFAS 123 is not expected to have a material effect on the Company's financial position, results of operations or cash flows.</w:t>
      </w:r>
    </w:p>
    <w:p>
      <w:pPr>
        <w:spacing w:after="0" w:line="87" w:lineRule="exact"/>
        <w:rPr>
          <w:sz w:val="20"/>
          <w:szCs w:val="20"/>
          <w:color w:val="auto"/>
        </w:rPr>
      </w:pPr>
    </w:p>
    <w:p>
      <w:pPr>
        <w:ind w:right="3579" w:firstLine="175"/>
        <w:spacing w:after="0" w:line="344" w:lineRule="auto"/>
        <w:rPr>
          <w:sz w:val="20"/>
          <w:szCs w:val="20"/>
          <w:color w:val="auto"/>
        </w:rPr>
      </w:pPr>
      <w:r>
        <w:rPr>
          <w:rFonts w:ascii="Courier New" w:cs="Courier New" w:eastAsia="Courier New" w:hAnsi="Courier New"/>
          <w:sz w:val="15"/>
          <w:szCs w:val="15"/>
          <w:color w:val="auto"/>
        </w:rPr>
        <w:t>FOREIGN CURRENCY: The U.S. dollar is the Company's functional currency for financial reporting.</w:t>
      </w:r>
    </w:p>
    <w:p>
      <w:pPr>
        <w:spacing w:after="0" w:line="17" w:lineRule="exact"/>
        <w:rPr>
          <w:sz w:val="20"/>
          <w:szCs w:val="20"/>
          <w:color w:val="auto"/>
        </w:rPr>
      </w:pPr>
    </w:p>
    <w:p>
      <w:pPr>
        <w:ind w:right="3399" w:firstLine="175"/>
        <w:spacing w:after="0" w:line="250" w:lineRule="auto"/>
        <w:rPr>
          <w:sz w:val="20"/>
          <w:szCs w:val="20"/>
          <w:color w:val="auto"/>
        </w:rPr>
      </w:pPr>
      <w:r>
        <w:rPr>
          <w:rFonts w:ascii="Courier New" w:cs="Courier New" w:eastAsia="Courier New" w:hAnsi="Courier New"/>
          <w:sz w:val="15"/>
          <w:szCs w:val="15"/>
          <w:color w:val="auto"/>
        </w:rPr>
        <w:t>RESTATEMENTS AND RECLASSIFICATIONS: On March 27, 1995, the Company's Board of Directors announced a 2 for 1 stock split effected in the form of a stock dividend to shareholders of record as of May 4, 1995. On March 1, 1994, the Company's Board of Directors announced a 5 for 2 stock split effected in the form of a stock dividend to shareholders of record as of April 1, 1994. The Company distributed cash in lieu of fractional shares resulting from the stock split. The Company's par value of $0.10 per share remained unchanged. Historical share and per share amounts have been restated to reflect retroactively the stock splits.</w:t>
      </w:r>
    </w:p>
    <w:p>
      <w:pPr>
        <w:spacing w:after="0" w:line="89" w:lineRule="exact"/>
        <w:rPr>
          <w:sz w:val="20"/>
          <w:szCs w:val="20"/>
          <w:color w:val="auto"/>
        </w:rPr>
      </w:pPr>
    </w:p>
    <w:p>
      <w:pPr>
        <w:ind w:right="3499" w:firstLine="175"/>
        <w:spacing w:after="0" w:line="298" w:lineRule="auto"/>
        <w:rPr>
          <w:sz w:val="20"/>
          <w:szCs w:val="20"/>
          <w:color w:val="auto"/>
        </w:rPr>
      </w:pPr>
      <w:r>
        <w:rPr>
          <w:rFonts w:ascii="Courier New" w:cs="Courier New" w:eastAsia="Courier New" w:hAnsi="Courier New"/>
          <w:sz w:val="14"/>
          <w:szCs w:val="14"/>
          <w:color w:val="auto"/>
        </w:rPr>
        <w:t>On December 31, 1995, the company reclassified a portion of its held-to-maturity liquid investment securities to available-for-sale concurrent with the Company's adoption of the FASB's special report on implementing Statement 115, "Accounting for Certain Investments in Debt and Equity Securities."</w:t>
      </w:r>
    </w:p>
    <w:p>
      <w:pPr>
        <w:spacing w:after="0" w:line="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598" w:right="1440" w:bottom="1440" w:gutter="0" w:footer="0" w:header="0"/>
        </w:sectPr>
      </w:pPr>
    </w:p>
    <w:bookmarkStart w:id="34" w:name="page35"/>
    <w:bookmarkEnd w:id="34"/>
    <w:p>
      <w:pPr>
        <w:jc w:val="center"/>
        <w:ind w:right="3319"/>
        <w:spacing w:after="0"/>
        <w:rPr>
          <w:sz w:val="20"/>
          <w:szCs w:val="20"/>
          <w:color w:val="auto"/>
        </w:rPr>
      </w:pPr>
      <w:r>
        <w:rPr>
          <w:rFonts w:ascii="Courier New" w:cs="Courier New" w:eastAsia="Courier New" w:hAnsi="Courier New"/>
          <w:sz w:val="15"/>
          <w:szCs w:val="15"/>
          <w:color w:val="auto"/>
        </w:rPr>
        <w:t>MICRON TECHNOLOGY, INC.</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66" w:lineRule="exact"/>
        <w:rPr>
          <w:sz w:val="20"/>
          <w:szCs w:val="20"/>
          <w:color w:val="auto"/>
        </w:rPr>
      </w:pPr>
    </w:p>
    <w:p>
      <w:pPr>
        <w:ind w:right="3759" w:firstLine="175"/>
        <w:spacing w:after="0" w:line="290" w:lineRule="auto"/>
        <w:rPr>
          <w:sz w:val="20"/>
          <w:szCs w:val="20"/>
          <w:color w:val="auto"/>
        </w:rPr>
      </w:pPr>
      <w:r>
        <w:rPr>
          <w:rFonts w:ascii="Courier New" w:cs="Courier New" w:eastAsia="Courier New" w:hAnsi="Courier New"/>
          <w:sz w:val="15"/>
          <w:szCs w:val="15"/>
          <w:color w:val="auto"/>
        </w:rPr>
        <w:t>Certain other reclassifications have been made, none of which affected results of operations, to present the financial statements on a consistent basis.</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 INVESTMENTS</w:t>
      </w:r>
    </w:p>
    <w:p>
      <w:pPr>
        <w:spacing w:after="0" w:line="200" w:lineRule="exact"/>
        <w:rPr>
          <w:sz w:val="20"/>
          <w:szCs w:val="20"/>
          <w:color w:val="auto"/>
        </w:rPr>
      </w:pPr>
    </w:p>
    <w:p>
      <w:pPr>
        <w:spacing w:after="0" w:line="301"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5200" w:type="dxa"/>
            <w:vAlign w:val="bottom"/>
          </w:tcPr>
          <w:p>
            <w:pPr>
              <w:spacing w:after="0"/>
              <w:rPr>
                <w:sz w:val="14"/>
                <w:szCs w:val="14"/>
                <w:color w:val="auto"/>
              </w:rPr>
            </w:pPr>
          </w:p>
        </w:tc>
        <w:tc>
          <w:tcPr>
            <w:tcW w:w="7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8/29/96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8/31/95</w:t>
            </w:r>
          </w:p>
        </w:tc>
        <w:tc>
          <w:tcPr>
            <w:tcW w:w="0" w:type="dxa"/>
            <w:vAlign w:val="bottom"/>
          </w:tcPr>
          <w:p>
            <w:pPr>
              <w:spacing w:after="0"/>
              <w:rPr>
                <w:sz w:val="1"/>
                <w:szCs w:val="1"/>
                <w:color w:val="auto"/>
              </w:rPr>
            </w:pPr>
          </w:p>
        </w:tc>
      </w:tr>
      <w:tr>
        <w:trPr>
          <w:trHeight w:val="245"/>
        </w:trPr>
        <w:tc>
          <w:tcPr>
            <w:tcW w:w="5200" w:type="dxa"/>
            <w:vAlign w:val="bottom"/>
          </w:tcPr>
          <w:p>
            <w:pPr>
              <w:spacing w:after="0"/>
              <w:rPr>
                <w:sz w:val="21"/>
                <w:szCs w:val="21"/>
                <w:color w:val="auto"/>
              </w:rPr>
            </w:pPr>
          </w:p>
        </w:tc>
        <w:tc>
          <w:tcPr>
            <w:tcW w:w="7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200" w:type="dxa"/>
            <w:vAlign w:val="bottom"/>
          </w:tcPr>
          <w:p>
            <w:pPr>
              <w:spacing w:after="0"/>
              <w:rPr>
                <w:sz w:val="20"/>
                <w:szCs w:val="20"/>
                <w:color w:val="auto"/>
              </w:rPr>
            </w:pPr>
            <w:r>
              <w:rPr>
                <w:rFonts w:ascii="Courier New" w:cs="Courier New" w:eastAsia="Courier New" w:hAnsi="Courier New"/>
                <w:sz w:val="15"/>
                <w:szCs w:val="15"/>
                <w:color w:val="auto"/>
              </w:rPr>
              <w:t>Available-for-sale securities:</w:t>
            </w:r>
          </w:p>
        </w:tc>
        <w:tc>
          <w:tcPr>
            <w:tcW w:w="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1.8</w:t>
            </w:r>
          </w:p>
        </w:tc>
        <w:tc>
          <w:tcPr>
            <w:tcW w:w="6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$ 28.6</w:t>
            </w:r>
          </w:p>
        </w:tc>
        <w:tc>
          <w:tcPr>
            <w:tcW w:w="0" w:type="dxa"/>
            <w:vAlign w:val="bottom"/>
          </w:tcPr>
          <w:p>
            <w:pPr>
              <w:spacing w:after="0"/>
              <w:rPr>
                <w:sz w:val="1"/>
                <w:szCs w:val="1"/>
                <w:color w:val="auto"/>
              </w:rPr>
            </w:pPr>
          </w:p>
        </w:tc>
      </w:tr>
      <w:tr>
        <w:trPr>
          <w:trHeight w:val="168"/>
        </w:trPr>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U.S. Government agency...................................</w:t>
            </w:r>
          </w:p>
        </w:tc>
        <w:tc>
          <w:tcPr>
            <w:tcW w:w="1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State and local governments..............................</w:t>
            </w:r>
          </w:p>
        </w:tc>
        <w:tc>
          <w:tcPr>
            <w:tcW w:w="12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w:t>
            </w:r>
          </w:p>
        </w:tc>
        <w:tc>
          <w:tcPr>
            <w:tcW w:w="0" w:type="dxa"/>
            <w:vAlign w:val="bottom"/>
          </w:tcPr>
          <w:p>
            <w:pPr>
              <w:spacing w:after="0"/>
              <w:rPr>
                <w:sz w:val="1"/>
                <w:szCs w:val="1"/>
                <w:color w:val="auto"/>
              </w:rPr>
            </w:pPr>
          </w:p>
        </w:tc>
      </w:tr>
      <w:tr>
        <w:trPr>
          <w:trHeight w:val="168"/>
        </w:trPr>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Corporate notes..........................................</w:t>
            </w:r>
          </w:p>
        </w:tc>
        <w:tc>
          <w:tcPr>
            <w:tcW w:w="1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c>
          <w:tcPr>
            <w:tcW w:w="0" w:type="dxa"/>
            <w:vAlign w:val="bottom"/>
          </w:tcPr>
          <w:p>
            <w:pPr>
              <w:spacing w:after="0"/>
              <w:rPr>
                <w:sz w:val="1"/>
                <w:szCs w:val="1"/>
                <w:color w:val="auto"/>
              </w:rPr>
            </w:pPr>
          </w:p>
        </w:tc>
      </w:tr>
      <w:tr>
        <w:trPr>
          <w:trHeight w:val="168"/>
        </w:trPr>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Commercial paper.........................................</w:t>
            </w:r>
          </w:p>
        </w:tc>
        <w:tc>
          <w:tcPr>
            <w:tcW w:w="12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3"/>
                <w:szCs w:val="3"/>
                <w:color w:val="auto"/>
                <w:w w:val="78"/>
              </w:rPr>
              <w:t>-------</w:t>
            </w:r>
          </w:p>
        </w:tc>
        <w:tc>
          <w:tcPr>
            <w:tcW w:w="6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8.0</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5200" w:type="dxa"/>
            <w:vAlign w:val="bottom"/>
            <w:vMerge w:val="restart"/>
          </w:tcPr>
          <w:p>
            <w:pPr>
              <w:spacing w:after="0"/>
              <w:rPr>
                <w:sz w:val="20"/>
                <w:szCs w:val="20"/>
                <w:color w:val="auto"/>
              </w:rPr>
            </w:pPr>
            <w:r>
              <w:rPr>
                <w:rFonts w:ascii="Courier New" w:cs="Courier New" w:eastAsia="Courier New" w:hAnsi="Courier New"/>
                <w:sz w:val="15"/>
                <w:szCs w:val="15"/>
                <w:color w:val="auto"/>
              </w:rPr>
              <w:t>Held-to-maturity securities:</w:t>
            </w:r>
          </w:p>
        </w:tc>
        <w:tc>
          <w:tcPr>
            <w:tcW w:w="12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40.2</w:t>
            </w:r>
          </w:p>
        </w:tc>
        <w:tc>
          <w:tcPr>
            <w:tcW w:w="0" w:type="dxa"/>
            <w:vAlign w:val="bottom"/>
          </w:tcPr>
          <w:p>
            <w:pPr>
              <w:spacing w:after="0"/>
              <w:rPr>
                <w:sz w:val="1"/>
                <w:szCs w:val="1"/>
                <w:color w:val="auto"/>
              </w:rPr>
            </w:pPr>
          </w:p>
        </w:tc>
      </w:tr>
      <w:tr>
        <w:trPr>
          <w:trHeight w:val="91"/>
        </w:trPr>
        <w:tc>
          <w:tcPr>
            <w:tcW w:w="5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24.7</w:t>
            </w:r>
          </w:p>
        </w:tc>
        <w:tc>
          <w:tcPr>
            <w:tcW w:w="6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196.2</w:t>
            </w:r>
          </w:p>
        </w:tc>
        <w:tc>
          <w:tcPr>
            <w:tcW w:w="0" w:type="dxa"/>
            <w:vAlign w:val="bottom"/>
          </w:tcPr>
          <w:p>
            <w:pPr>
              <w:spacing w:after="0"/>
              <w:rPr>
                <w:sz w:val="1"/>
                <w:szCs w:val="1"/>
                <w:color w:val="auto"/>
              </w:rPr>
            </w:pPr>
          </w:p>
        </w:tc>
      </w:tr>
      <w:tr>
        <w:trPr>
          <w:trHeight w:val="168"/>
        </w:trPr>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State and local governments..............................</w:t>
            </w: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Commercial paper.........................................</w:t>
            </w:r>
          </w:p>
        </w:tc>
        <w:tc>
          <w:tcPr>
            <w:tcW w:w="12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80.3</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118.3</w:t>
            </w:r>
          </w:p>
        </w:tc>
        <w:tc>
          <w:tcPr>
            <w:tcW w:w="0" w:type="dxa"/>
            <w:vAlign w:val="bottom"/>
          </w:tcPr>
          <w:p>
            <w:pPr>
              <w:spacing w:after="0"/>
              <w:rPr>
                <w:sz w:val="1"/>
                <w:szCs w:val="1"/>
                <w:color w:val="auto"/>
              </w:rPr>
            </w:pPr>
          </w:p>
        </w:tc>
      </w:tr>
      <w:tr>
        <w:trPr>
          <w:trHeight w:val="168"/>
        </w:trPr>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U.S. Government agency...................................</w:t>
            </w:r>
          </w:p>
        </w:tc>
        <w:tc>
          <w:tcPr>
            <w:tcW w:w="12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12.8</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88.8</w:t>
            </w:r>
          </w:p>
        </w:tc>
        <w:tc>
          <w:tcPr>
            <w:tcW w:w="0" w:type="dxa"/>
            <w:vAlign w:val="bottom"/>
          </w:tcPr>
          <w:p>
            <w:pPr>
              <w:spacing w:after="0"/>
              <w:rPr>
                <w:sz w:val="1"/>
                <w:szCs w:val="1"/>
                <w:color w:val="auto"/>
              </w:rPr>
            </w:pPr>
          </w:p>
        </w:tc>
      </w:tr>
      <w:tr>
        <w:trPr>
          <w:trHeight w:val="168"/>
        </w:trPr>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Bankers' acceptances.....................................</w:t>
            </w:r>
          </w:p>
        </w:tc>
        <w:tc>
          <w:tcPr>
            <w:tcW w:w="12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30.9</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44.5</w:t>
            </w:r>
          </w:p>
        </w:tc>
        <w:tc>
          <w:tcPr>
            <w:tcW w:w="0" w:type="dxa"/>
            <w:vAlign w:val="bottom"/>
          </w:tcPr>
          <w:p>
            <w:pPr>
              <w:spacing w:after="0"/>
              <w:rPr>
                <w:sz w:val="1"/>
                <w:szCs w:val="1"/>
                <w:color w:val="auto"/>
              </w:rPr>
            </w:pPr>
          </w:p>
        </w:tc>
      </w:tr>
      <w:tr>
        <w:trPr>
          <w:trHeight w:val="168"/>
        </w:trPr>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Corporate notes..........................................</w:t>
            </w:r>
          </w:p>
        </w:tc>
        <w:tc>
          <w:tcPr>
            <w:tcW w:w="1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w:t>
            </w:r>
          </w:p>
        </w:tc>
        <w:tc>
          <w:tcPr>
            <w:tcW w:w="0" w:type="dxa"/>
            <w:vAlign w:val="bottom"/>
          </w:tcPr>
          <w:p>
            <w:pPr>
              <w:spacing w:after="0"/>
              <w:rPr>
                <w:sz w:val="1"/>
                <w:szCs w:val="1"/>
                <w:color w:val="auto"/>
              </w:rPr>
            </w:pPr>
          </w:p>
        </w:tc>
      </w:tr>
      <w:tr>
        <w:trPr>
          <w:trHeight w:val="168"/>
        </w:trPr>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w:t>
            </w:r>
          </w:p>
        </w:tc>
        <w:tc>
          <w:tcPr>
            <w:tcW w:w="12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w:t>
            </w:r>
          </w:p>
        </w:tc>
        <w:tc>
          <w:tcPr>
            <w:tcW w:w="0" w:type="dxa"/>
            <w:vAlign w:val="bottom"/>
          </w:tcPr>
          <w:p>
            <w:pPr>
              <w:spacing w:after="0"/>
              <w:rPr>
                <w:sz w:val="1"/>
                <w:szCs w:val="1"/>
                <w:color w:val="auto"/>
              </w:rPr>
            </w:pPr>
          </w:p>
        </w:tc>
      </w:tr>
      <w:tr>
        <w:trPr>
          <w:trHeight w:val="168"/>
        </w:trPr>
        <w:tc>
          <w:tcPr>
            <w:tcW w:w="5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3"/>
                <w:szCs w:val="3"/>
                <w:color w:val="auto"/>
                <w:w w:val="78"/>
              </w:rPr>
              <w:t>-------</w:t>
            </w:r>
          </w:p>
        </w:tc>
        <w:tc>
          <w:tcPr>
            <w:tcW w:w="6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151.4</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468.4</w:t>
            </w:r>
          </w:p>
        </w:tc>
        <w:tc>
          <w:tcPr>
            <w:tcW w:w="0" w:type="dxa"/>
            <w:vAlign w:val="bottom"/>
          </w:tcPr>
          <w:p>
            <w:pPr>
              <w:spacing w:after="0"/>
              <w:rPr>
                <w:sz w:val="1"/>
                <w:szCs w:val="1"/>
                <w:color w:val="auto"/>
              </w:rPr>
            </w:pPr>
          </w:p>
        </w:tc>
      </w:tr>
      <w:tr>
        <w:trPr>
          <w:trHeight w:val="168"/>
        </w:trPr>
        <w:tc>
          <w:tcPr>
            <w:tcW w:w="5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Total investments..........................................</w:t>
            </w:r>
          </w:p>
        </w:tc>
        <w:tc>
          <w:tcPr>
            <w:tcW w:w="120" w:type="dxa"/>
            <w:vAlign w:val="bottom"/>
          </w:tcPr>
          <w:p>
            <w:pPr>
              <w:jc w:val="right"/>
              <w:spacing w:after="0"/>
              <w:rPr>
                <w:sz w:val="20"/>
                <w:szCs w:val="20"/>
                <w:color w:val="auto"/>
              </w:rPr>
            </w:pPr>
            <w:r>
              <w:rPr>
                <w:rFonts w:ascii="Courier New" w:cs="Courier New" w:eastAsia="Courier New" w:hAnsi="Courier New"/>
                <w:sz w:val="3"/>
                <w:szCs w:val="3"/>
                <w:color w:val="auto"/>
                <w:w w:val="78"/>
              </w:rPr>
              <w:t>-------</w:t>
            </w:r>
          </w:p>
        </w:tc>
        <w:tc>
          <w:tcPr>
            <w:tcW w:w="6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159.4</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508.6</w:t>
            </w:r>
          </w:p>
        </w:tc>
        <w:tc>
          <w:tcPr>
            <w:tcW w:w="0" w:type="dxa"/>
            <w:vAlign w:val="bottom"/>
          </w:tcPr>
          <w:p>
            <w:pPr>
              <w:spacing w:after="0"/>
              <w:rPr>
                <w:sz w:val="1"/>
                <w:szCs w:val="1"/>
                <w:color w:val="auto"/>
              </w:rPr>
            </w:pPr>
          </w:p>
        </w:tc>
      </w:tr>
      <w:tr>
        <w:trPr>
          <w:trHeight w:val="168"/>
        </w:trPr>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Less cash equivalents......................................</w:t>
            </w:r>
          </w:p>
        </w:tc>
        <w:tc>
          <w:tcPr>
            <w:tcW w:w="1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(148.7)</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(80.9)</w:t>
            </w:r>
          </w:p>
        </w:tc>
        <w:tc>
          <w:tcPr>
            <w:tcW w:w="0" w:type="dxa"/>
            <w:vAlign w:val="bottom"/>
          </w:tcPr>
          <w:p>
            <w:pPr>
              <w:spacing w:after="0"/>
              <w:rPr>
                <w:sz w:val="1"/>
                <w:szCs w:val="1"/>
                <w:color w:val="auto"/>
              </w:rPr>
            </w:pPr>
          </w:p>
        </w:tc>
      </w:tr>
      <w:tr>
        <w:trPr>
          <w:trHeight w:val="168"/>
        </w:trPr>
        <w:tc>
          <w:tcPr>
            <w:tcW w:w="52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99"/>
                <w:vertAlign w:val="subscript"/>
              </w:rPr>
              <w:t>$</w:t>
            </w:r>
            <w:r>
              <w:rPr>
                <w:rFonts w:ascii="Courier New" w:cs="Courier New" w:eastAsia="Courier New" w:hAnsi="Courier New"/>
                <w:sz w:val="2"/>
                <w:szCs w:val="2"/>
                <w:color w:val="auto"/>
                <w:w w:val="99"/>
              </w:rPr>
              <w:t>-------</w:t>
            </w:r>
          </w:p>
        </w:tc>
        <w:tc>
          <w:tcPr>
            <w:tcW w:w="6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10.7</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2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$427.7</w:t>
            </w:r>
          </w:p>
        </w:tc>
        <w:tc>
          <w:tcPr>
            <w:tcW w:w="0" w:type="dxa"/>
            <w:vAlign w:val="bottom"/>
          </w:tcPr>
          <w:p>
            <w:pPr>
              <w:spacing w:after="0"/>
              <w:rPr>
                <w:sz w:val="1"/>
                <w:szCs w:val="1"/>
                <w:color w:val="auto"/>
              </w:rPr>
            </w:pPr>
          </w:p>
        </w:tc>
      </w:tr>
      <w:tr>
        <w:trPr>
          <w:trHeight w:val="245"/>
        </w:trPr>
        <w:tc>
          <w:tcPr>
            <w:tcW w:w="5200" w:type="dxa"/>
            <w:vAlign w:val="bottom"/>
          </w:tcPr>
          <w:p>
            <w:pPr>
              <w:spacing w:after="0"/>
              <w:rPr>
                <w:sz w:val="21"/>
                <w:szCs w:val="21"/>
                <w:color w:val="auto"/>
              </w:rPr>
            </w:pPr>
          </w:p>
        </w:tc>
        <w:tc>
          <w:tcPr>
            <w:tcW w:w="7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499" w:firstLine="175"/>
        <w:spacing w:after="0" w:line="264" w:lineRule="auto"/>
        <w:rPr>
          <w:sz w:val="20"/>
          <w:szCs w:val="20"/>
          <w:color w:val="auto"/>
        </w:rPr>
      </w:pPr>
      <w:r>
        <w:rPr>
          <w:rFonts w:ascii="Courier New" w:cs="Courier New" w:eastAsia="Courier New" w:hAnsi="Courier New"/>
          <w:sz w:val="15"/>
          <w:szCs w:val="15"/>
          <w:color w:val="auto"/>
        </w:rPr>
        <w:t>Securities classified as available-for-sale are stated at fair value which approximates cost. Securities classified as held-to-maturity are stated at amortized cost. Securities classified as available-for-sale mature within one year, and securities classified as held-to-maturity have maturities within 90 days.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RECEIVABLES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8/29/96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8/31/95</w:t>
            </w:r>
          </w:p>
        </w:tc>
        <w:tc>
          <w:tcPr>
            <w:tcW w:w="0" w:type="dxa"/>
            <w:vAlign w:val="bottom"/>
          </w:tcPr>
          <w:p>
            <w:pPr>
              <w:spacing w:after="0"/>
              <w:rPr>
                <w:sz w:val="1"/>
                <w:szCs w:val="1"/>
                <w:color w:val="auto"/>
              </w:rPr>
            </w:pPr>
          </w:p>
        </w:tc>
      </w:tr>
      <w:tr>
        <w:trPr>
          <w:trHeight w:val="245"/>
        </w:trPr>
        <w:tc>
          <w:tcPr>
            <w:tcW w:w="3340" w:type="dxa"/>
            <w:vAlign w:val="bottom"/>
          </w:tcPr>
          <w:p>
            <w:pPr>
              <w:spacing w:after="0"/>
              <w:rPr>
                <w:sz w:val="21"/>
                <w:szCs w:val="21"/>
                <w:color w:val="auto"/>
              </w:rPr>
            </w:pPr>
          </w:p>
        </w:tc>
        <w:tc>
          <w:tcPr>
            <w:tcW w:w="2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340" w:type="dxa"/>
            <w:vAlign w:val="bottom"/>
          </w:tcPr>
          <w:p>
            <w:pPr>
              <w:ind w:left="280"/>
              <w:spacing w:after="0"/>
              <w:rPr>
                <w:sz w:val="20"/>
                <w:szCs w:val="20"/>
                <w:color w:val="auto"/>
              </w:rPr>
            </w:pPr>
            <w:r>
              <w:rPr>
                <w:rFonts w:ascii="Courier New" w:cs="Courier New" w:eastAsia="Courier New" w:hAnsi="Courier New"/>
                <w:sz w:val="12"/>
                <w:szCs w:val="12"/>
                <w:color w:val="auto"/>
                <w:w w:val="71"/>
              </w:rPr>
              <w:t>Trade receivables..........................................</w:t>
            </w:r>
          </w:p>
        </w:tc>
        <w:tc>
          <w:tcPr>
            <w:tcW w:w="2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$288.2</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$457.4</w:t>
            </w:r>
          </w:p>
        </w:tc>
        <w:tc>
          <w:tcPr>
            <w:tcW w:w="0" w:type="dxa"/>
            <w:vAlign w:val="bottom"/>
          </w:tcPr>
          <w:p>
            <w:pPr>
              <w:spacing w:after="0"/>
              <w:rPr>
                <w:sz w:val="1"/>
                <w:szCs w:val="1"/>
                <w:color w:val="auto"/>
              </w:rPr>
            </w:pPr>
          </w:p>
        </w:tc>
      </w:tr>
      <w:tr>
        <w:trPr>
          <w:trHeight w:val="168"/>
        </w:trPr>
        <w:tc>
          <w:tcPr>
            <w:tcW w:w="3340" w:type="dxa"/>
            <w:vAlign w:val="bottom"/>
          </w:tcPr>
          <w:p>
            <w:pPr>
              <w:ind w:left="280"/>
              <w:spacing w:after="0"/>
              <w:rPr>
                <w:sz w:val="20"/>
                <w:szCs w:val="20"/>
                <w:color w:val="auto"/>
              </w:rPr>
            </w:pPr>
            <w:r>
              <w:rPr>
                <w:rFonts w:ascii="Courier New" w:cs="Courier New" w:eastAsia="Courier New" w:hAnsi="Courier New"/>
                <w:sz w:val="12"/>
                <w:szCs w:val="12"/>
                <w:color w:val="auto"/>
                <w:w w:val="71"/>
              </w:rPr>
              <w:t>Income taxes receivable....................................</w:t>
            </w:r>
          </w:p>
        </w:tc>
        <w:tc>
          <w:tcPr>
            <w:tcW w:w="2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69.1</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340" w:type="dxa"/>
            <w:vAlign w:val="bottom"/>
          </w:tcPr>
          <w:p>
            <w:pPr>
              <w:ind w:left="280"/>
              <w:spacing w:after="0"/>
              <w:rPr>
                <w:sz w:val="20"/>
                <w:szCs w:val="20"/>
                <w:color w:val="auto"/>
              </w:rPr>
            </w:pPr>
            <w:r>
              <w:rPr>
                <w:rFonts w:ascii="Courier New" w:cs="Courier New" w:eastAsia="Courier New" w:hAnsi="Courier New"/>
                <w:sz w:val="12"/>
                <w:szCs w:val="12"/>
                <w:color w:val="auto"/>
                <w:w w:val="71"/>
              </w:rPr>
              <w:t>Other......................................................</w:t>
            </w:r>
          </w:p>
        </w:tc>
        <w:tc>
          <w:tcPr>
            <w:tcW w:w="2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17.6</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w:t>
            </w:r>
          </w:p>
        </w:tc>
        <w:tc>
          <w:tcPr>
            <w:tcW w:w="0" w:type="dxa"/>
            <w:vAlign w:val="bottom"/>
          </w:tcPr>
          <w:p>
            <w:pPr>
              <w:spacing w:after="0"/>
              <w:rPr>
                <w:sz w:val="1"/>
                <w:szCs w:val="1"/>
                <w:color w:val="auto"/>
              </w:rPr>
            </w:pPr>
          </w:p>
        </w:tc>
      </w:tr>
      <w:tr>
        <w:trPr>
          <w:trHeight w:val="168"/>
        </w:trPr>
        <w:tc>
          <w:tcPr>
            <w:tcW w:w="3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Allowance for returns and discounts</w:t>
            </w:r>
          </w:p>
        </w:tc>
        <w:tc>
          <w:tcPr>
            <w:tcW w:w="2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(18.5)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w:t>
            </w:r>
          </w:p>
        </w:tc>
        <w:tc>
          <w:tcPr>
            <w:tcW w:w="0" w:type="dxa"/>
            <w:vAlign w:val="bottom"/>
          </w:tcPr>
          <w:p>
            <w:pPr>
              <w:spacing w:after="0"/>
              <w:rPr>
                <w:sz w:val="1"/>
                <w:szCs w:val="1"/>
                <w:color w:val="auto"/>
              </w:rPr>
            </w:pPr>
          </w:p>
        </w:tc>
      </w:tr>
      <w:tr>
        <w:trPr>
          <w:trHeight w:val="168"/>
        </w:trPr>
        <w:tc>
          <w:tcPr>
            <w:tcW w:w="3340" w:type="dxa"/>
            <w:vAlign w:val="bottom"/>
          </w:tcPr>
          <w:p>
            <w:pPr>
              <w:ind w:left="280"/>
              <w:spacing w:after="0"/>
              <w:rPr>
                <w:sz w:val="20"/>
                <w:szCs w:val="20"/>
                <w:color w:val="auto"/>
              </w:rPr>
            </w:pPr>
            <w:r>
              <w:rPr>
                <w:rFonts w:ascii="Courier New" w:cs="Courier New" w:eastAsia="Courier New" w:hAnsi="Courier New"/>
                <w:sz w:val="12"/>
                <w:szCs w:val="12"/>
                <w:color w:val="auto"/>
                <w:w w:val="71"/>
              </w:rPr>
              <w:t>Allowance for doubtful accounts............................</w:t>
            </w:r>
          </w:p>
        </w:tc>
        <w:tc>
          <w:tcPr>
            <w:tcW w:w="2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w:t>
            </w:r>
          </w:p>
        </w:tc>
        <w:tc>
          <w:tcPr>
            <w:tcW w:w="0" w:type="dxa"/>
            <w:vAlign w:val="bottom"/>
          </w:tcPr>
          <w:p>
            <w:pPr>
              <w:spacing w:after="0"/>
              <w:rPr>
                <w:sz w:val="1"/>
                <w:szCs w:val="1"/>
                <w:color w:val="auto"/>
              </w:rPr>
            </w:pPr>
          </w:p>
        </w:tc>
      </w:tr>
      <w:tr>
        <w:trPr>
          <w:trHeight w:val="168"/>
        </w:trPr>
        <w:tc>
          <w:tcPr>
            <w:tcW w:w="3340" w:type="dxa"/>
            <w:vAlign w:val="bottom"/>
          </w:tcPr>
          <w:p>
            <w:pPr>
              <w:spacing w:after="0"/>
              <w:rPr>
                <w:sz w:val="14"/>
                <w:szCs w:val="14"/>
                <w:color w:val="auto"/>
              </w:rPr>
            </w:pPr>
          </w:p>
        </w:tc>
        <w:tc>
          <w:tcPr>
            <w:tcW w:w="2880" w:type="dxa"/>
            <w:vAlign w:val="bottom"/>
            <w:vMerge w:val="restart"/>
          </w:tcPr>
          <w:p>
            <w:pPr>
              <w:jc w:val="right"/>
              <w:ind w:right="107"/>
              <w:spacing w:after="0"/>
              <w:rPr>
                <w:sz w:val="20"/>
                <w:szCs w:val="20"/>
                <w:color w:val="auto"/>
              </w:rPr>
            </w:pPr>
            <w:r>
              <w:rPr>
                <w:rFonts w:ascii="Courier New" w:cs="Courier New" w:eastAsia="Courier New" w:hAnsi="Courier New"/>
                <w:sz w:val="29"/>
                <w:szCs w:val="29"/>
                <w:color w:val="auto"/>
                <w:vertAlign w:val="subscript"/>
              </w:rPr>
              <w:t>$</w:t>
            </w:r>
            <w:r>
              <w:rPr>
                <w:rFonts w:ascii="Courier New" w:cs="Courier New" w:eastAsia="Courier New" w:hAnsi="Courier New"/>
                <w:sz w:val="15"/>
                <w:szCs w:val="15"/>
                <w:color w:val="auto"/>
              </w:rPr>
              <w:t>------</w:t>
            </w:r>
            <w:r>
              <w:rPr>
                <w:rFonts w:ascii="Courier New" w:cs="Courier New" w:eastAsia="Courier New" w:hAnsi="Courier New"/>
                <w:sz w:val="29"/>
                <w:szCs w:val="29"/>
                <w:color w:val="auto"/>
                <w:vertAlign w:val="subscript"/>
              </w:rPr>
              <w:t>347.4</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340" w:type="dxa"/>
            <w:vAlign w:val="bottom"/>
          </w:tcPr>
          <w:p>
            <w:pPr>
              <w:spacing w:after="0"/>
              <w:rPr>
                <w:sz w:val="14"/>
                <w:szCs w:val="14"/>
                <w:color w:val="auto"/>
              </w:rPr>
            </w:pPr>
          </w:p>
        </w:tc>
        <w:tc>
          <w:tcPr>
            <w:tcW w:w="2880" w:type="dxa"/>
            <w:vAlign w:val="bottom"/>
            <w:vMerge w:val="continue"/>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$455.4</w:t>
            </w:r>
          </w:p>
        </w:tc>
        <w:tc>
          <w:tcPr>
            <w:tcW w:w="0" w:type="dxa"/>
            <w:vAlign w:val="bottom"/>
          </w:tcPr>
          <w:p>
            <w:pPr>
              <w:spacing w:after="0"/>
              <w:rPr>
                <w:sz w:val="1"/>
                <w:szCs w:val="1"/>
                <w:color w:val="auto"/>
              </w:rPr>
            </w:pPr>
          </w:p>
        </w:tc>
      </w:tr>
      <w:tr>
        <w:trPr>
          <w:trHeight w:val="245"/>
        </w:trPr>
        <w:tc>
          <w:tcPr>
            <w:tcW w:w="3340" w:type="dxa"/>
            <w:vAlign w:val="bottom"/>
          </w:tcPr>
          <w:p>
            <w:pPr>
              <w:spacing w:after="0"/>
              <w:rPr>
                <w:sz w:val="21"/>
                <w:szCs w:val="21"/>
                <w:color w:val="auto"/>
              </w:rPr>
            </w:pPr>
          </w:p>
        </w:tc>
        <w:tc>
          <w:tcPr>
            <w:tcW w:w="2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2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340" w:type="dxa"/>
            <w:vAlign w:val="bottom"/>
          </w:tcPr>
          <w:p>
            <w:pPr>
              <w:spacing w:after="0"/>
              <w:rPr>
                <w:sz w:val="24"/>
                <w:szCs w:val="24"/>
                <w:color w:val="auto"/>
              </w:rPr>
            </w:pPr>
          </w:p>
        </w:tc>
        <w:tc>
          <w:tcPr>
            <w:tcW w:w="2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8/29/96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8/31/95</w:t>
            </w:r>
          </w:p>
        </w:tc>
        <w:tc>
          <w:tcPr>
            <w:tcW w:w="0" w:type="dxa"/>
            <w:vAlign w:val="bottom"/>
          </w:tcPr>
          <w:p>
            <w:pPr>
              <w:spacing w:after="0"/>
              <w:rPr>
                <w:sz w:val="1"/>
                <w:szCs w:val="1"/>
                <w:color w:val="auto"/>
              </w:rPr>
            </w:pPr>
          </w:p>
        </w:tc>
      </w:tr>
      <w:tr>
        <w:trPr>
          <w:trHeight w:val="245"/>
        </w:trPr>
        <w:tc>
          <w:tcPr>
            <w:tcW w:w="3340" w:type="dxa"/>
            <w:vAlign w:val="bottom"/>
          </w:tcPr>
          <w:p>
            <w:pPr>
              <w:spacing w:after="0"/>
              <w:rPr>
                <w:sz w:val="21"/>
                <w:szCs w:val="21"/>
                <w:color w:val="auto"/>
              </w:rPr>
            </w:pPr>
          </w:p>
        </w:tc>
        <w:tc>
          <w:tcPr>
            <w:tcW w:w="2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340" w:type="dxa"/>
            <w:vAlign w:val="bottom"/>
          </w:tcPr>
          <w:p>
            <w:pPr>
              <w:ind w:left="280"/>
              <w:spacing w:after="0"/>
              <w:rPr>
                <w:sz w:val="20"/>
                <w:szCs w:val="20"/>
                <w:color w:val="auto"/>
              </w:rPr>
            </w:pPr>
            <w:r>
              <w:rPr>
                <w:rFonts w:ascii="Courier New" w:cs="Courier New" w:eastAsia="Courier New" w:hAnsi="Courier New"/>
                <w:sz w:val="12"/>
                <w:szCs w:val="12"/>
                <w:color w:val="auto"/>
                <w:w w:val="71"/>
              </w:rPr>
              <w:t>Finished goods.............................................</w:t>
            </w:r>
          </w:p>
        </w:tc>
        <w:tc>
          <w:tcPr>
            <w:tcW w:w="2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$ 54.3</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$ 17.8</w:t>
            </w:r>
          </w:p>
        </w:tc>
        <w:tc>
          <w:tcPr>
            <w:tcW w:w="0" w:type="dxa"/>
            <w:vAlign w:val="bottom"/>
          </w:tcPr>
          <w:p>
            <w:pPr>
              <w:spacing w:after="0"/>
              <w:rPr>
                <w:sz w:val="1"/>
                <w:szCs w:val="1"/>
                <w:color w:val="auto"/>
              </w:rPr>
            </w:pPr>
          </w:p>
        </w:tc>
      </w:tr>
      <w:tr>
        <w:trPr>
          <w:trHeight w:val="168"/>
        </w:trPr>
        <w:tc>
          <w:tcPr>
            <w:tcW w:w="3340" w:type="dxa"/>
            <w:vAlign w:val="bottom"/>
          </w:tcPr>
          <w:p>
            <w:pPr>
              <w:ind w:left="280"/>
              <w:spacing w:after="0"/>
              <w:rPr>
                <w:sz w:val="20"/>
                <w:szCs w:val="20"/>
                <w:color w:val="auto"/>
              </w:rPr>
            </w:pPr>
            <w:r>
              <w:rPr>
                <w:rFonts w:ascii="Courier New" w:cs="Courier New" w:eastAsia="Courier New" w:hAnsi="Courier New"/>
                <w:sz w:val="12"/>
                <w:szCs w:val="12"/>
                <w:color w:val="auto"/>
                <w:w w:val="71"/>
              </w:rPr>
              <w:t>Work in progress...........................................</w:t>
            </w:r>
          </w:p>
        </w:tc>
        <w:tc>
          <w:tcPr>
            <w:tcW w:w="2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112.8</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99.1</w:t>
            </w:r>
          </w:p>
        </w:tc>
        <w:tc>
          <w:tcPr>
            <w:tcW w:w="0" w:type="dxa"/>
            <w:vAlign w:val="bottom"/>
          </w:tcPr>
          <w:p>
            <w:pPr>
              <w:spacing w:after="0"/>
              <w:rPr>
                <w:sz w:val="1"/>
                <w:szCs w:val="1"/>
                <w:color w:val="auto"/>
              </w:rPr>
            </w:pPr>
          </w:p>
        </w:tc>
      </w:tr>
      <w:tr>
        <w:trPr>
          <w:trHeight w:val="168"/>
        </w:trPr>
        <w:tc>
          <w:tcPr>
            <w:tcW w:w="3340" w:type="dxa"/>
            <w:vAlign w:val="bottom"/>
          </w:tcPr>
          <w:p>
            <w:pPr>
              <w:ind w:left="280"/>
              <w:spacing w:after="0"/>
              <w:rPr>
                <w:sz w:val="20"/>
                <w:szCs w:val="20"/>
                <w:color w:val="auto"/>
              </w:rPr>
            </w:pPr>
            <w:r>
              <w:rPr>
                <w:rFonts w:ascii="Courier New" w:cs="Courier New" w:eastAsia="Courier New" w:hAnsi="Courier New"/>
                <w:sz w:val="12"/>
                <w:szCs w:val="12"/>
                <w:color w:val="auto"/>
                <w:w w:val="71"/>
              </w:rPr>
              <w:t>Raw materials and supplies.................................</w:t>
            </w:r>
          </w:p>
        </w:tc>
        <w:tc>
          <w:tcPr>
            <w:tcW w:w="2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84.3</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87.9</w:t>
            </w:r>
          </w:p>
        </w:tc>
        <w:tc>
          <w:tcPr>
            <w:tcW w:w="0" w:type="dxa"/>
            <w:vAlign w:val="bottom"/>
          </w:tcPr>
          <w:p>
            <w:pPr>
              <w:spacing w:after="0"/>
              <w:rPr>
                <w:sz w:val="1"/>
                <w:szCs w:val="1"/>
                <w:color w:val="auto"/>
              </w:rPr>
            </w:pPr>
          </w:p>
        </w:tc>
      </w:tr>
      <w:tr>
        <w:trPr>
          <w:trHeight w:val="168"/>
        </w:trPr>
        <w:tc>
          <w:tcPr>
            <w:tcW w:w="3340" w:type="dxa"/>
            <w:vAlign w:val="bottom"/>
          </w:tcPr>
          <w:p>
            <w:pPr>
              <w:spacing w:after="0"/>
              <w:rPr>
                <w:sz w:val="14"/>
                <w:szCs w:val="14"/>
                <w:color w:val="auto"/>
              </w:rPr>
            </w:pPr>
          </w:p>
        </w:tc>
        <w:tc>
          <w:tcPr>
            <w:tcW w:w="2880" w:type="dxa"/>
            <w:vAlign w:val="bottom"/>
            <w:vMerge w:val="restart"/>
          </w:tcPr>
          <w:p>
            <w:pPr>
              <w:jc w:val="right"/>
              <w:ind w:right="107"/>
              <w:spacing w:after="0"/>
              <w:rPr>
                <w:sz w:val="20"/>
                <w:szCs w:val="20"/>
                <w:color w:val="auto"/>
              </w:rPr>
            </w:pPr>
            <w:r>
              <w:rPr>
                <w:rFonts w:ascii="Courier New" w:cs="Courier New" w:eastAsia="Courier New" w:hAnsi="Courier New"/>
                <w:sz w:val="29"/>
                <w:szCs w:val="29"/>
                <w:color w:val="auto"/>
                <w:vertAlign w:val="subscript"/>
              </w:rPr>
              <w:t>$</w:t>
            </w:r>
            <w:r>
              <w:rPr>
                <w:rFonts w:ascii="Courier New" w:cs="Courier New" w:eastAsia="Courier New" w:hAnsi="Courier New"/>
                <w:sz w:val="15"/>
                <w:szCs w:val="15"/>
                <w:color w:val="auto"/>
              </w:rPr>
              <w:t>------</w:t>
            </w:r>
            <w:r>
              <w:rPr>
                <w:rFonts w:ascii="Courier New" w:cs="Courier New" w:eastAsia="Courier New" w:hAnsi="Courier New"/>
                <w:sz w:val="29"/>
                <w:szCs w:val="29"/>
                <w:color w:val="auto"/>
                <w:vertAlign w:val="subscript"/>
              </w:rPr>
              <w:t>251.4</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340" w:type="dxa"/>
            <w:vAlign w:val="bottom"/>
          </w:tcPr>
          <w:p>
            <w:pPr>
              <w:spacing w:after="0"/>
              <w:rPr>
                <w:sz w:val="14"/>
                <w:szCs w:val="14"/>
                <w:color w:val="auto"/>
              </w:rPr>
            </w:pPr>
          </w:p>
        </w:tc>
        <w:tc>
          <w:tcPr>
            <w:tcW w:w="2880" w:type="dxa"/>
            <w:vAlign w:val="bottom"/>
            <w:vMerge w:val="continue"/>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$204.8</w:t>
            </w:r>
          </w:p>
        </w:tc>
        <w:tc>
          <w:tcPr>
            <w:tcW w:w="0" w:type="dxa"/>
            <w:vAlign w:val="bottom"/>
          </w:tcPr>
          <w:p>
            <w:pPr>
              <w:spacing w:after="0"/>
              <w:rPr>
                <w:sz w:val="1"/>
                <w:szCs w:val="1"/>
                <w:color w:val="auto"/>
              </w:rPr>
            </w:pPr>
          </w:p>
        </w:tc>
      </w:tr>
      <w:tr>
        <w:trPr>
          <w:trHeight w:val="245"/>
        </w:trPr>
        <w:tc>
          <w:tcPr>
            <w:tcW w:w="3340" w:type="dxa"/>
            <w:vAlign w:val="bottom"/>
          </w:tcPr>
          <w:p>
            <w:pPr>
              <w:spacing w:after="0"/>
              <w:rPr>
                <w:sz w:val="21"/>
                <w:szCs w:val="21"/>
                <w:color w:val="auto"/>
              </w:rPr>
            </w:pPr>
          </w:p>
        </w:tc>
        <w:tc>
          <w:tcPr>
            <w:tcW w:w="2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5"/>
        </w:trPr>
        <w:tc>
          <w:tcPr>
            <w:tcW w:w="3340" w:type="dxa"/>
            <w:vAlign w:val="bottom"/>
          </w:tcPr>
          <w:p>
            <w:pPr>
              <w:spacing w:after="0"/>
              <w:rPr>
                <w:sz w:val="24"/>
                <w:szCs w:val="24"/>
                <w:color w:val="auto"/>
              </w:rPr>
            </w:pPr>
          </w:p>
        </w:tc>
        <w:tc>
          <w:tcPr>
            <w:tcW w:w="2880" w:type="dxa"/>
            <w:vAlign w:val="bottom"/>
          </w:tcPr>
          <w:p>
            <w:pPr>
              <w:jc w:val="right"/>
              <w:ind w:right="2647"/>
              <w:spacing w:after="0"/>
              <w:rPr>
                <w:sz w:val="20"/>
                <w:szCs w:val="20"/>
                <w:color w:val="auto"/>
              </w:rPr>
            </w:pPr>
            <w:r>
              <w:rPr>
                <w:rFonts w:ascii="Courier New" w:cs="Courier New" w:eastAsia="Courier New" w:hAnsi="Courier New"/>
                <w:sz w:val="15"/>
                <w:szCs w:val="15"/>
                <w:color w:val="auto"/>
                <w:w w:val="77"/>
              </w:rPr>
              <w:t>34</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98" w:right="1440" w:bottom="1440" w:gutter="0" w:footer="0" w:header="0"/>
        </w:sectPr>
      </w:pPr>
    </w:p>
    <w:bookmarkStart w:id="35" w:name="page36"/>
    <w:bookmarkEnd w:id="35"/>
    <w:p>
      <w:pPr>
        <w:jc w:val="center"/>
        <w:ind w:right="3319"/>
        <w:spacing w:after="0"/>
        <w:rPr>
          <w:sz w:val="20"/>
          <w:szCs w:val="20"/>
          <w:color w:val="auto"/>
        </w:rPr>
      </w:pPr>
      <w:r>
        <w:rPr>
          <w:rFonts w:ascii="Courier New" w:cs="Courier New" w:eastAsia="Courier New" w:hAnsi="Courier New"/>
          <w:sz w:val="15"/>
          <w:szCs w:val="15"/>
          <w:color w:val="auto"/>
        </w:rPr>
        <w:t>MICRON TECHNOLOGY, INC.</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AND PROCESS TECHNOLOGY</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Amortization of capitalized product and process technology costs was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$13.6 million in 1996; $10.3 million in 1995; and $40.9 million in 1994.</w:t>
      </w:r>
    </w:p>
    <w:p>
      <w:pPr>
        <w:spacing w:after="0" w:line="237" w:lineRule="auto"/>
        <w:rPr>
          <w:sz w:val="20"/>
          <w:szCs w:val="20"/>
          <w:color w:val="auto"/>
        </w:rPr>
      </w:pPr>
      <w:r>
        <w:rPr>
          <w:rFonts w:ascii="Courier New" w:cs="Courier New" w:eastAsia="Courier New" w:hAnsi="Courier New"/>
          <w:sz w:val="15"/>
          <w:szCs w:val="15"/>
          <w:color w:val="auto"/>
        </w:rPr>
        <w:t>Accumulated amortization was $124.3 million and $110.7 million as of August</w:t>
      </w:r>
    </w:p>
    <w:p>
      <w:pPr>
        <w:spacing w:after="0"/>
        <w:rPr>
          <w:sz w:val="20"/>
          <w:szCs w:val="20"/>
          <w:color w:val="auto"/>
        </w:rPr>
      </w:pPr>
      <w:r>
        <w:rPr>
          <w:rFonts w:ascii="Courier New" w:cs="Courier New" w:eastAsia="Courier New" w:hAnsi="Courier New"/>
          <w:sz w:val="15"/>
          <w:szCs w:val="15"/>
          <w:color w:val="auto"/>
        </w:rPr>
        <w:t>29, 1996, and August 31, 1995, respectively.</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PLANT AND EQUIPMENT</w:t>
      </w:r>
    </w:p>
    <w:p>
      <w:pPr>
        <w:spacing w:after="0" w:line="200" w:lineRule="exact"/>
        <w:rPr>
          <w:sz w:val="20"/>
          <w:szCs w:val="20"/>
          <w:color w:val="auto"/>
        </w:rPr>
      </w:pPr>
    </w:p>
    <w:p>
      <w:pPr>
        <w:spacing w:after="0" w:line="301"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8/29/96</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8/31/95</w:t>
            </w:r>
          </w:p>
        </w:tc>
        <w:tc>
          <w:tcPr>
            <w:tcW w:w="0" w:type="dxa"/>
            <w:vAlign w:val="bottom"/>
          </w:tcPr>
          <w:p>
            <w:pPr>
              <w:spacing w:after="0"/>
              <w:rPr>
                <w:sz w:val="1"/>
                <w:szCs w:val="1"/>
                <w:color w:val="auto"/>
              </w:rPr>
            </w:pPr>
          </w:p>
        </w:tc>
      </w:tr>
      <w:tr>
        <w:trPr>
          <w:trHeight w:val="245"/>
        </w:trPr>
        <w:tc>
          <w:tcPr>
            <w:tcW w:w="5020" w:type="dxa"/>
            <w:vAlign w:val="bottom"/>
          </w:tcPr>
          <w:p>
            <w:pPr>
              <w:spacing w:after="0"/>
              <w:rPr>
                <w:sz w:val="21"/>
                <w:szCs w:val="21"/>
                <w:color w:val="auto"/>
              </w:rPr>
            </w:pP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9"/>
        </w:trPr>
        <w:tc>
          <w:tcPr>
            <w:tcW w:w="5020" w:type="dxa"/>
            <w:vAlign w:val="bottom"/>
          </w:tcPr>
          <w:p>
            <w:pPr>
              <w:spacing w:after="0"/>
              <w:rPr>
                <w:sz w:val="20"/>
                <w:szCs w:val="20"/>
                <w:color w:val="auto"/>
              </w:rPr>
            </w:pPr>
            <w:r>
              <w:rPr>
                <w:rFonts w:ascii="Courier New" w:cs="Courier New" w:eastAsia="Courier New" w:hAnsi="Courier New"/>
                <w:sz w:val="15"/>
                <w:szCs w:val="15"/>
                <w:color w:val="auto"/>
                <w:w w:val="97"/>
              </w:rPr>
              <w:t>Land.....................................................</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37.3</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   34.4</w:t>
            </w:r>
          </w:p>
        </w:tc>
        <w:tc>
          <w:tcPr>
            <w:tcW w:w="0" w:type="dxa"/>
            <w:vAlign w:val="bottom"/>
          </w:tcPr>
          <w:p>
            <w:pPr>
              <w:spacing w:after="0"/>
              <w:rPr>
                <w:sz w:val="1"/>
                <w:szCs w:val="1"/>
                <w:color w:val="auto"/>
              </w:rPr>
            </w:pPr>
          </w:p>
        </w:tc>
      </w:tr>
      <w:tr>
        <w:trPr>
          <w:trHeight w:val="168"/>
        </w:trPr>
        <w:tc>
          <w:tcPr>
            <w:tcW w:w="50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Buildings................................................</w:t>
            </w:r>
          </w:p>
        </w:tc>
        <w:tc>
          <w:tcPr>
            <w:tcW w:w="1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674.4</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392.0</w:t>
            </w:r>
          </w:p>
        </w:tc>
        <w:tc>
          <w:tcPr>
            <w:tcW w:w="0" w:type="dxa"/>
            <w:vAlign w:val="bottom"/>
          </w:tcPr>
          <w:p>
            <w:pPr>
              <w:spacing w:after="0"/>
              <w:rPr>
                <w:sz w:val="1"/>
                <w:szCs w:val="1"/>
                <w:color w:val="auto"/>
              </w:rPr>
            </w:pPr>
          </w:p>
        </w:tc>
      </w:tr>
      <w:tr>
        <w:trPr>
          <w:trHeight w:val="168"/>
        </w:trPr>
        <w:tc>
          <w:tcPr>
            <w:tcW w:w="50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Equipment................................................</w:t>
            </w:r>
          </w:p>
        </w:tc>
        <w:tc>
          <w:tcPr>
            <w:tcW w:w="1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2,073.4</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1,338.4</w:t>
            </w:r>
          </w:p>
        </w:tc>
        <w:tc>
          <w:tcPr>
            <w:tcW w:w="0" w:type="dxa"/>
            <w:vAlign w:val="bottom"/>
          </w:tcPr>
          <w:p>
            <w:pPr>
              <w:spacing w:after="0"/>
              <w:rPr>
                <w:sz w:val="1"/>
                <w:szCs w:val="1"/>
                <w:color w:val="auto"/>
              </w:rPr>
            </w:pPr>
          </w:p>
        </w:tc>
      </w:tr>
      <w:tr>
        <w:trPr>
          <w:trHeight w:val="168"/>
        </w:trPr>
        <w:tc>
          <w:tcPr>
            <w:tcW w:w="50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Construction in progress.................................</w:t>
            </w:r>
          </w:p>
        </w:tc>
        <w:tc>
          <w:tcPr>
            <w:tcW w:w="1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753.9</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259.2</w:t>
            </w:r>
          </w:p>
        </w:tc>
        <w:tc>
          <w:tcPr>
            <w:tcW w:w="0" w:type="dxa"/>
            <w:vAlign w:val="bottom"/>
          </w:tcPr>
          <w:p>
            <w:pPr>
              <w:spacing w:after="0"/>
              <w:rPr>
                <w:sz w:val="1"/>
                <w:szCs w:val="1"/>
                <w:color w:val="auto"/>
              </w:rPr>
            </w:pPr>
          </w:p>
        </w:tc>
      </w:tr>
      <w:tr>
        <w:trPr>
          <w:trHeight w:val="168"/>
        </w:trPr>
        <w:tc>
          <w:tcPr>
            <w:tcW w:w="502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2"/>
                <w:szCs w:val="2"/>
                <w:color w:val="auto"/>
                <w:w w:val="82"/>
              </w:rPr>
              <w:t>--------</w:t>
            </w: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1"/>
              </w:rPr>
              <w:t>3,539.0</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5020" w:type="dxa"/>
            <w:vAlign w:val="bottom"/>
            <w:vMerge w:val="restart"/>
          </w:tcPr>
          <w:p>
            <w:pPr>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2,024.0</w:t>
            </w:r>
          </w:p>
        </w:tc>
        <w:tc>
          <w:tcPr>
            <w:tcW w:w="0" w:type="dxa"/>
            <w:vAlign w:val="bottom"/>
          </w:tcPr>
          <w:p>
            <w:pPr>
              <w:spacing w:after="0"/>
              <w:rPr>
                <w:sz w:val="1"/>
                <w:szCs w:val="1"/>
                <w:color w:val="auto"/>
              </w:rPr>
            </w:pPr>
          </w:p>
        </w:tc>
      </w:tr>
      <w:tr>
        <w:trPr>
          <w:trHeight w:val="168"/>
        </w:trPr>
        <w:tc>
          <w:tcPr>
            <w:tcW w:w="5020" w:type="dxa"/>
            <w:vAlign w:val="bottom"/>
            <w:vMerge w:val="continue"/>
          </w:tcPr>
          <w:p>
            <w:pPr>
              <w:ind w:left="4020"/>
              <w:spacing w:after="0" w:line="14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(830.9)</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(638.4)</w:t>
            </w:r>
          </w:p>
        </w:tc>
        <w:tc>
          <w:tcPr>
            <w:tcW w:w="0" w:type="dxa"/>
            <w:vAlign w:val="bottom"/>
          </w:tcPr>
          <w:p>
            <w:pPr>
              <w:spacing w:after="0"/>
              <w:rPr>
                <w:sz w:val="1"/>
                <w:szCs w:val="1"/>
                <w:color w:val="auto"/>
              </w:rPr>
            </w:pPr>
          </w:p>
        </w:tc>
      </w:tr>
      <w:tr>
        <w:trPr>
          <w:trHeight w:val="168"/>
        </w:trPr>
        <w:tc>
          <w:tcPr>
            <w:tcW w:w="5020" w:type="dxa"/>
            <w:vAlign w:val="bottom"/>
          </w:tcPr>
          <w:p>
            <w:pPr>
              <w:spacing w:after="0"/>
              <w:rPr>
                <w:sz w:val="14"/>
                <w:szCs w:val="14"/>
                <w:color w:val="auto"/>
              </w:rPr>
            </w:pPr>
          </w:p>
        </w:tc>
        <w:tc>
          <w:tcPr>
            <w:tcW w:w="140" w:type="dxa"/>
            <w:vAlign w:val="bottom"/>
            <w:vMerge w:val="restart"/>
          </w:tcPr>
          <w:p>
            <w:pPr>
              <w:ind w:left="40"/>
              <w:spacing w:after="0"/>
              <w:rPr>
                <w:sz w:val="20"/>
                <w:szCs w:val="20"/>
                <w:color w:val="auto"/>
              </w:rPr>
            </w:pPr>
            <w:r>
              <w:rPr>
                <w:rFonts w:ascii="Courier New" w:cs="Courier New" w:eastAsia="Courier New" w:hAnsi="Courier New"/>
                <w:sz w:val="4"/>
                <w:szCs w:val="4"/>
                <w:color w:val="auto"/>
                <w:w w:val="70"/>
                <w:vertAlign w:val="subscript"/>
              </w:rPr>
              <w:t>$</w:t>
            </w:r>
            <w:r>
              <w:rPr>
                <w:rFonts w:ascii="Courier New" w:cs="Courier New" w:eastAsia="Courier New" w:hAnsi="Courier New"/>
                <w:sz w:val="2"/>
                <w:szCs w:val="2"/>
                <w:color w:val="auto"/>
                <w:w w:val="70"/>
              </w:rPr>
              <w:t>--------</w:t>
            </w: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1"/>
              </w:rPr>
              <w:t>2,708.1</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50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$1,385.6</w:t>
            </w:r>
          </w:p>
        </w:tc>
        <w:tc>
          <w:tcPr>
            <w:tcW w:w="0" w:type="dxa"/>
            <w:vAlign w:val="bottom"/>
          </w:tcPr>
          <w:p>
            <w:pPr>
              <w:spacing w:after="0"/>
              <w:rPr>
                <w:sz w:val="1"/>
                <w:szCs w:val="1"/>
                <w:color w:val="auto"/>
              </w:rPr>
            </w:pPr>
          </w:p>
        </w:tc>
      </w:tr>
      <w:tr>
        <w:trPr>
          <w:trHeight w:val="245"/>
        </w:trPr>
        <w:tc>
          <w:tcPr>
            <w:tcW w:w="5020" w:type="dxa"/>
            <w:vAlign w:val="bottom"/>
          </w:tcPr>
          <w:p>
            <w:pPr>
              <w:spacing w:after="0"/>
              <w:rPr>
                <w:sz w:val="21"/>
                <w:szCs w:val="21"/>
                <w:color w:val="auto"/>
              </w:rPr>
            </w:pP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As of August 29, 1996, property, plant and equipment included costs of</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$616.9 million of the Company's semiconductor memory manufacturing facility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Lehi, Utah, of which $577.8 million remained in construction in progress, and</w:t>
      </w:r>
    </w:p>
    <w:p>
      <w:pPr>
        <w:spacing w:after="0" w:line="237" w:lineRule="auto"/>
        <w:rPr>
          <w:sz w:val="20"/>
          <w:szCs w:val="20"/>
          <w:color w:val="auto"/>
        </w:rPr>
      </w:pPr>
      <w:r>
        <w:rPr>
          <w:rFonts w:ascii="Courier New" w:cs="Courier New" w:eastAsia="Courier New" w:hAnsi="Courier New"/>
          <w:sz w:val="15"/>
          <w:szCs w:val="15"/>
          <w:color w:val="auto"/>
        </w:rPr>
        <w:t>$13.4 million for the expansion of the Company's corporate administration</w:t>
      </w:r>
    </w:p>
    <w:p>
      <w:pPr>
        <w:spacing w:after="0" w:line="238" w:lineRule="auto"/>
        <w:rPr>
          <w:sz w:val="20"/>
          <w:szCs w:val="20"/>
          <w:color w:val="auto"/>
        </w:rPr>
      </w:pPr>
      <w:r>
        <w:rPr>
          <w:rFonts w:ascii="Courier New" w:cs="Courier New" w:eastAsia="Courier New" w:hAnsi="Courier New"/>
          <w:sz w:val="15"/>
          <w:szCs w:val="15"/>
          <w:color w:val="auto"/>
        </w:rPr>
        <w:t>building in Boise, Idaho. The completion of both projects is on indefinite</w:t>
      </w:r>
    </w:p>
    <w:p>
      <w:pPr>
        <w:spacing w:after="0"/>
        <w:rPr>
          <w:sz w:val="20"/>
          <w:szCs w:val="20"/>
          <w:color w:val="auto"/>
        </w:rPr>
      </w:pPr>
      <w:r>
        <w:rPr>
          <w:rFonts w:ascii="Courier New" w:cs="Courier New" w:eastAsia="Courier New" w:hAnsi="Courier New"/>
          <w:sz w:val="15"/>
          <w:szCs w:val="15"/>
          <w:color w:val="auto"/>
        </w:rPr>
        <w:t>hold.</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PAYABLE AND ACCRUED EXPENSES</w:t>
      </w:r>
    </w:p>
    <w:p>
      <w:pPr>
        <w:spacing w:after="0" w:line="200" w:lineRule="exact"/>
        <w:rPr>
          <w:sz w:val="20"/>
          <w:szCs w:val="20"/>
          <w:color w:val="auto"/>
        </w:rPr>
      </w:pPr>
    </w:p>
    <w:p>
      <w:pPr>
        <w:spacing w:after="0" w:line="301"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8"/>
              </w:rPr>
              <w:t>8/29/96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8/31/95</w:t>
            </w:r>
          </w:p>
        </w:tc>
        <w:tc>
          <w:tcPr>
            <w:tcW w:w="0" w:type="dxa"/>
            <w:vAlign w:val="bottom"/>
          </w:tcPr>
          <w:p>
            <w:pPr>
              <w:spacing w:after="0"/>
              <w:rPr>
                <w:sz w:val="1"/>
                <w:szCs w:val="1"/>
                <w:color w:val="auto"/>
              </w:rPr>
            </w:pPr>
          </w:p>
        </w:tc>
      </w:tr>
      <w:tr>
        <w:trPr>
          <w:trHeight w:val="245"/>
        </w:trPr>
        <w:tc>
          <w:tcPr>
            <w:tcW w:w="5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59"/>
        </w:trPr>
        <w:tc>
          <w:tcPr>
            <w:tcW w:w="5380" w:type="dxa"/>
            <w:vAlign w:val="bottom"/>
          </w:tcPr>
          <w:p>
            <w:pPr>
              <w:spacing w:after="0"/>
              <w:rPr>
                <w:sz w:val="20"/>
                <w:szCs w:val="20"/>
                <w:color w:val="auto"/>
              </w:rPr>
            </w:pPr>
            <w:r>
              <w:rPr>
                <w:rFonts w:ascii="Courier New" w:cs="Courier New" w:eastAsia="Courier New" w:hAnsi="Courier New"/>
                <w:sz w:val="15"/>
                <w:szCs w:val="15"/>
                <w:color w:val="auto"/>
                <w:w w:val="97"/>
              </w:rPr>
              <w:t>Accounts payable.............................................</w:t>
            </w:r>
          </w:p>
        </w:tc>
        <w:tc>
          <w:tcPr>
            <w:tcW w:w="700" w:type="dxa"/>
            <w:vAlign w:val="bottom"/>
          </w:tcPr>
          <w:p>
            <w:pPr>
              <w:jc w:val="right"/>
              <w:ind w:right="69"/>
              <w:spacing w:after="0"/>
              <w:rPr>
                <w:sz w:val="20"/>
                <w:szCs w:val="20"/>
                <w:color w:val="auto"/>
              </w:rPr>
            </w:pPr>
            <w:r>
              <w:rPr>
                <w:rFonts w:ascii="Courier New" w:cs="Courier New" w:eastAsia="Courier New" w:hAnsi="Courier New"/>
                <w:sz w:val="15"/>
                <w:szCs w:val="15"/>
                <w:color w:val="auto"/>
                <w:w w:val="99"/>
              </w:rPr>
              <w:t>$232.4</w:t>
            </w: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$193.2</w:t>
            </w:r>
          </w:p>
        </w:tc>
        <w:tc>
          <w:tcPr>
            <w:tcW w:w="0" w:type="dxa"/>
            <w:vAlign w:val="bottom"/>
          </w:tcPr>
          <w:p>
            <w:pPr>
              <w:spacing w:after="0"/>
              <w:rPr>
                <w:sz w:val="1"/>
                <w:szCs w:val="1"/>
                <w:color w:val="auto"/>
              </w:rPr>
            </w:pP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Salaries, wages and benefits.................................</w:t>
            </w:r>
          </w:p>
        </w:tc>
        <w:tc>
          <w:tcPr>
            <w:tcW w:w="700" w:type="dxa"/>
            <w:vAlign w:val="bottom"/>
          </w:tcPr>
          <w:p>
            <w:pPr>
              <w:jc w:val="right"/>
              <w:ind w:right="69"/>
              <w:spacing w:after="0" w:line="168" w:lineRule="exact"/>
              <w:rPr>
                <w:sz w:val="20"/>
                <w:szCs w:val="20"/>
                <w:color w:val="auto"/>
              </w:rPr>
            </w:pPr>
            <w:r>
              <w:rPr>
                <w:rFonts w:ascii="Courier New" w:cs="Courier New" w:eastAsia="Courier New" w:hAnsi="Courier New"/>
                <w:sz w:val="15"/>
                <w:szCs w:val="15"/>
                <w:color w:val="auto"/>
              </w:rPr>
              <w:t>67.3</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103.2</w:t>
            </w:r>
          </w:p>
        </w:tc>
        <w:tc>
          <w:tcPr>
            <w:tcW w:w="0" w:type="dxa"/>
            <w:vAlign w:val="bottom"/>
          </w:tcPr>
          <w:p>
            <w:pPr>
              <w:spacing w:after="0"/>
              <w:rPr>
                <w:sz w:val="1"/>
                <w:szCs w:val="1"/>
                <w:color w:val="auto"/>
              </w:rPr>
            </w:pP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Product and process technology payable.......................</w:t>
            </w:r>
          </w:p>
        </w:tc>
        <w:tc>
          <w:tcPr>
            <w:tcW w:w="700" w:type="dxa"/>
            <w:vAlign w:val="bottom"/>
          </w:tcPr>
          <w:p>
            <w:pPr>
              <w:jc w:val="right"/>
              <w:ind w:right="69"/>
              <w:spacing w:after="0" w:line="168" w:lineRule="exact"/>
              <w:rPr>
                <w:sz w:val="20"/>
                <w:szCs w:val="20"/>
                <w:color w:val="auto"/>
              </w:rPr>
            </w:pPr>
            <w:r>
              <w:rPr>
                <w:rFonts w:ascii="Courier New" w:cs="Courier New" w:eastAsia="Courier New" w:hAnsi="Courier New"/>
                <w:sz w:val="15"/>
                <w:szCs w:val="15"/>
                <w:color w:val="auto"/>
              </w:rPr>
              <w:t>39.7</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91.5</w:t>
            </w:r>
          </w:p>
        </w:tc>
        <w:tc>
          <w:tcPr>
            <w:tcW w:w="0" w:type="dxa"/>
            <w:vAlign w:val="bottom"/>
          </w:tcPr>
          <w:p>
            <w:pPr>
              <w:spacing w:after="0"/>
              <w:rPr>
                <w:sz w:val="1"/>
                <w:szCs w:val="1"/>
                <w:color w:val="auto"/>
              </w:rPr>
            </w:pP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Income taxes payable.........................................</w:t>
            </w:r>
          </w:p>
        </w:tc>
        <w:tc>
          <w:tcPr>
            <w:tcW w:w="700" w:type="dxa"/>
            <w:vAlign w:val="bottom"/>
          </w:tcPr>
          <w:p>
            <w:pPr>
              <w:jc w:val="right"/>
              <w:ind w:right="69"/>
              <w:spacing w:after="0" w:line="168" w:lineRule="exact"/>
              <w:rPr>
                <w:sz w:val="20"/>
                <w:szCs w:val="20"/>
                <w:color w:val="auto"/>
              </w:rPr>
            </w:pPr>
            <w:r>
              <w:rPr>
                <w:rFonts w:ascii="Courier New" w:cs="Courier New" w:eastAsia="Courier New" w:hAnsi="Courier New"/>
                <w:sz w:val="15"/>
                <w:szCs w:val="15"/>
                <w:color w:val="auto"/>
              </w:rPr>
              <w:t>22.7</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72.7</w:t>
            </w:r>
          </w:p>
        </w:tc>
        <w:tc>
          <w:tcPr>
            <w:tcW w:w="0" w:type="dxa"/>
            <w:vAlign w:val="bottom"/>
          </w:tcPr>
          <w:p>
            <w:pPr>
              <w:spacing w:after="0"/>
              <w:rPr>
                <w:sz w:val="1"/>
                <w:szCs w:val="1"/>
                <w:color w:val="auto"/>
              </w:rPr>
            </w:pP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Other........................................................</w:t>
            </w:r>
          </w:p>
        </w:tc>
        <w:tc>
          <w:tcPr>
            <w:tcW w:w="700" w:type="dxa"/>
            <w:vAlign w:val="bottom"/>
          </w:tcPr>
          <w:p>
            <w:pPr>
              <w:jc w:val="right"/>
              <w:ind w:right="69"/>
              <w:spacing w:after="0" w:line="168" w:lineRule="exact"/>
              <w:rPr>
                <w:sz w:val="20"/>
                <w:szCs w:val="20"/>
                <w:color w:val="auto"/>
              </w:rPr>
            </w:pPr>
            <w:r>
              <w:rPr>
                <w:rFonts w:ascii="Courier New" w:cs="Courier New" w:eastAsia="Courier New" w:hAnsi="Courier New"/>
                <w:sz w:val="15"/>
                <w:szCs w:val="15"/>
                <w:color w:val="auto"/>
              </w:rPr>
              <w:t>61.6</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41.7</w:t>
            </w:r>
          </w:p>
        </w:tc>
        <w:tc>
          <w:tcPr>
            <w:tcW w:w="0" w:type="dxa"/>
            <w:vAlign w:val="bottom"/>
          </w:tcPr>
          <w:p>
            <w:pPr>
              <w:spacing w:after="0"/>
              <w:rPr>
                <w:sz w:val="1"/>
                <w:szCs w:val="1"/>
                <w:color w:val="auto"/>
              </w:rPr>
            </w:pPr>
          </w:p>
        </w:tc>
      </w:tr>
      <w:tr>
        <w:trPr>
          <w:trHeight w:val="168"/>
        </w:trPr>
        <w:tc>
          <w:tcPr>
            <w:tcW w:w="5380" w:type="dxa"/>
            <w:vAlign w:val="bottom"/>
          </w:tcPr>
          <w:p>
            <w:pPr>
              <w:spacing w:after="0"/>
              <w:rPr>
                <w:sz w:val="14"/>
                <w:szCs w:val="14"/>
                <w:color w:val="auto"/>
              </w:rPr>
            </w:pPr>
          </w:p>
        </w:tc>
        <w:tc>
          <w:tcPr>
            <w:tcW w:w="700" w:type="dxa"/>
            <w:vAlign w:val="bottom"/>
            <w:vMerge w:val="restart"/>
          </w:tcPr>
          <w:p>
            <w:pPr>
              <w:jc w:val="right"/>
              <w:ind w:right="69"/>
              <w:spacing w:after="0"/>
              <w:rPr>
                <w:sz w:val="20"/>
                <w:szCs w:val="20"/>
                <w:color w:val="auto"/>
              </w:rPr>
            </w:pPr>
            <w:r>
              <w:rPr>
                <w:rFonts w:ascii="Courier New" w:cs="Courier New" w:eastAsia="Courier New" w:hAnsi="Courier New"/>
                <w:sz w:val="10"/>
                <w:szCs w:val="10"/>
                <w:color w:val="auto"/>
                <w:w w:val="70"/>
              </w:rPr>
              <w:t>$</w:t>
            </w:r>
            <w:r>
              <w:rPr>
                <w:rFonts w:ascii="Courier New" w:cs="Courier New" w:eastAsia="Courier New" w:hAnsi="Courier New"/>
                <w:sz w:val="17"/>
                <w:szCs w:val="17"/>
                <w:color w:val="auto"/>
                <w:w w:val="70"/>
                <w:vertAlign w:val="superscript"/>
              </w:rPr>
              <w:t>------</w:t>
            </w:r>
            <w:r>
              <w:rPr>
                <w:rFonts w:ascii="Courier New" w:cs="Courier New" w:eastAsia="Courier New" w:hAnsi="Courier New"/>
                <w:sz w:val="10"/>
                <w:szCs w:val="10"/>
                <w:color w:val="auto"/>
                <w:w w:val="70"/>
              </w:rPr>
              <w:t>423.7</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53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$502.3</w:t>
            </w:r>
          </w:p>
        </w:tc>
        <w:tc>
          <w:tcPr>
            <w:tcW w:w="0" w:type="dxa"/>
            <w:vAlign w:val="bottom"/>
          </w:tcPr>
          <w:p>
            <w:pPr>
              <w:spacing w:after="0"/>
              <w:rPr>
                <w:sz w:val="1"/>
                <w:szCs w:val="1"/>
                <w:color w:val="auto"/>
              </w:rPr>
            </w:pPr>
          </w:p>
        </w:tc>
      </w:tr>
      <w:tr>
        <w:trPr>
          <w:trHeight w:val="245"/>
        </w:trPr>
        <w:tc>
          <w:tcPr>
            <w:tcW w:w="5380" w:type="dxa"/>
            <w:vAlign w:val="bottom"/>
          </w:tcPr>
          <w:p>
            <w:pPr>
              <w:spacing w:after="0"/>
              <w:rPr>
                <w:sz w:val="21"/>
                <w:szCs w:val="21"/>
                <w:color w:val="auto"/>
              </w:rPr>
            </w:pPr>
          </w:p>
        </w:tc>
        <w:tc>
          <w:tcPr>
            <w:tcW w:w="700" w:type="dxa"/>
            <w:vAlign w:val="bottom"/>
          </w:tcPr>
          <w:p>
            <w:pPr>
              <w:jc w:val="right"/>
              <w:ind w:right="69"/>
              <w:spacing w:after="0"/>
              <w:rPr>
                <w:sz w:val="20"/>
                <w:szCs w:val="20"/>
                <w:color w:val="auto"/>
              </w:rPr>
            </w:pPr>
            <w:r>
              <w:rPr>
                <w:rFonts w:ascii="Courier New" w:cs="Courier New" w:eastAsia="Courier New" w:hAnsi="Courier New"/>
                <w:sz w:val="15"/>
                <w:szCs w:val="15"/>
                <w:color w:val="auto"/>
                <w:w w:val="99"/>
              </w:rPr>
              <w:t>======</w:t>
            </w: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SHORT-TERM DEBT</w:t>
      </w:r>
    </w:p>
    <w:p>
      <w:pPr>
        <w:spacing w:after="0" w:line="166" w:lineRule="exact"/>
        <w:rPr>
          <w:sz w:val="20"/>
          <w:szCs w:val="20"/>
          <w:color w:val="auto"/>
        </w:rPr>
      </w:pPr>
    </w:p>
    <w:p>
      <w:pPr>
        <w:ind w:right="3399" w:firstLine="175"/>
        <w:spacing w:after="0" w:line="252" w:lineRule="auto"/>
        <w:rPr>
          <w:sz w:val="20"/>
          <w:szCs w:val="20"/>
          <w:color w:val="auto"/>
        </w:rPr>
      </w:pPr>
      <w:r>
        <w:rPr>
          <w:rFonts w:ascii="Courier New" w:cs="Courier New" w:eastAsia="Courier New" w:hAnsi="Courier New"/>
          <w:sz w:val="15"/>
          <w:szCs w:val="15"/>
          <w:color w:val="auto"/>
        </w:rPr>
        <w:t>The Company has a revolving credit facility that provides for borrowings up to $400 million and expires in May 1999. As of August 29, 1996 the Company had borrowings of $90 million outstanding under the facility. The interest rate on borrowed funds is based on various pricing options and was 6.19% as of August 29, 1996. The agreement contains certain restrictive covenants and conditions including a borrowing base tied to the Company's accounts receivable, an Earnings Before Interest, Taxes, Depreciation and Amortization (EBITDA) covenant, and a maximum net loss covenant.</w:t>
      </w:r>
    </w:p>
    <w:p>
      <w:pPr>
        <w:spacing w:after="0" w:line="86" w:lineRule="exact"/>
        <w:rPr>
          <w:sz w:val="20"/>
          <w:szCs w:val="20"/>
          <w:color w:val="auto"/>
        </w:rPr>
      </w:pPr>
    </w:p>
    <w:p>
      <w:pPr>
        <w:ind w:right="3399" w:firstLine="175"/>
        <w:spacing w:after="0" w:line="264" w:lineRule="auto"/>
        <w:rPr>
          <w:sz w:val="20"/>
          <w:szCs w:val="20"/>
          <w:color w:val="auto"/>
        </w:rPr>
      </w:pPr>
      <w:r>
        <w:rPr>
          <w:rFonts w:ascii="Courier New" w:cs="Courier New" w:eastAsia="Courier New" w:hAnsi="Courier New"/>
          <w:sz w:val="15"/>
          <w:szCs w:val="15"/>
          <w:color w:val="auto"/>
        </w:rPr>
        <w:t>The Company's majority-owned subsidiary, Micron Electronics, Inc. (MEI), has an unsecured credit facility with financial institutions providing for borrowings of up to $40 million based on the amount of MEI's eligible receivables. As of August 29, 1996, MEI was eligible to borrow $40 million pursuant to the agreement but had no borrowings outstanding.</w:t>
      </w:r>
    </w:p>
    <w:p>
      <w:pPr>
        <w:spacing w:after="0" w:line="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598" w:right="1440" w:bottom="1440" w:gutter="0" w:footer="0" w:header="0"/>
        </w:sectPr>
      </w:pPr>
    </w:p>
    <w:bookmarkStart w:id="36" w:name="page37"/>
    <w:bookmarkEnd w:id="36"/>
    <w:p>
      <w:pPr>
        <w:jc w:val="center"/>
        <w:ind w:right="3319"/>
        <w:spacing w:after="0"/>
        <w:rPr>
          <w:sz w:val="20"/>
          <w:szCs w:val="20"/>
          <w:color w:val="auto"/>
        </w:rPr>
      </w:pPr>
      <w:r>
        <w:rPr>
          <w:rFonts w:ascii="Courier New" w:cs="Courier New" w:eastAsia="Courier New" w:hAnsi="Courier New"/>
          <w:sz w:val="15"/>
          <w:szCs w:val="15"/>
          <w:color w:val="auto"/>
        </w:rPr>
        <w:t>MICRON TECHNOLOGY, INC.</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5600" w:type="dxa"/>
            <w:vAlign w:val="bottom"/>
          </w:tcPr>
          <w:p>
            <w:pPr>
              <w:spacing w:after="0"/>
              <w:rPr>
                <w:sz w:val="24"/>
                <w:szCs w:val="24"/>
                <w:color w:val="auto"/>
              </w:rPr>
            </w:pPr>
          </w:p>
        </w:tc>
        <w:tc>
          <w:tcPr>
            <w:tcW w:w="800" w:type="dxa"/>
            <w:vAlign w:val="bottom"/>
          </w:tcPr>
          <w:p>
            <w:pPr>
              <w:jc w:val="right"/>
              <w:ind w:right="30"/>
              <w:spacing w:after="0"/>
              <w:rPr>
                <w:sz w:val="20"/>
                <w:szCs w:val="20"/>
                <w:color w:val="auto"/>
              </w:rPr>
            </w:pPr>
            <w:r>
              <w:rPr>
                <w:rFonts w:ascii="Courier New" w:cs="Courier New" w:eastAsia="Courier New" w:hAnsi="Courier New"/>
                <w:sz w:val="15"/>
                <w:szCs w:val="15"/>
                <w:color w:val="auto"/>
              </w:rPr>
              <w:t>8/29/96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8/31/95</w:t>
            </w:r>
          </w:p>
        </w:tc>
        <w:tc>
          <w:tcPr>
            <w:tcW w:w="0" w:type="dxa"/>
            <w:vAlign w:val="bottom"/>
          </w:tcPr>
          <w:p>
            <w:pPr>
              <w:spacing w:after="0"/>
              <w:rPr>
                <w:sz w:val="1"/>
                <w:szCs w:val="1"/>
                <w:color w:val="auto"/>
              </w:rPr>
            </w:pPr>
          </w:p>
        </w:tc>
      </w:tr>
      <w:tr>
        <w:trPr>
          <w:trHeight w:val="245"/>
        </w:trPr>
        <w:tc>
          <w:tcPr>
            <w:tcW w:w="56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600" w:type="dxa"/>
            <w:vAlign w:val="bottom"/>
          </w:tcPr>
          <w:p>
            <w:pPr>
              <w:spacing w:after="0"/>
              <w:rPr>
                <w:sz w:val="20"/>
                <w:szCs w:val="20"/>
                <w:color w:val="auto"/>
              </w:rPr>
            </w:pPr>
            <w:r>
              <w:rPr>
                <w:rFonts w:ascii="Courier New" w:cs="Courier New" w:eastAsia="Courier New" w:hAnsi="Courier New"/>
                <w:sz w:val="15"/>
                <w:szCs w:val="15"/>
                <w:color w:val="auto"/>
              </w:rPr>
              <w:t>Notes payable in periodic installments through July 2015,</w:t>
            </w:r>
          </w:p>
        </w:tc>
        <w:tc>
          <w:tcPr>
            <w:tcW w:w="800" w:type="dxa"/>
            <w:vAlign w:val="bottom"/>
            <w:vMerge w:val="restart"/>
          </w:tcPr>
          <w:p>
            <w:pPr>
              <w:jc w:val="right"/>
              <w:ind w:right="110"/>
              <w:spacing w:after="0"/>
              <w:rPr>
                <w:sz w:val="20"/>
                <w:szCs w:val="20"/>
                <w:color w:val="auto"/>
              </w:rPr>
            </w:pPr>
            <w:r>
              <w:rPr>
                <w:rFonts w:ascii="Courier New" w:cs="Courier New" w:eastAsia="Courier New" w:hAnsi="Courier New"/>
                <w:sz w:val="15"/>
                <w:szCs w:val="15"/>
                <w:color w:val="auto"/>
              </w:rPr>
              <w:t>$322.0</w:t>
            </w:r>
          </w:p>
        </w:tc>
        <w:tc>
          <w:tcPr>
            <w:tcW w:w="7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$ 89.3</w:t>
            </w:r>
          </w:p>
        </w:tc>
        <w:tc>
          <w:tcPr>
            <w:tcW w:w="0" w:type="dxa"/>
            <w:vAlign w:val="bottom"/>
          </w:tcPr>
          <w:p>
            <w:pPr>
              <w:spacing w:after="0"/>
              <w:rPr>
                <w:sz w:val="1"/>
                <w:szCs w:val="1"/>
                <w:color w:val="auto"/>
              </w:rPr>
            </w:pPr>
          </w:p>
        </w:tc>
      </w:tr>
      <w:tr>
        <w:trPr>
          <w:trHeight w:val="168"/>
        </w:trPr>
        <w:tc>
          <w:tcPr>
            <w:tcW w:w="5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weighted average interest rate 7.28% and 6.82%, respectively..</w:t>
            </w: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Capitalized lease obligations payable in monthly installments</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through August 2002, weighted average interest rate of 7.72%</w:t>
            </w:r>
          </w:p>
        </w:tc>
        <w:tc>
          <w:tcPr>
            <w:tcW w:w="800" w:type="dxa"/>
            <w:vAlign w:val="bottom"/>
            <w:vMerge w:val="restart"/>
          </w:tcPr>
          <w:p>
            <w:pPr>
              <w:jc w:val="right"/>
              <w:ind w:right="110"/>
              <w:spacing w:after="0"/>
              <w:rPr>
                <w:sz w:val="20"/>
                <w:szCs w:val="20"/>
                <w:color w:val="auto"/>
              </w:rPr>
            </w:pPr>
            <w:r>
              <w:rPr>
                <w:rFonts w:ascii="Courier New" w:cs="Courier New" w:eastAsia="Courier New" w:hAnsi="Courier New"/>
                <w:sz w:val="15"/>
                <w:szCs w:val="15"/>
                <w:color w:val="auto"/>
              </w:rPr>
              <w:t>42.8</w:t>
            </w:r>
          </w:p>
        </w:tc>
        <w:tc>
          <w:tcPr>
            <w:tcW w:w="7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8.8</w:t>
            </w:r>
          </w:p>
        </w:tc>
        <w:tc>
          <w:tcPr>
            <w:tcW w:w="0" w:type="dxa"/>
            <w:vAlign w:val="bottom"/>
          </w:tcPr>
          <w:p>
            <w:pPr>
              <w:spacing w:after="0"/>
              <w:rPr>
                <w:sz w:val="1"/>
                <w:szCs w:val="1"/>
                <w:color w:val="auto"/>
              </w:rPr>
            </w:pPr>
          </w:p>
        </w:tc>
      </w:tr>
      <w:tr>
        <w:trPr>
          <w:trHeight w:val="168"/>
        </w:trPr>
        <w:tc>
          <w:tcPr>
            <w:tcW w:w="5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and 8.94%, respectively.......................................</w:t>
            </w: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bearing obligations, $3 million due October 1997</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and $20.5 million due December 1997, weighted average imputed</w:t>
            </w:r>
          </w:p>
        </w:tc>
        <w:tc>
          <w:tcPr>
            <w:tcW w:w="800" w:type="dxa"/>
            <w:vAlign w:val="bottom"/>
            <w:vMerge w:val="restart"/>
          </w:tcPr>
          <w:p>
            <w:pPr>
              <w:jc w:val="right"/>
              <w:ind w:right="110"/>
              <w:spacing w:after="0"/>
              <w:rPr>
                <w:sz w:val="20"/>
                <w:szCs w:val="20"/>
                <w:color w:val="auto"/>
              </w:rPr>
            </w:pPr>
            <w:r>
              <w:rPr>
                <w:rFonts w:ascii="Courier New" w:cs="Courier New" w:eastAsia="Courier New" w:hAnsi="Courier New"/>
                <w:sz w:val="15"/>
                <w:szCs w:val="15"/>
                <w:color w:val="auto"/>
              </w:rPr>
              <w:t>21.6</w:t>
            </w:r>
          </w:p>
        </w:tc>
        <w:tc>
          <w:tcPr>
            <w:tcW w:w="7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20.0</w:t>
            </w:r>
          </w:p>
        </w:tc>
        <w:tc>
          <w:tcPr>
            <w:tcW w:w="0" w:type="dxa"/>
            <w:vAlign w:val="bottom"/>
          </w:tcPr>
          <w:p>
            <w:pPr>
              <w:spacing w:after="0"/>
              <w:rPr>
                <w:sz w:val="1"/>
                <w:szCs w:val="1"/>
                <w:color w:val="auto"/>
              </w:rPr>
            </w:pPr>
          </w:p>
        </w:tc>
      </w:tr>
      <w:tr>
        <w:trPr>
          <w:trHeight w:val="168"/>
        </w:trPr>
        <w:tc>
          <w:tcPr>
            <w:tcW w:w="5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interest rate of 7.17%........................................</w:t>
            </w: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bearing obligation, $19.8 million retired in May</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1996 by an offset against accounts receivable, imputed</w:t>
            </w:r>
          </w:p>
        </w:tc>
        <w:tc>
          <w:tcPr>
            <w:tcW w:w="800" w:type="dxa"/>
            <w:vAlign w:val="bottom"/>
            <w:vMerge w:val="restart"/>
          </w:tcPr>
          <w:p>
            <w:pPr>
              <w:jc w:val="right"/>
              <w:ind w:right="190"/>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17.8</w:t>
            </w:r>
          </w:p>
        </w:tc>
        <w:tc>
          <w:tcPr>
            <w:tcW w:w="0" w:type="dxa"/>
            <w:vAlign w:val="bottom"/>
          </w:tcPr>
          <w:p>
            <w:pPr>
              <w:spacing w:after="0"/>
              <w:rPr>
                <w:sz w:val="1"/>
                <w:szCs w:val="1"/>
                <w:color w:val="auto"/>
              </w:rPr>
            </w:pPr>
          </w:p>
        </w:tc>
      </w:tr>
      <w:tr>
        <w:trPr>
          <w:trHeight w:val="168"/>
        </w:trPr>
        <w:tc>
          <w:tcPr>
            <w:tcW w:w="5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interest rate of 6.50%........................................</w:t>
            </w: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payable, due at maturity, ranging from December 1997 to</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June 1998, weighted average interest rate of 5.30% and 5.50%,</w:t>
            </w:r>
          </w:p>
        </w:tc>
        <w:tc>
          <w:tcPr>
            <w:tcW w:w="800" w:type="dxa"/>
            <w:vAlign w:val="bottom"/>
            <w:vMerge w:val="restart"/>
          </w:tcPr>
          <w:p>
            <w:pPr>
              <w:jc w:val="right"/>
              <w:ind w:right="110"/>
              <w:spacing w:after="0"/>
              <w:rPr>
                <w:sz w:val="20"/>
                <w:szCs w:val="20"/>
                <w:color w:val="auto"/>
              </w:rPr>
            </w:pPr>
            <w:r>
              <w:rPr>
                <w:rFonts w:ascii="Courier New" w:cs="Courier New" w:eastAsia="Courier New" w:hAnsi="Courier New"/>
                <w:sz w:val="15"/>
                <w:szCs w:val="15"/>
                <w:color w:val="auto"/>
              </w:rPr>
              <w:t>3.0</w:t>
            </w:r>
          </w:p>
        </w:tc>
        <w:tc>
          <w:tcPr>
            <w:tcW w:w="7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15.0</w:t>
            </w:r>
          </w:p>
        </w:tc>
        <w:tc>
          <w:tcPr>
            <w:tcW w:w="0" w:type="dxa"/>
            <w:vAlign w:val="bottom"/>
          </w:tcPr>
          <w:p>
            <w:pPr>
              <w:spacing w:after="0"/>
              <w:rPr>
                <w:sz w:val="1"/>
                <w:szCs w:val="1"/>
                <w:color w:val="auto"/>
              </w:rPr>
            </w:pPr>
          </w:p>
        </w:tc>
      </w:tr>
      <w:tr>
        <w:trPr>
          <w:trHeight w:val="168"/>
        </w:trPr>
        <w:tc>
          <w:tcPr>
            <w:tcW w:w="5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respectively..................................................</w:t>
            </w: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bearing obligation, $0.5 million due in December</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1998, $4.5 million retired in July 1996 by cash payment and an</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offset against accounts receivable, imputed interest rate of</w:t>
            </w:r>
          </w:p>
        </w:tc>
        <w:tc>
          <w:tcPr>
            <w:tcW w:w="800" w:type="dxa"/>
            <w:vAlign w:val="bottom"/>
            <w:vMerge w:val="restart"/>
          </w:tcPr>
          <w:p>
            <w:pPr>
              <w:jc w:val="right"/>
              <w:ind w:right="110"/>
              <w:spacing w:after="0"/>
              <w:rPr>
                <w:sz w:val="20"/>
                <w:szCs w:val="20"/>
                <w:color w:val="auto"/>
              </w:rPr>
            </w:pPr>
            <w:r>
              <w:rPr>
                <w:rFonts w:ascii="Courier New" w:cs="Courier New" w:eastAsia="Courier New" w:hAnsi="Courier New"/>
                <w:sz w:val="15"/>
                <w:szCs w:val="15"/>
                <w:color w:val="auto"/>
              </w:rPr>
              <w:t>0.4</w:t>
            </w:r>
          </w:p>
        </w:tc>
        <w:tc>
          <w:tcPr>
            <w:tcW w:w="7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r>
        <w:trPr>
          <w:trHeight w:val="168"/>
        </w:trPr>
        <w:tc>
          <w:tcPr>
            <w:tcW w:w="5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6.25% and stated interest rate of 5.44%, respectively.........</w:t>
            </w: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00" w:type="dxa"/>
            <w:vAlign w:val="bottom"/>
          </w:tcPr>
          <w:p>
            <w:pPr>
              <w:spacing w:after="0"/>
              <w:rPr>
                <w:sz w:val="14"/>
                <w:szCs w:val="14"/>
                <w:color w:val="auto"/>
              </w:rPr>
            </w:pPr>
          </w:p>
        </w:tc>
        <w:tc>
          <w:tcPr>
            <w:tcW w:w="800" w:type="dxa"/>
            <w:vAlign w:val="bottom"/>
            <w:vMerge w:val="restart"/>
          </w:tcPr>
          <w:p>
            <w:pPr>
              <w:jc w:val="right"/>
              <w:ind w:right="110"/>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1"/>
                <w:szCs w:val="21"/>
                <w:color w:val="auto"/>
                <w:w w:val="70"/>
                <w:vertAlign w:val="subscript"/>
              </w:rPr>
              <w:t>389.8</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60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Less current portion...........................................</w:t>
            </w:r>
          </w:p>
        </w:tc>
        <w:tc>
          <w:tcPr>
            <w:tcW w:w="800" w:type="dxa"/>
            <w:vAlign w:val="bottom"/>
            <w:vMerge w:val="continue"/>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155.9</w:t>
            </w:r>
          </w:p>
        </w:tc>
        <w:tc>
          <w:tcPr>
            <w:tcW w:w="0" w:type="dxa"/>
            <w:vAlign w:val="bottom"/>
          </w:tcPr>
          <w:p>
            <w:pPr>
              <w:spacing w:after="0"/>
              <w:rPr>
                <w:sz w:val="1"/>
                <w:szCs w:val="1"/>
                <w:color w:val="auto"/>
              </w:rPr>
            </w:pPr>
          </w:p>
        </w:tc>
      </w:tr>
      <w:tr>
        <w:trPr>
          <w:trHeight w:val="168"/>
        </w:trPr>
        <w:tc>
          <w:tcPr>
            <w:tcW w:w="5600" w:type="dxa"/>
            <w:vAlign w:val="bottom"/>
            <w:vMerge w:val="continue"/>
          </w:tcPr>
          <w:p>
            <w:pPr>
              <w:spacing w:after="0"/>
              <w:rPr>
                <w:sz w:val="14"/>
                <w:szCs w:val="14"/>
                <w:color w:val="auto"/>
              </w:rPr>
            </w:pPr>
          </w:p>
        </w:tc>
        <w:tc>
          <w:tcPr>
            <w:tcW w:w="800" w:type="dxa"/>
            <w:vAlign w:val="bottom"/>
          </w:tcPr>
          <w:p>
            <w:pPr>
              <w:jc w:val="right"/>
              <w:ind w:right="30"/>
              <w:spacing w:after="0" w:line="168" w:lineRule="exact"/>
              <w:rPr>
                <w:sz w:val="20"/>
                <w:szCs w:val="20"/>
                <w:color w:val="auto"/>
              </w:rPr>
            </w:pPr>
            <w:r>
              <w:rPr>
                <w:rFonts w:ascii="Courier New" w:cs="Courier New" w:eastAsia="Courier New" w:hAnsi="Courier New"/>
                <w:sz w:val="15"/>
                <w:szCs w:val="15"/>
                <w:color w:val="auto"/>
              </w:rPr>
              <w:t>(75.2)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w:t>
            </w:r>
          </w:p>
        </w:tc>
        <w:tc>
          <w:tcPr>
            <w:tcW w:w="0" w:type="dxa"/>
            <w:vAlign w:val="bottom"/>
          </w:tcPr>
          <w:p>
            <w:pPr>
              <w:spacing w:after="0"/>
              <w:rPr>
                <w:sz w:val="1"/>
                <w:szCs w:val="1"/>
                <w:color w:val="auto"/>
              </w:rPr>
            </w:pPr>
          </w:p>
        </w:tc>
      </w:tr>
      <w:tr>
        <w:trPr>
          <w:trHeight w:val="168"/>
        </w:trPr>
        <w:tc>
          <w:tcPr>
            <w:tcW w:w="5600" w:type="dxa"/>
            <w:vAlign w:val="bottom"/>
          </w:tcPr>
          <w:p>
            <w:pPr>
              <w:spacing w:after="0"/>
              <w:rPr>
                <w:sz w:val="14"/>
                <w:szCs w:val="14"/>
                <w:color w:val="auto"/>
              </w:rPr>
            </w:pPr>
          </w:p>
        </w:tc>
        <w:tc>
          <w:tcPr>
            <w:tcW w:w="800" w:type="dxa"/>
            <w:vAlign w:val="bottom"/>
            <w:vMerge w:val="restart"/>
          </w:tcPr>
          <w:p>
            <w:pPr>
              <w:jc w:val="right"/>
              <w:ind w:right="110"/>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314.6</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6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$129.4</w:t>
            </w:r>
          </w:p>
        </w:tc>
        <w:tc>
          <w:tcPr>
            <w:tcW w:w="0" w:type="dxa"/>
            <w:vAlign w:val="bottom"/>
          </w:tcPr>
          <w:p>
            <w:pPr>
              <w:spacing w:after="0"/>
              <w:rPr>
                <w:sz w:val="1"/>
                <w:szCs w:val="1"/>
                <w:color w:val="auto"/>
              </w:rPr>
            </w:pPr>
          </w:p>
        </w:tc>
      </w:tr>
      <w:tr>
        <w:trPr>
          <w:trHeight w:val="245"/>
        </w:trPr>
        <w:tc>
          <w:tcPr>
            <w:tcW w:w="5600" w:type="dxa"/>
            <w:vAlign w:val="bottom"/>
          </w:tcPr>
          <w:p>
            <w:pPr>
              <w:spacing w:after="0"/>
              <w:rPr>
                <w:sz w:val="21"/>
                <w:szCs w:val="21"/>
                <w:color w:val="auto"/>
              </w:rPr>
            </w:pPr>
          </w:p>
        </w:tc>
        <w:tc>
          <w:tcPr>
            <w:tcW w:w="80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399" w:firstLine="175"/>
        <w:spacing w:after="0" w:line="246" w:lineRule="auto"/>
        <w:rPr>
          <w:sz w:val="20"/>
          <w:szCs w:val="20"/>
          <w:color w:val="auto"/>
        </w:rPr>
      </w:pPr>
      <w:r>
        <w:rPr>
          <w:rFonts w:ascii="Courier New" w:cs="Courier New" w:eastAsia="Courier New" w:hAnsi="Courier New"/>
          <w:sz w:val="15"/>
          <w:szCs w:val="15"/>
          <w:color w:val="auto"/>
        </w:rPr>
        <w:t>Certain notes payable are collateralized by plant and equipment with a total cost of approximately $351.5 million and accumulated depreciation of approximately $89.1 million as of August 29, 1996. Equipment under capital leases, and the accumulated depreciation thereon, were approximately</w:t>
      </w:r>
    </w:p>
    <w:p>
      <w:pPr>
        <w:spacing w:after="0" w:line="2" w:lineRule="exact"/>
        <w:rPr>
          <w:sz w:val="20"/>
          <w:szCs w:val="20"/>
          <w:color w:val="auto"/>
        </w:rPr>
      </w:pPr>
    </w:p>
    <w:p>
      <w:pPr>
        <w:ind w:right="3839"/>
        <w:spacing w:after="0" w:line="272" w:lineRule="auto"/>
        <w:rPr>
          <w:sz w:val="20"/>
          <w:szCs w:val="20"/>
          <w:color w:val="auto"/>
        </w:rPr>
      </w:pPr>
      <w:r>
        <w:rPr>
          <w:rFonts w:ascii="Courier New" w:cs="Courier New" w:eastAsia="Courier New" w:hAnsi="Courier New"/>
          <w:sz w:val="15"/>
          <w:szCs w:val="15"/>
          <w:color w:val="auto"/>
        </w:rPr>
        <w:t>$53.3 million and $14.3 million, respectively, as of August 29, 1996, and $16.7 million and $10.7 million, respectively, as of August 31, 1995. Maturities of long-term debt are as follows:</w:t>
      </w:r>
    </w:p>
    <w:p>
      <w:pPr>
        <w:spacing w:after="0" w:line="200" w:lineRule="exact"/>
        <w:rPr>
          <w:sz w:val="20"/>
          <w:szCs w:val="20"/>
          <w:color w:val="auto"/>
        </w:rPr>
      </w:pPr>
    </w:p>
    <w:p>
      <w:pPr>
        <w:spacing w:after="0" w:line="204"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4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660" w:type="dxa"/>
            <w:vAlign w:val="bottom"/>
            <w:vMerge w:val="restart"/>
          </w:tcPr>
          <w:p>
            <w:pPr>
              <w:jc w:val="right"/>
              <w:ind w:right="29"/>
              <w:spacing w:after="0"/>
              <w:rPr>
                <w:sz w:val="20"/>
                <w:szCs w:val="20"/>
                <w:color w:val="auto"/>
              </w:rPr>
            </w:pPr>
            <w:r>
              <w:rPr>
                <w:rFonts w:ascii="Courier New" w:cs="Courier New" w:eastAsia="Courier New" w:hAnsi="Courier New"/>
                <w:sz w:val="15"/>
                <w:szCs w:val="15"/>
                <w:color w:val="auto"/>
              </w:rPr>
              <w:t>NOTES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NONINTEREST</w:t>
            </w:r>
          </w:p>
        </w:tc>
        <w:tc>
          <w:tcPr>
            <w:tcW w:w="66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95"/>
              </w:rPr>
              <w:t>CAPITAL</w:t>
            </w:r>
          </w:p>
        </w:tc>
        <w:tc>
          <w:tcPr>
            <w:tcW w:w="0" w:type="dxa"/>
            <w:vAlign w:val="bottom"/>
          </w:tcPr>
          <w:p>
            <w:pPr>
              <w:spacing w:after="0"/>
              <w:rPr>
                <w:sz w:val="1"/>
                <w:szCs w:val="1"/>
                <w:color w:val="auto"/>
              </w:rPr>
            </w:pPr>
          </w:p>
        </w:tc>
      </w:tr>
      <w:tr>
        <w:trPr>
          <w:trHeight w:val="168"/>
        </w:trPr>
        <w:tc>
          <w:tcPr>
            <w:tcW w:w="42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FISCAL YEAR</w:t>
            </w:r>
          </w:p>
        </w:tc>
        <w:tc>
          <w:tcPr>
            <w:tcW w:w="660" w:type="dxa"/>
            <w:vAlign w:val="bottom"/>
            <w:vMerge w:val="continue"/>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BEARING</w:t>
            </w: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40" w:type="dxa"/>
            <w:vAlign w:val="bottom"/>
            <w:gridSpan w:val="2"/>
            <w:vMerge w:val="continue"/>
          </w:tcPr>
          <w:p>
            <w:pPr>
              <w:spacing w:after="0"/>
              <w:rPr>
                <w:sz w:val="14"/>
                <w:szCs w:val="14"/>
                <w:color w:val="auto"/>
              </w:rPr>
            </w:pP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PAYABLE OBLIGATIONS</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LEASES</w:t>
            </w:r>
          </w:p>
        </w:tc>
        <w:tc>
          <w:tcPr>
            <w:tcW w:w="0" w:type="dxa"/>
            <w:vAlign w:val="bottom"/>
          </w:tcPr>
          <w:p>
            <w:pPr>
              <w:spacing w:after="0"/>
              <w:rPr>
                <w:sz w:val="1"/>
                <w:szCs w:val="1"/>
                <w:color w:val="auto"/>
              </w:rPr>
            </w:pPr>
          </w:p>
        </w:tc>
      </w:tr>
      <w:tr>
        <w:trPr>
          <w:trHeight w:val="245"/>
        </w:trPr>
        <w:tc>
          <w:tcPr>
            <w:tcW w:w="424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 -----------</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59"/>
        </w:trPr>
        <w:tc>
          <w:tcPr>
            <w:tcW w:w="4240" w:type="dxa"/>
            <w:vAlign w:val="bottom"/>
            <w:gridSpan w:val="2"/>
          </w:tcPr>
          <w:p>
            <w:pPr>
              <w:spacing w:after="0"/>
              <w:rPr>
                <w:sz w:val="20"/>
                <w:szCs w:val="20"/>
                <w:color w:val="auto"/>
              </w:rPr>
            </w:pPr>
            <w:r>
              <w:rPr>
                <w:rFonts w:ascii="Courier New" w:cs="Courier New" w:eastAsia="Courier New" w:hAnsi="Courier New"/>
                <w:sz w:val="15"/>
                <w:szCs w:val="15"/>
                <w:color w:val="auto"/>
                <w:w w:val="97"/>
              </w:rPr>
              <w:t>1997............................................</w:t>
            </w:r>
          </w:p>
        </w:tc>
        <w:tc>
          <w:tcPr>
            <w:tcW w:w="660" w:type="dxa"/>
            <w:vAlign w:val="bottom"/>
          </w:tcPr>
          <w:p>
            <w:pPr>
              <w:jc w:val="right"/>
              <w:ind w:right="29"/>
              <w:spacing w:after="0"/>
              <w:rPr>
                <w:sz w:val="20"/>
                <w:szCs w:val="20"/>
                <w:color w:val="auto"/>
              </w:rPr>
            </w:pPr>
            <w:r>
              <w:rPr>
                <w:rFonts w:ascii="Courier New" w:cs="Courier New" w:eastAsia="Courier New" w:hAnsi="Courier New"/>
                <w:sz w:val="15"/>
                <w:szCs w:val="15"/>
                <w:color w:val="auto"/>
                <w:w w:val="99"/>
              </w:rPr>
              <w:t>$ 66.3</w:t>
            </w: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$ 0.3</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$ 11.1</w:t>
            </w:r>
          </w:p>
        </w:tc>
        <w:tc>
          <w:tcPr>
            <w:tcW w:w="0" w:type="dxa"/>
            <w:vAlign w:val="bottom"/>
          </w:tcPr>
          <w:p>
            <w:pPr>
              <w:spacing w:after="0"/>
              <w:rPr>
                <w:sz w:val="1"/>
                <w:szCs w:val="1"/>
                <w:color w:val="auto"/>
              </w:rPr>
            </w:pPr>
          </w:p>
        </w:tc>
      </w:tr>
      <w:tr>
        <w:trPr>
          <w:trHeight w:val="168"/>
        </w:trPr>
        <w:tc>
          <w:tcPr>
            <w:tcW w:w="4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1998............................................</w:t>
            </w:r>
          </w:p>
        </w:tc>
        <w:tc>
          <w:tcPr>
            <w:tcW w:w="660" w:type="dxa"/>
            <w:vAlign w:val="bottom"/>
          </w:tcPr>
          <w:p>
            <w:pPr>
              <w:jc w:val="right"/>
              <w:ind w:right="29"/>
              <w:spacing w:after="0" w:line="168" w:lineRule="exact"/>
              <w:rPr>
                <w:sz w:val="20"/>
                <w:szCs w:val="20"/>
                <w:color w:val="auto"/>
              </w:rPr>
            </w:pPr>
            <w:r>
              <w:rPr>
                <w:rFonts w:ascii="Courier New" w:cs="Courier New" w:eastAsia="Courier New" w:hAnsi="Courier New"/>
                <w:sz w:val="15"/>
                <w:szCs w:val="15"/>
                <w:color w:val="auto"/>
              </w:rPr>
              <w:t>91.3</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23.6</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w:t>
            </w:r>
          </w:p>
        </w:tc>
        <w:tc>
          <w:tcPr>
            <w:tcW w:w="0" w:type="dxa"/>
            <w:vAlign w:val="bottom"/>
          </w:tcPr>
          <w:p>
            <w:pPr>
              <w:spacing w:after="0"/>
              <w:rPr>
                <w:sz w:val="1"/>
                <w:szCs w:val="1"/>
                <w:color w:val="auto"/>
              </w:rPr>
            </w:pPr>
          </w:p>
        </w:tc>
      </w:tr>
      <w:tr>
        <w:trPr>
          <w:trHeight w:val="168"/>
        </w:trPr>
        <w:tc>
          <w:tcPr>
            <w:tcW w:w="4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1999............................................</w:t>
            </w:r>
          </w:p>
        </w:tc>
        <w:tc>
          <w:tcPr>
            <w:tcW w:w="660" w:type="dxa"/>
            <w:vAlign w:val="bottom"/>
          </w:tcPr>
          <w:p>
            <w:pPr>
              <w:jc w:val="right"/>
              <w:ind w:right="29"/>
              <w:spacing w:after="0" w:line="168" w:lineRule="exact"/>
              <w:rPr>
                <w:sz w:val="20"/>
                <w:szCs w:val="20"/>
                <w:color w:val="auto"/>
              </w:rPr>
            </w:pPr>
            <w:r>
              <w:rPr>
                <w:rFonts w:ascii="Courier New" w:cs="Courier New" w:eastAsia="Courier New" w:hAnsi="Courier New"/>
                <w:sz w:val="15"/>
                <w:szCs w:val="15"/>
                <w:color w:val="auto"/>
              </w:rPr>
              <w:t>62.0</w:t>
            </w:r>
          </w:p>
        </w:tc>
        <w:tc>
          <w:tcPr>
            <w:tcW w:w="10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w:t>
            </w:r>
          </w:p>
        </w:tc>
        <w:tc>
          <w:tcPr>
            <w:tcW w:w="0" w:type="dxa"/>
            <w:vAlign w:val="bottom"/>
          </w:tcPr>
          <w:p>
            <w:pPr>
              <w:spacing w:after="0"/>
              <w:rPr>
                <w:sz w:val="1"/>
                <w:szCs w:val="1"/>
                <w:color w:val="auto"/>
              </w:rPr>
            </w:pPr>
          </w:p>
        </w:tc>
      </w:tr>
      <w:tr>
        <w:trPr>
          <w:trHeight w:val="168"/>
        </w:trPr>
        <w:tc>
          <w:tcPr>
            <w:tcW w:w="4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2000............................................</w:t>
            </w:r>
          </w:p>
        </w:tc>
        <w:tc>
          <w:tcPr>
            <w:tcW w:w="660" w:type="dxa"/>
            <w:vAlign w:val="bottom"/>
          </w:tcPr>
          <w:p>
            <w:pPr>
              <w:jc w:val="right"/>
              <w:ind w:right="29"/>
              <w:spacing w:after="0" w:line="168" w:lineRule="exact"/>
              <w:rPr>
                <w:sz w:val="20"/>
                <w:szCs w:val="20"/>
                <w:color w:val="auto"/>
              </w:rPr>
            </w:pPr>
            <w:r>
              <w:rPr>
                <w:rFonts w:ascii="Courier New" w:cs="Courier New" w:eastAsia="Courier New" w:hAnsi="Courier New"/>
                <w:sz w:val="15"/>
                <w:szCs w:val="15"/>
                <w:color w:val="auto"/>
              </w:rPr>
              <w:t>60.4</w:t>
            </w:r>
          </w:p>
        </w:tc>
        <w:tc>
          <w:tcPr>
            <w:tcW w:w="10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w:t>
            </w:r>
          </w:p>
        </w:tc>
        <w:tc>
          <w:tcPr>
            <w:tcW w:w="0" w:type="dxa"/>
            <w:vAlign w:val="bottom"/>
          </w:tcPr>
          <w:p>
            <w:pPr>
              <w:spacing w:after="0"/>
              <w:rPr>
                <w:sz w:val="1"/>
                <w:szCs w:val="1"/>
                <w:color w:val="auto"/>
              </w:rPr>
            </w:pPr>
          </w:p>
        </w:tc>
      </w:tr>
      <w:tr>
        <w:trPr>
          <w:trHeight w:val="168"/>
        </w:trPr>
        <w:tc>
          <w:tcPr>
            <w:tcW w:w="420" w:type="dxa"/>
            <w:vAlign w:val="bottom"/>
          </w:tcPr>
          <w:p>
            <w:pPr>
              <w:spacing w:after="0"/>
              <w:rPr>
                <w:sz w:val="20"/>
                <w:szCs w:val="20"/>
                <w:color w:val="auto"/>
              </w:rPr>
            </w:pPr>
            <w:r>
              <w:rPr>
                <w:rFonts w:ascii="Courier New" w:cs="Courier New" w:eastAsia="Courier New" w:hAnsi="Courier New"/>
                <w:sz w:val="1"/>
                <w:szCs w:val="1"/>
                <w:color w:val="auto"/>
              </w:rPr>
              <w:t>2001............................................</w:t>
            </w:r>
          </w:p>
        </w:tc>
        <w:tc>
          <w:tcPr>
            <w:tcW w:w="382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and thereafter.............................</w:t>
            </w:r>
          </w:p>
        </w:tc>
        <w:tc>
          <w:tcPr>
            <w:tcW w:w="660" w:type="dxa"/>
            <w:vAlign w:val="bottom"/>
          </w:tcPr>
          <w:p>
            <w:pPr>
              <w:jc w:val="right"/>
              <w:ind w:right="29"/>
              <w:spacing w:after="0" w:line="168" w:lineRule="exact"/>
              <w:rPr>
                <w:sz w:val="20"/>
                <w:szCs w:val="20"/>
                <w:color w:val="auto"/>
              </w:rPr>
            </w:pPr>
            <w:r>
              <w:rPr>
                <w:rFonts w:ascii="Courier New" w:cs="Courier New" w:eastAsia="Courier New" w:hAnsi="Courier New"/>
                <w:sz w:val="15"/>
                <w:szCs w:val="15"/>
                <w:color w:val="auto"/>
              </w:rPr>
              <w:t>44.6</w:t>
            </w:r>
          </w:p>
        </w:tc>
        <w:tc>
          <w:tcPr>
            <w:tcW w:w="10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w:t>
            </w:r>
          </w:p>
        </w:tc>
        <w:tc>
          <w:tcPr>
            <w:tcW w:w="0" w:type="dxa"/>
            <w:vAlign w:val="bottom"/>
          </w:tcPr>
          <w:p>
            <w:pPr>
              <w:spacing w:after="0"/>
              <w:rPr>
                <w:sz w:val="1"/>
                <w:szCs w:val="1"/>
                <w:color w:val="auto"/>
              </w:rPr>
            </w:pPr>
          </w:p>
        </w:tc>
      </w:tr>
      <w:tr>
        <w:trPr>
          <w:trHeight w:val="168"/>
        </w:trPr>
        <w:tc>
          <w:tcPr>
            <w:tcW w:w="42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3820" w:type="dxa"/>
            <w:vAlign w:val="bottom"/>
            <w:vMerge w:val="continue"/>
          </w:tcPr>
          <w:p>
            <w:pPr>
              <w:spacing w:after="0"/>
              <w:rPr>
                <w:sz w:val="14"/>
                <w:szCs w:val="14"/>
                <w:color w:val="auto"/>
              </w:rPr>
            </w:pPr>
          </w:p>
        </w:tc>
        <w:tc>
          <w:tcPr>
            <w:tcW w:w="660" w:type="dxa"/>
            <w:vAlign w:val="bottom"/>
          </w:tcPr>
          <w:p>
            <w:pPr>
              <w:jc w:val="right"/>
              <w:ind w:right="29"/>
              <w:spacing w:after="0" w:line="168" w:lineRule="exact"/>
              <w:rPr>
                <w:sz w:val="20"/>
                <w:szCs w:val="20"/>
                <w:color w:val="auto"/>
              </w:rPr>
            </w:pPr>
            <w:r>
              <w:rPr>
                <w:rFonts w:ascii="Courier New" w:cs="Courier New" w:eastAsia="Courier New" w:hAnsi="Courier New"/>
                <w:sz w:val="15"/>
                <w:szCs w:val="15"/>
                <w:color w:val="auto"/>
              </w:rPr>
              <w:t>0.4</w:t>
            </w:r>
          </w:p>
        </w:tc>
        <w:tc>
          <w:tcPr>
            <w:tcW w:w="10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c>
          <w:tcPr>
            <w:tcW w:w="0" w:type="dxa"/>
            <w:vAlign w:val="bottom"/>
          </w:tcPr>
          <w:p>
            <w:pPr>
              <w:spacing w:after="0"/>
              <w:rPr>
                <w:sz w:val="1"/>
                <w:szCs w:val="1"/>
                <w:color w:val="auto"/>
              </w:rPr>
            </w:pPr>
          </w:p>
        </w:tc>
      </w:tr>
      <w:tr>
        <w:trPr>
          <w:trHeight w:val="168"/>
        </w:trPr>
        <w:tc>
          <w:tcPr>
            <w:tcW w:w="4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Less discount and interest......................</w:t>
            </w:r>
          </w:p>
        </w:tc>
        <w:tc>
          <w:tcPr>
            <w:tcW w:w="66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w:t>
            </w:r>
          </w:p>
        </w:tc>
        <w:tc>
          <w:tcPr>
            <w:tcW w:w="0" w:type="dxa"/>
            <w:vAlign w:val="bottom"/>
          </w:tcPr>
          <w:p>
            <w:pPr>
              <w:spacing w:after="0"/>
              <w:rPr>
                <w:sz w:val="1"/>
                <w:szCs w:val="1"/>
                <w:color w:val="auto"/>
              </w:rPr>
            </w:pPr>
          </w:p>
        </w:tc>
      </w:tr>
      <w:tr>
        <w:trPr>
          <w:trHeight w:val="168"/>
        </w:trPr>
        <w:tc>
          <w:tcPr>
            <w:tcW w:w="4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660" w:type="dxa"/>
            <w:vAlign w:val="bottom"/>
            <w:vMerge w:val="restart"/>
          </w:tcPr>
          <w:p>
            <w:pPr>
              <w:jc w:val="right"/>
              <w:ind w:right="29"/>
              <w:spacing w:after="0"/>
              <w:rPr>
                <w:sz w:val="20"/>
                <w:szCs w:val="20"/>
                <w:color w:val="auto"/>
              </w:rPr>
            </w:pPr>
            <w:r>
              <w:rPr>
                <w:rFonts w:ascii="Courier New" w:cs="Courier New" w:eastAsia="Courier New" w:hAnsi="Courier New"/>
                <w:sz w:val="17"/>
                <w:szCs w:val="17"/>
                <w:color w:val="auto"/>
                <w:w w:val="70"/>
                <w:vertAlign w:val="subscript"/>
              </w:rPr>
              <w:t>$</w:t>
            </w:r>
            <w:r>
              <w:rPr>
                <w:rFonts w:ascii="Courier New" w:cs="Courier New" w:eastAsia="Courier New" w:hAnsi="Courier New"/>
                <w:sz w:val="10"/>
                <w:szCs w:val="10"/>
                <w:color w:val="auto"/>
                <w:w w:val="70"/>
              </w:rPr>
              <w:t>------</w:t>
            </w:r>
            <w:r>
              <w:rPr>
                <w:rFonts w:ascii="Courier New" w:cs="Courier New" w:eastAsia="Courier New" w:hAnsi="Courier New"/>
                <w:sz w:val="17"/>
                <w:szCs w:val="17"/>
                <w:color w:val="auto"/>
                <w:w w:val="70"/>
                <w:vertAlign w:val="subscript"/>
              </w:rPr>
              <w:t>325.0</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$22.0</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$ 42.8</w:t>
            </w:r>
          </w:p>
        </w:tc>
        <w:tc>
          <w:tcPr>
            <w:tcW w:w="0" w:type="dxa"/>
            <w:vAlign w:val="bottom"/>
          </w:tcPr>
          <w:p>
            <w:pPr>
              <w:spacing w:after="0"/>
              <w:rPr>
                <w:sz w:val="1"/>
                <w:szCs w:val="1"/>
                <w:color w:val="auto"/>
              </w:rPr>
            </w:pPr>
          </w:p>
        </w:tc>
      </w:tr>
      <w:tr>
        <w:trPr>
          <w:trHeight w:val="245"/>
        </w:trPr>
        <w:tc>
          <w:tcPr>
            <w:tcW w:w="4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660" w:type="dxa"/>
            <w:vAlign w:val="bottom"/>
          </w:tcPr>
          <w:p>
            <w:pPr>
              <w:jc w:val="right"/>
              <w:ind w:right="29"/>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579" w:firstLine="175"/>
        <w:spacing w:after="0" w:line="273" w:lineRule="auto"/>
        <w:rPr>
          <w:sz w:val="20"/>
          <w:szCs w:val="20"/>
          <w:color w:val="auto"/>
        </w:rPr>
      </w:pPr>
      <w:r>
        <w:rPr>
          <w:rFonts w:ascii="Courier New" w:cs="Courier New" w:eastAsia="Courier New" w:hAnsi="Courier New"/>
          <w:sz w:val="15"/>
          <w:szCs w:val="15"/>
          <w:color w:val="auto"/>
        </w:rPr>
        <w:t>Interest income in 1996, 1995, and 1994 is net of interest expense of $8.6 million, $7.3 million, and $5.8 million, respectively. Construction period interest of $7.5 million, $4.9 million and $2.6 million was capitalized in 1996, 1995 and 1994, respectively.</w:t>
      </w:r>
    </w:p>
    <w:p>
      <w:pPr>
        <w:spacing w:after="0" w:line="2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598" w:right="1440" w:bottom="1440" w:gutter="0" w:footer="0" w:header="0"/>
        </w:sectPr>
      </w:pPr>
    </w:p>
    <w:bookmarkStart w:id="37" w:name="page38"/>
    <w:bookmarkEnd w:id="37"/>
    <w:p>
      <w:pPr>
        <w:jc w:val="center"/>
        <w:ind w:right="3319"/>
        <w:spacing w:after="0"/>
        <w:rPr>
          <w:sz w:val="20"/>
          <w:szCs w:val="20"/>
          <w:color w:val="auto"/>
        </w:rPr>
      </w:pPr>
      <w:r>
        <w:rPr>
          <w:rFonts w:ascii="Courier New" w:cs="Courier New" w:eastAsia="Courier New" w:hAnsi="Courier New"/>
          <w:sz w:val="15"/>
          <w:szCs w:val="15"/>
          <w:color w:val="auto"/>
        </w:rPr>
        <w:t>MICRON TECHNOLOGY, INC.</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PURCHASE PLANS</w:t>
      </w:r>
    </w:p>
    <w:p>
      <w:pPr>
        <w:spacing w:after="0" w:line="166" w:lineRule="exact"/>
        <w:rPr>
          <w:sz w:val="20"/>
          <w:szCs w:val="20"/>
          <w:color w:val="auto"/>
        </w:rPr>
      </w:pPr>
    </w:p>
    <w:p>
      <w:pPr>
        <w:ind w:right="3499" w:firstLine="175"/>
        <w:spacing w:after="0" w:line="252" w:lineRule="auto"/>
        <w:rPr>
          <w:sz w:val="20"/>
          <w:szCs w:val="20"/>
          <w:color w:val="auto"/>
        </w:rPr>
      </w:pPr>
      <w:r>
        <w:rPr>
          <w:rFonts w:ascii="Courier New" w:cs="Courier New" w:eastAsia="Courier New" w:hAnsi="Courier New"/>
          <w:sz w:val="15"/>
          <w:szCs w:val="15"/>
          <w:color w:val="auto"/>
        </w:rPr>
        <w:t>The Company's 1985 and 1994 Stock Option Plans ("Stock Plans") provide for the granting of incentive or nonstatutory stock options. As of August 29, 1996, there was an aggregate of 19.6 million shares of the Company's common stock available for issuance, of which 14.5 million shares have been granted, under the Stock Plans. Options are subject to terms and conditions determined by the Board of Directors, and generally are exercisable in increments of 20% during each year of employment beginning one year from date of grant and expiring six years from date of grant.</w:t>
      </w:r>
    </w:p>
    <w:p>
      <w:pPr>
        <w:spacing w:after="0" w:line="8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Option activity under the Stock Plans is summarized as follows:</w:t>
      </w:r>
    </w:p>
    <w:p>
      <w:pPr>
        <w:spacing w:after="0" w:line="200" w:lineRule="exact"/>
        <w:rPr>
          <w:sz w:val="20"/>
          <w:szCs w:val="20"/>
          <w:color w:val="auto"/>
        </w:rPr>
      </w:pPr>
    </w:p>
    <w:p>
      <w:pPr>
        <w:spacing w:after="0" w:line="301"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196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FISCAL YEAR ENDED</w:t>
            </w:r>
          </w:p>
        </w:tc>
      </w:tr>
      <w:tr>
        <w:trPr>
          <w:trHeight w:val="168"/>
        </w:trPr>
        <w:tc>
          <w:tcPr>
            <w:tcW w:w="4760" w:type="dxa"/>
            <w:vAlign w:val="bottom"/>
          </w:tcPr>
          <w:p>
            <w:pPr>
              <w:spacing w:after="0"/>
              <w:rPr>
                <w:sz w:val="14"/>
                <w:szCs w:val="14"/>
                <w:color w:val="auto"/>
              </w:rPr>
            </w:pPr>
          </w:p>
        </w:tc>
        <w:tc>
          <w:tcPr>
            <w:tcW w:w="19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760" w:type="dxa"/>
            <w:vAlign w:val="bottom"/>
          </w:tcPr>
          <w:p>
            <w:pPr>
              <w:spacing w:after="0"/>
              <w:rPr>
                <w:sz w:val="14"/>
                <w:szCs w:val="14"/>
                <w:color w:val="auto"/>
              </w:rPr>
            </w:pP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8/29/96 8/31/95</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9/1/94</w:t>
            </w:r>
          </w:p>
        </w:tc>
      </w:tr>
      <w:tr>
        <w:trPr>
          <w:trHeight w:val="245"/>
        </w:trPr>
        <w:tc>
          <w:tcPr>
            <w:tcW w:w="4760" w:type="dxa"/>
            <w:vAlign w:val="bottom"/>
          </w:tcPr>
          <w:p>
            <w:pPr>
              <w:spacing w:after="0"/>
              <w:rPr>
                <w:sz w:val="21"/>
                <w:szCs w:val="21"/>
                <w:color w:val="auto"/>
              </w:rPr>
            </w:pPr>
          </w:p>
        </w:tc>
        <w:tc>
          <w:tcPr>
            <w:tcW w:w="19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 ------- ------</w:t>
            </w:r>
          </w:p>
        </w:tc>
      </w:tr>
      <w:tr>
        <w:trPr>
          <w:trHeight w:val="259"/>
        </w:trPr>
        <w:tc>
          <w:tcPr>
            <w:tcW w:w="4760" w:type="dxa"/>
            <w:vAlign w:val="bottom"/>
          </w:tcPr>
          <w:p>
            <w:pPr>
              <w:spacing w:after="0"/>
              <w:rPr>
                <w:sz w:val="20"/>
                <w:szCs w:val="20"/>
                <w:color w:val="auto"/>
              </w:rPr>
            </w:pPr>
            <w:r>
              <w:rPr>
                <w:rFonts w:ascii="Courier New" w:cs="Courier New" w:eastAsia="Courier New" w:hAnsi="Courier New"/>
                <w:sz w:val="15"/>
                <w:szCs w:val="15"/>
                <w:color w:val="auto"/>
                <w:w w:val="97"/>
              </w:rPr>
              <w:t>Outstanding at beginning of year......................</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13.7</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11.6</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w:t>
            </w:r>
          </w:p>
        </w:tc>
      </w:tr>
      <w:tr>
        <w:trPr>
          <w:trHeight w:val="168"/>
        </w:trPr>
        <w:tc>
          <w:tcPr>
            <w:tcW w:w="47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Granted...............................................</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47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Terminated or cancelled...............................</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(0.5)</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(0.5)</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Exercised.............................................</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47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Outstanding at end of year............................</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14.5</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w:t>
            </w:r>
          </w:p>
        </w:tc>
      </w:tr>
      <w:tr>
        <w:trPr>
          <w:trHeight w:val="168"/>
        </w:trPr>
        <w:tc>
          <w:tcPr>
            <w:tcW w:w="47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Exercisable at end of year............................</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r>
      <w:tr>
        <w:trPr>
          <w:trHeight w:val="245"/>
        </w:trPr>
        <w:tc>
          <w:tcPr>
            <w:tcW w:w="4760" w:type="dxa"/>
            <w:vAlign w:val="bottom"/>
          </w:tcPr>
          <w:p>
            <w:pPr>
              <w:spacing w:after="0"/>
              <w:rPr>
                <w:sz w:val="20"/>
                <w:szCs w:val="20"/>
                <w:color w:val="auto"/>
              </w:rPr>
            </w:pPr>
            <w:r>
              <w:rPr>
                <w:rFonts w:ascii="Courier New" w:cs="Courier New" w:eastAsia="Courier New" w:hAnsi="Courier New"/>
                <w:sz w:val="15"/>
                <w:szCs w:val="15"/>
                <w:color w:val="auto"/>
                <w:w w:val="97"/>
              </w:rPr>
              <w:t>Shares available for future grants....................</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w:t>
            </w:r>
          </w:p>
        </w:tc>
      </w:tr>
    </w:tbl>
    <w:p>
      <w:pPr>
        <w:spacing w:after="0" w:line="259" w:lineRule="exact"/>
        <w:rPr>
          <w:sz w:val="20"/>
          <w:szCs w:val="20"/>
          <w:color w:val="auto"/>
        </w:rPr>
      </w:pPr>
    </w:p>
    <w:p>
      <w:pPr>
        <w:jc w:val="both"/>
        <w:ind w:right="3399" w:firstLine="175"/>
        <w:spacing w:after="0" w:line="273" w:lineRule="auto"/>
        <w:rPr>
          <w:sz w:val="20"/>
          <w:szCs w:val="20"/>
          <w:color w:val="auto"/>
        </w:rPr>
      </w:pPr>
      <w:r>
        <w:rPr>
          <w:rFonts w:ascii="Courier New" w:cs="Courier New" w:eastAsia="Courier New" w:hAnsi="Courier New"/>
          <w:sz w:val="15"/>
          <w:szCs w:val="15"/>
          <w:color w:val="auto"/>
        </w:rPr>
        <w:t>Options outstanding under the Stock Plans as of August 29, 1996, were at per share prices ranging from $1.72 to $80.25. Options exercised were at per share prices ranging from $1.53 to $28.87 in 1996, $1.30 to $21.33 in 1995 and $1.30 to $4.71 in 1994.</w:t>
      </w:r>
    </w:p>
    <w:p>
      <w:pPr>
        <w:spacing w:after="0" w:line="68" w:lineRule="exact"/>
        <w:rPr>
          <w:sz w:val="20"/>
          <w:szCs w:val="20"/>
          <w:color w:val="auto"/>
        </w:rPr>
      </w:pPr>
    </w:p>
    <w:p>
      <w:pPr>
        <w:ind w:right="3499" w:firstLine="175"/>
        <w:spacing w:after="0" w:line="246" w:lineRule="auto"/>
        <w:rPr>
          <w:sz w:val="20"/>
          <w:szCs w:val="20"/>
          <w:color w:val="auto"/>
        </w:rPr>
      </w:pPr>
      <w:r>
        <w:rPr>
          <w:rFonts w:ascii="Courier New" w:cs="Courier New" w:eastAsia="Courier New" w:hAnsi="Courier New"/>
          <w:sz w:val="15"/>
          <w:szCs w:val="15"/>
          <w:color w:val="auto"/>
        </w:rPr>
        <w:t>On September 30, 1996, the Board of Directors approved an option exchange program pursuant to which employees with options having an exercise price in excess of $30.00 per share under the Stock Plans may elect to exchange such options for non statutory stock options having 1) an exercise price equal to the average closing price of the Company's common stock for the five business days preceding October 18, 1996, and 2) generally the same terms and conditions, including vesting and expiration terms, as the options surrendered. Options to purchase 2.8 million shares of the Company's common stock under the 1985 Stock Option Plan are eligible for exchange for options issued under the Nonstatutory Stock Option Plan adopted by the Board of Directors on September 30, 1996. Options to purchase 907,000 shares of the Company's common stock are eligible for exchange under the 1994 Stock Option Plan.</w:t>
      </w:r>
    </w:p>
    <w:p>
      <w:pPr>
        <w:spacing w:after="0" w:line="91" w:lineRule="exact"/>
        <w:rPr>
          <w:sz w:val="20"/>
          <w:szCs w:val="20"/>
          <w:color w:val="auto"/>
        </w:rPr>
      </w:pPr>
    </w:p>
    <w:p>
      <w:pPr>
        <w:ind w:right="3499" w:firstLine="175"/>
        <w:spacing w:after="0" w:line="267" w:lineRule="auto"/>
        <w:rPr>
          <w:sz w:val="20"/>
          <w:szCs w:val="20"/>
          <w:color w:val="auto"/>
        </w:rPr>
      </w:pPr>
      <w:r>
        <w:rPr>
          <w:rFonts w:ascii="Courier New" w:cs="Courier New" w:eastAsia="Courier New" w:hAnsi="Courier New"/>
          <w:sz w:val="14"/>
          <w:szCs w:val="14"/>
          <w:color w:val="auto"/>
        </w:rPr>
        <w:t>The Company's 1989 Employee Stock Purchase Plan and MEI's 1995 Employee Stock Purchase Plan allow eligible employees to purchase shares of the Company's common stock and MEI's common stock through payroll deductions. The shares can be purchased for 85% of the lower of the beginning or ending fair market value of each offering period and are restricted from resale for a period of one year from the date of purchase. Purchases are limited to 20% of an employees eligible compensation. A total of 6.8 million shares of Company common stock are reserved for issuance under the purchase plan, of which 5.8 million shares have been issued as of August 29, 1996. A total of 2.5 million shares of MEI common stock are reserved for issuance under MEI's plan, of which approximately 136,000 shares had been issued as of August 29, 1996.</w:t>
      </w:r>
    </w:p>
    <w:p>
      <w:pPr>
        <w:spacing w:after="0" w:line="78" w:lineRule="exact"/>
        <w:rPr>
          <w:sz w:val="20"/>
          <w:szCs w:val="20"/>
          <w:color w:val="auto"/>
        </w:rPr>
      </w:pPr>
    </w:p>
    <w:p>
      <w:pPr>
        <w:ind w:right="3839" w:firstLine="175"/>
        <w:spacing w:after="0" w:line="264" w:lineRule="auto"/>
        <w:rPr>
          <w:sz w:val="20"/>
          <w:szCs w:val="20"/>
          <w:color w:val="auto"/>
        </w:rPr>
      </w:pPr>
      <w:r>
        <w:rPr>
          <w:rFonts w:ascii="Courier New" w:cs="Courier New" w:eastAsia="Courier New" w:hAnsi="Courier New"/>
          <w:sz w:val="15"/>
          <w:szCs w:val="15"/>
          <w:color w:val="auto"/>
        </w:rPr>
        <w:t>On April 7, 1995, the Company's subsidiaries Micron Computer, Inc. and Micron Custom Manufacturing Services, Inc. were merged with and into ZEOS International, Ltd. ("ZEOS"), a personal computer manufacturer. The newly merged company was renamed Micron Electronics, Inc. ("MEI"), and is a majority-owned subsidiary of MTI.</w:t>
      </w:r>
    </w:p>
    <w:p>
      <w:pPr>
        <w:spacing w:after="0" w:line="24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598" w:right="1440" w:bottom="1440" w:gutter="0" w:footer="0" w:header="0"/>
        </w:sectPr>
      </w:pPr>
    </w:p>
    <w:bookmarkStart w:id="38" w:name="page39"/>
    <w:bookmarkEnd w:id="38"/>
    <w:p>
      <w:pPr>
        <w:jc w:val="center"/>
        <w:ind w:right="3299"/>
        <w:spacing w:after="0"/>
        <w:rPr>
          <w:sz w:val="20"/>
          <w:szCs w:val="20"/>
          <w:color w:val="auto"/>
        </w:rPr>
      </w:pPr>
      <w:r>
        <w:rPr>
          <w:rFonts w:ascii="Courier New" w:cs="Courier New" w:eastAsia="Courier New" w:hAnsi="Courier New"/>
          <w:sz w:val="15"/>
          <w:szCs w:val="15"/>
          <w:color w:val="auto"/>
        </w:rPr>
        <w:t>MICRON TECHNOLOGY, INC.</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35" w:lineRule="exact"/>
        <w:rPr>
          <w:sz w:val="20"/>
          <w:szCs w:val="20"/>
          <w:color w:val="auto"/>
        </w:rPr>
      </w:pPr>
    </w:p>
    <w:p>
      <w:pPr>
        <w:ind w:right="3399" w:firstLine="175"/>
        <w:spacing w:after="0" w:line="249" w:lineRule="auto"/>
        <w:rPr>
          <w:sz w:val="20"/>
          <w:szCs w:val="20"/>
          <w:color w:val="auto"/>
        </w:rPr>
      </w:pPr>
      <w:r>
        <w:rPr>
          <w:rFonts w:ascii="Courier New" w:cs="Courier New" w:eastAsia="Courier New" w:hAnsi="Courier New"/>
          <w:sz w:val="15"/>
          <w:szCs w:val="15"/>
          <w:color w:val="auto"/>
        </w:rPr>
        <w:t>MEI's 1995 Stock Option Plan provides for the granting of incentive and nonstatutory stock options. As of August 29, 1996, there were 5 million shares of MEI's common stock reserved for issuance under the plan. Options are granted subject to terms and conditions determined by the MEI Board of Directors, and generally are exercisable in increments of 20% for each year of employment beginning one year from date of grant and expiring six years from date of grant. As of August 29, 1996, there were options outstanding to purchase approximately 1.9 million shares of MEI common stock at prices ranging from $8.89 to $23.83 of which options to purchase approximately 121,000 shares of common stock were exercisable.</w:t>
      </w:r>
    </w:p>
    <w:p>
      <w:pPr>
        <w:spacing w:after="0" w:line="87" w:lineRule="exact"/>
        <w:rPr>
          <w:sz w:val="20"/>
          <w:szCs w:val="20"/>
          <w:color w:val="auto"/>
        </w:rPr>
      </w:pPr>
    </w:p>
    <w:p>
      <w:pPr>
        <w:ind w:right="3499" w:firstLine="175"/>
        <w:spacing w:after="0" w:line="276" w:lineRule="auto"/>
        <w:rPr>
          <w:sz w:val="20"/>
          <w:szCs w:val="20"/>
          <w:color w:val="auto"/>
        </w:rPr>
      </w:pPr>
      <w:r>
        <w:rPr>
          <w:rFonts w:ascii="Courier New" w:cs="Courier New" w:eastAsia="Courier New" w:hAnsi="Courier New"/>
          <w:sz w:val="14"/>
          <w:szCs w:val="14"/>
          <w:color w:val="auto"/>
        </w:rPr>
        <w:t>Granting of options under ZEOS' stock option plans was suspended after the merger. During 1996 and subsequent to the merger in 1995, options to purchase approximately 993,000 and 84,000 of MEI's common stock shares, respectively, were exercised at per share prices ranging from $0.33 to $17.00 and $2.63 to $8.50, respectively. As of August 29, 1996, options to purchase approximately 49,000 shares of MEI common stock were outstanding under this plan, all of which were exercisable at per share prices ranging from $2.63 to $10.75.</w:t>
      </w:r>
    </w:p>
    <w:p>
      <w:pPr>
        <w:spacing w:after="0" w:line="69" w:lineRule="exact"/>
        <w:rPr>
          <w:sz w:val="20"/>
          <w:szCs w:val="20"/>
          <w:color w:val="auto"/>
        </w:rPr>
      </w:pPr>
    </w:p>
    <w:p>
      <w:pPr>
        <w:ind w:right="3499" w:firstLine="175"/>
        <w:spacing w:after="0" w:line="258" w:lineRule="auto"/>
        <w:rPr>
          <w:sz w:val="20"/>
          <w:szCs w:val="20"/>
          <w:color w:val="auto"/>
        </w:rPr>
      </w:pPr>
      <w:r>
        <w:rPr>
          <w:rFonts w:ascii="Courier New" w:cs="Courier New" w:eastAsia="Courier New" w:hAnsi="Courier New"/>
          <w:sz w:val="15"/>
          <w:szCs w:val="15"/>
          <w:color w:val="auto"/>
        </w:rPr>
        <w:t>In December 1994, ZEOS awarded shares of its common stock to certain employees subject to their continued employment as of January 1, 1996. Compensation expense was recognized over the vesting period based upon the fair market value of the stock at the date of award. To satisfy this award, the Company issued approximately 151,000 shares of the Company's common stock in January 1996.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SAVINGS PLAN</w:t>
      </w:r>
    </w:p>
    <w:p>
      <w:pPr>
        <w:spacing w:after="0" w:line="166" w:lineRule="exact"/>
        <w:rPr>
          <w:sz w:val="20"/>
          <w:szCs w:val="20"/>
          <w:color w:val="auto"/>
        </w:rPr>
      </w:pPr>
    </w:p>
    <w:p>
      <w:pPr>
        <w:ind w:right="3399" w:firstLine="175"/>
        <w:spacing w:after="0" w:line="276" w:lineRule="auto"/>
        <w:rPr>
          <w:sz w:val="20"/>
          <w:szCs w:val="20"/>
          <w:color w:val="auto"/>
        </w:rPr>
      </w:pPr>
      <w:r>
        <w:rPr>
          <w:rFonts w:ascii="Courier New" w:cs="Courier New" w:eastAsia="Courier New" w:hAnsi="Courier New"/>
          <w:sz w:val="14"/>
          <w:szCs w:val="14"/>
          <w:color w:val="auto"/>
        </w:rPr>
        <w:t>The Company has 401(k) profit-sharing plans ("RAM Plans") in which substantially all employees are participants. Employees may contribute from 2% to 16% of their eligible pay to various savings alternatives in the RAM Plans. The Company's contribution provides for an annual match of the first $1,500 of eligible employee contributions, in addition to contributions based on the Company's financial performance. The Company's RAM Plans expenses were $14.2 million in 1996, $15.9 million in 1995 and $8.2 million in 1994.</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COMMITMENTS</w:t>
      </w:r>
    </w:p>
    <w:p>
      <w:pPr>
        <w:spacing w:after="0" w:line="166" w:lineRule="exact"/>
        <w:rPr>
          <w:sz w:val="20"/>
          <w:szCs w:val="20"/>
          <w:color w:val="auto"/>
        </w:rPr>
      </w:pPr>
    </w:p>
    <w:p>
      <w:pPr>
        <w:ind w:right="3759" w:firstLine="175"/>
        <w:spacing w:after="0" w:line="381" w:lineRule="auto"/>
        <w:rPr>
          <w:sz w:val="20"/>
          <w:szCs w:val="20"/>
          <w:color w:val="auto"/>
        </w:rPr>
      </w:pPr>
      <w:r>
        <w:rPr>
          <w:rFonts w:ascii="Courier New" w:cs="Courier New" w:eastAsia="Courier New" w:hAnsi="Courier New"/>
          <w:sz w:val="14"/>
          <w:szCs w:val="14"/>
          <w:color w:val="auto"/>
        </w:rPr>
        <w:t>As of August 29, 1996, the Company had commitments of $169.6 million for equipment purchases and $9.4 million for the construction of buildings.</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598" w:right="1440" w:bottom="1440" w:gutter="0" w:footer="0" w:header="0"/>
        </w:sectPr>
      </w:pPr>
    </w:p>
    <w:bookmarkStart w:id="39" w:name="page40"/>
    <w:bookmarkEnd w:id="39"/>
    <w:p>
      <w:pPr>
        <w:jc w:val="center"/>
        <w:ind w:right="3319"/>
        <w:spacing w:after="0"/>
        <w:rPr>
          <w:sz w:val="20"/>
          <w:szCs w:val="20"/>
          <w:color w:val="auto"/>
        </w:rPr>
      </w:pPr>
      <w:r>
        <w:rPr>
          <w:rFonts w:ascii="Courier New" w:cs="Courier New" w:eastAsia="Courier New" w:hAnsi="Courier New"/>
          <w:sz w:val="15"/>
          <w:szCs w:val="15"/>
          <w:color w:val="auto"/>
        </w:rPr>
        <w:t>MICRON TECHNOLOGY, INC.</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provision for income taxes consists of the following:</w:t>
      </w:r>
    </w:p>
    <w:p>
      <w:pPr>
        <w:spacing w:after="0" w:line="200" w:lineRule="exact"/>
        <w:rPr>
          <w:sz w:val="20"/>
          <w:szCs w:val="20"/>
          <w:color w:val="auto"/>
        </w:rPr>
      </w:pPr>
    </w:p>
    <w:p>
      <w:pPr>
        <w:spacing w:after="0" w:line="301"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8/29/96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8/31/95</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9/1/94</w:t>
            </w:r>
          </w:p>
        </w:tc>
        <w:tc>
          <w:tcPr>
            <w:tcW w:w="0" w:type="dxa"/>
            <w:vAlign w:val="bottom"/>
          </w:tcPr>
          <w:p>
            <w:pPr>
              <w:spacing w:after="0"/>
              <w:rPr>
                <w:sz w:val="1"/>
                <w:szCs w:val="1"/>
                <w:color w:val="auto"/>
              </w:rPr>
            </w:pPr>
          </w:p>
        </w:tc>
      </w:tr>
      <w:tr>
        <w:trPr>
          <w:trHeight w:val="245"/>
        </w:trPr>
        <w:tc>
          <w:tcPr>
            <w:tcW w:w="4760" w:type="dxa"/>
            <w:vAlign w:val="bottom"/>
          </w:tcPr>
          <w:p>
            <w:pPr>
              <w:spacing w:after="0"/>
              <w:rPr>
                <w:sz w:val="21"/>
                <w:szCs w:val="21"/>
                <w:color w:val="auto"/>
              </w:rPr>
            </w:pPr>
          </w:p>
        </w:tc>
        <w:tc>
          <w:tcPr>
            <w:tcW w:w="19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 ------- ------</w:t>
            </w:r>
          </w:p>
        </w:tc>
        <w:tc>
          <w:tcPr>
            <w:tcW w:w="0" w:type="dxa"/>
            <w:vAlign w:val="bottom"/>
          </w:tcPr>
          <w:p>
            <w:pPr>
              <w:spacing w:after="0"/>
              <w:rPr>
                <w:sz w:val="1"/>
                <w:szCs w:val="1"/>
                <w:color w:val="auto"/>
              </w:rPr>
            </w:pPr>
          </w:p>
        </w:tc>
      </w:tr>
      <w:tr>
        <w:trPr>
          <w:trHeight w:val="259"/>
        </w:trPr>
        <w:tc>
          <w:tcPr>
            <w:tcW w:w="476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700" w:type="dxa"/>
            <w:vAlign w:val="bottom"/>
            <w:vMerge w:val="restart"/>
          </w:tcPr>
          <w:p>
            <w:pPr>
              <w:jc w:val="right"/>
              <w:ind w:right="70"/>
              <w:spacing w:after="0"/>
              <w:rPr>
                <w:sz w:val="20"/>
                <w:szCs w:val="20"/>
                <w:color w:val="auto"/>
              </w:rPr>
            </w:pPr>
            <w:r>
              <w:rPr>
                <w:rFonts w:ascii="Courier New" w:cs="Courier New" w:eastAsia="Courier New" w:hAnsi="Courier New"/>
                <w:sz w:val="15"/>
                <w:szCs w:val="15"/>
                <w:color w:val="auto"/>
                <w:w w:val="99"/>
              </w:rPr>
              <w:t>$274.5</w:t>
            </w:r>
          </w:p>
        </w:tc>
        <w:tc>
          <w:tcPr>
            <w:tcW w:w="7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9"/>
              </w:rPr>
              <w:t>$409.3</w:t>
            </w: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$192.4</w:t>
            </w:r>
          </w:p>
        </w:tc>
        <w:tc>
          <w:tcPr>
            <w:tcW w:w="0" w:type="dxa"/>
            <w:vAlign w:val="bottom"/>
          </w:tcPr>
          <w:p>
            <w:pPr>
              <w:spacing w:after="0"/>
              <w:rPr>
                <w:sz w:val="1"/>
                <w:szCs w:val="1"/>
                <w:color w:val="auto"/>
              </w:rPr>
            </w:pPr>
          </w:p>
        </w:tc>
      </w:tr>
      <w:tr>
        <w:trPr>
          <w:trHeight w:val="168"/>
        </w:trPr>
        <w:tc>
          <w:tcPr>
            <w:tcW w:w="4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U.S. federal........................................</w:t>
            </w:r>
          </w:p>
        </w:tc>
        <w:tc>
          <w:tcPr>
            <w:tcW w:w="7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State...............................................</w:t>
            </w:r>
          </w:p>
        </w:tc>
        <w:tc>
          <w:tcPr>
            <w:tcW w:w="700" w:type="dxa"/>
            <w:vAlign w:val="bottom"/>
          </w:tcPr>
          <w:p>
            <w:pPr>
              <w:jc w:val="right"/>
              <w:ind w:right="70"/>
              <w:spacing w:after="0" w:line="168" w:lineRule="exact"/>
              <w:rPr>
                <w:sz w:val="20"/>
                <w:szCs w:val="20"/>
                <w:color w:val="auto"/>
              </w:rPr>
            </w:pPr>
            <w:r>
              <w:rPr>
                <w:rFonts w:ascii="Courier New" w:cs="Courier New" w:eastAsia="Courier New" w:hAnsi="Courier New"/>
                <w:sz w:val="15"/>
                <w:szCs w:val="15"/>
                <w:color w:val="auto"/>
              </w:rPr>
              <w:t>25.1</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64.6</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25.2</w:t>
            </w:r>
          </w:p>
        </w:tc>
        <w:tc>
          <w:tcPr>
            <w:tcW w:w="0" w:type="dxa"/>
            <w:vAlign w:val="bottom"/>
          </w:tcPr>
          <w:p>
            <w:pPr>
              <w:spacing w:after="0"/>
              <w:rPr>
                <w:sz w:val="1"/>
                <w:szCs w:val="1"/>
                <w:color w:val="auto"/>
              </w:rPr>
            </w:pPr>
          </w:p>
        </w:tc>
      </w:tr>
      <w:tr>
        <w:trPr>
          <w:trHeight w:val="168"/>
        </w:trPr>
        <w:tc>
          <w:tcPr>
            <w:tcW w:w="4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Foreign.............................................</w:t>
            </w:r>
          </w:p>
        </w:tc>
        <w:tc>
          <w:tcPr>
            <w:tcW w:w="700" w:type="dxa"/>
            <w:vAlign w:val="bottom"/>
          </w:tcPr>
          <w:p>
            <w:pPr>
              <w:jc w:val="right"/>
              <w:ind w:right="70"/>
              <w:spacing w:after="0" w:line="168" w:lineRule="exact"/>
              <w:rPr>
                <w:sz w:val="20"/>
                <w:szCs w:val="20"/>
                <w:color w:val="auto"/>
              </w:rPr>
            </w:pPr>
            <w:r>
              <w:rPr>
                <w:rFonts w:ascii="Courier New" w:cs="Courier New" w:eastAsia="Courier New" w:hAnsi="Courier New"/>
                <w:sz w:val="15"/>
                <w:szCs w:val="15"/>
                <w:color w:val="auto"/>
              </w:rPr>
              <w:t>9.3</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r>
        <w:trPr>
          <w:trHeight w:val="168"/>
        </w:trPr>
        <w:tc>
          <w:tcPr>
            <w:tcW w:w="4760" w:type="dxa"/>
            <w:vAlign w:val="bottom"/>
          </w:tcPr>
          <w:p>
            <w:pPr>
              <w:spacing w:after="0"/>
              <w:rPr>
                <w:sz w:val="14"/>
                <w:szCs w:val="14"/>
                <w:color w:val="auto"/>
              </w:rPr>
            </w:pPr>
          </w:p>
        </w:tc>
        <w:tc>
          <w:tcPr>
            <w:tcW w:w="700" w:type="dxa"/>
            <w:vAlign w:val="bottom"/>
            <w:vMerge w:val="restart"/>
          </w:tcPr>
          <w:p>
            <w:pPr>
              <w:jc w:val="right"/>
              <w:ind w:right="70"/>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8"/>
                <w:szCs w:val="18"/>
                <w:color w:val="auto"/>
                <w:w w:val="71"/>
                <w:vertAlign w:val="subscript"/>
              </w:rPr>
              <w:t>308.9</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9"/>
        </w:trPr>
        <w:tc>
          <w:tcPr>
            <w:tcW w:w="4760" w:type="dxa"/>
            <w:vAlign w:val="bottom"/>
            <w:vMerge w:val="restart"/>
          </w:tcPr>
          <w:p>
            <w:pPr>
              <w:spacing w:after="0"/>
              <w:rPr>
                <w:sz w:val="20"/>
                <w:szCs w:val="20"/>
                <w:color w:val="auto"/>
              </w:rPr>
            </w:pPr>
            <w:r>
              <w:rPr>
                <w:rFonts w:ascii="Courier New" w:cs="Courier New" w:eastAsia="Courier New" w:hAnsi="Courier New"/>
                <w:sz w:val="15"/>
                <w:szCs w:val="15"/>
                <w:color w:val="auto"/>
              </w:rPr>
              <w:t>Deferred:</w:t>
            </w:r>
          </w:p>
        </w:tc>
        <w:tc>
          <w:tcPr>
            <w:tcW w:w="700" w:type="dxa"/>
            <w:vAlign w:val="bottom"/>
            <w:vMerge w:val="continue"/>
          </w:tcPr>
          <w:p>
            <w:pPr>
              <w:spacing w:after="0"/>
              <w:rPr>
                <w:sz w:val="22"/>
                <w:szCs w:val="22"/>
                <w:color w:val="auto"/>
              </w:rPr>
            </w:pP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480.9</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222.6</w:t>
            </w:r>
          </w:p>
        </w:tc>
        <w:tc>
          <w:tcPr>
            <w:tcW w:w="0" w:type="dxa"/>
            <w:vAlign w:val="bottom"/>
          </w:tcPr>
          <w:p>
            <w:pPr>
              <w:spacing w:after="0"/>
              <w:rPr>
                <w:sz w:val="1"/>
                <w:szCs w:val="1"/>
                <w:color w:val="auto"/>
              </w:rPr>
            </w:pPr>
          </w:p>
        </w:tc>
      </w:tr>
      <w:tr>
        <w:trPr>
          <w:trHeight w:val="77"/>
        </w:trPr>
        <w:tc>
          <w:tcPr>
            <w:tcW w:w="4760" w:type="dxa"/>
            <w:vAlign w:val="bottom"/>
            <w:vMerge w:val="continue"/>
          </w:tcPr>
          <w:p>
            <w:pPr>
              <w:spacing w:after="0"/>
              <w:rPr>
                <w:sz w:val="6"/>
                <w:szCs w:val="6"/>
                <w:color w:val="auto"/>
              </w:rPr>
            </w:pPr>
          </w:p>
        </w:tc>
        <w:tc>
          <w:tcPr>
            <w:tcW w:w="700" w:type="dxa"/>
            <w:vAlign w:val="bottom"/>
            <w:vMerge w:val="restart"/>
          </w:tcPr>
          <w:p>
            <w:pPr>
              <w:jc w:val="right"/>
              <w:ind w:right="70"/>
              <w:spacing w:after="0"/>
              <w:rPr>
                <w:sz w:val="20"/>
                <w:szCs w:val="20"/>
                <w:color w:val="auto"/>
              </w:rPr>
            </w:pPr>
            <w:r>
              <w:rPr>
                <w:rFonts w:ascii="Courier New" w:cs="Courier New" w:eastAsia="Courier New" w:hAnsi="Courier New"/>
                <w:sz w:val="15"/>
                <w:szCs w:val="15"/>
                <w:color w:val="auto"/>
              </w:rPr>
              <w:t>45.5</w:t>
            </w:r>
          </w:p>
        </w:tc>
        <w:tc>
          <w:tcPr>
            <w:tcW w:w="7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21.6</w:t>
            </w: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168"/>
        </w:trPr>
        <w:tc>
          <w:tcPr>
            <w:tcW w:w="4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U.S. federal........................................</w:t>
            </w:r>
          </w:p>
        </w:tc>
        <w:tc>
          <w:tcPr>
            <w:tcW w:w="7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State...............................................</w:t>
            </w:r>
          </w:p>
        </w:tc>
        <w:tc>
          <w:tcPr>
            <w:tcW w:w="700" w:type="dxa"/>
            <w:vAlign w:val="bottom"/>
          </w:tcPr>
          <w:p>
            <w:pPr>
              <w:jc w:val="right"/>
              <w:ind w:right="70"/>
              <w:spacing w:after="0" w:line="168" w:lineRule="exact"/>
              <w:rPr>
                <w:sz w:val="20"/>
                <w:szCs w:val="20"/>
                <w:color w:val="auto"/>
              </w:rPr>
            </w:pPr>
            <w:r>
              <w:rPr>
                <w:rFonts w:ascii="Courier New" w:cs="Courier New" w:eastAsia="Courier New" w:hAnsi="Courier New"/>
                <w:sz w:val="15"/>
                <w:szCs w:val="15"/>
                <w:color w:val="auto"/>
              </w:rPr>
              <w:t>2.6</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w:t>
            </w:r>
          </w:p>
        </w:tc>
        <w:tc>
          <w:tcPr>
            <w:tcW w:w="0" w:type="dxa"/>
            <w:vAlign w:val="bottom"/>
          </w:tcPr>
          <w:p>
            <w:pPr>
              <w:spacing w:after="0"/>
              <w:rPr>
                <w:sz w:val="1"/>
                <w:szCs w:val="1"/>
                <w:color w:val="auto"/>
              </w:rPr>
            </w:pPr>
          </w:p>
        </w:tc>
      </w:tr>
      <w:tr>
        <w:trPr>
          <w:trHeight w:val="168"/>
        </w:trPr>
        <w:tc>
          <w:tcPr>
            <w:tcW w:w="4760" w:type="dxa"/>
            <w:vAlign w:val="bottom"/>
          </w:tcPr>
          <w:p>
            <w:pPr>
              <w:spacing w:after="0"/>
              <w:rPr>
                <w:sz w:val="14"/>
                <w:szCs w:val="14"/>
                <w:color w:val="auto"/>
              </w:rPr>
            </w:pPr>
          </w:p>
        </w:tc>
        <w:tc>
          <w:tcPr>
            <w:tcW w:w="700" w:type="dxa"/>
            <w:vAlign w:val="bottom"/>
            <w:vMerge w:val="restart"/>
          </w:tcPr>
          <w:p>
            <w:pPr>
              <w:jc w:val="right"/>
              <w:ind w:right="70"/>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1"/>
                <w:szCs w:val="21"/>
                <w:color w:val="auto"/>
                <w:w w:val="70"/>
                <w:vertAlign w:val="subscript"/>
              </w:rPr>
              <w:t>48.1</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4760" w:type="dxa"/>
            <w:vAlign w:val="bottom"/>
            <w:vMerge w:val="restart"/>
          </w:tcPr>
          <w:p>
            <w:pPr>
              <w:spacing w:after="0"/>
              <w:rPr>
                <w:sz w:val="20"/>
                <w:szCs w:val="20"/>
                <w:color w:val="auto"/>
              </w:rPr>
            </w:pPr>
            <w:r>
              <w:rPr>
                <w:rFonts w:ascii="Courier New" w:cs="Courier New" w:eastAsia="Courier New" w:hAnsi="Courier New"/>
                <w:sz w:val="15"/>
                <w:szCs w:val="15"/>
                <w:color w:val="auto"/>
              </w:rPr>
              <w:t>Income tax provision</w:t>
            </w:r>
          </w:p>
        </w:tc>
        <w:tc>
          <w:tcPr>
            <w:tcW w:w="700" w:type="dxa"/>
            <w:vAlign w:val="bottom"/>
            <w:vMerge w:val="continue"/>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25.5</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168"/>
        </w:trPr>
        <w:tc>
          <w:tcPr>
            <w:tcW w:w="4760" w:type="dxa"/>
            <w:vAlign w:val="bottom"/>
            <w:vMerge w:val="continue"/>
          </w:tcPr>
          <w:p>
            <w:pPr>
              <w:jc w:val="right"/>
              <w:spacing w:after="0" w:line="14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0"/>
              <w:spacing w:after="0" w:line="168" w:lineRule="exact"/>
              <w:rPr>
                <w:sz w:val="20"/>
                <w:szCs w:val="20"/>
                <w:color w:val="auto"/>
              </w:rPr>
            </w:pPr>
            <w:r>
              <w:rPr>
                <w:rFonts w:ascii="Courier New" w:cs="Courier New" w:eastAsia="Courier New" w:hAnsi="Courier New"/>
                <w:sz w:val="15"/>
                <w:szCs w:val="15"/>
                <w:color w:val="auto"/>
                <w:w w:val="99"/>
              </w:rPr>
              <w:t>$357.0</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$506.4</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$225.3</w:t>
            </w:r>
          </w:p>
        </w:tc>
        <w:tc>
          <w:tcPr>
            <w:tcW w:w="0" w:type="dxa"/>
            <w:vAlign w:val="bottom"/>
          </w:tcPr>
          <w:p>
            <w:pPr>
              <w:spacing w:after="0"/>
              <w:rPr>
                <w:sz w:val="1"/>
                <w:szCs w:val="1"/>
                <w:color w:val="auto"/>
              </w:rPr>
            </w:pPr>
          </w:p>
        </w:tc>
      </w:tr>
      <w:tr>
        <w:trPr>
          <w:trHeight w:val="245"/>
        </w:trPr>
        <w:tc>
          <w:tcPr>
            <w:tcW w:w="476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Courier New" w:cs="Courier New" w:eastAsia="Courier New" w:hAnsi="Courier New"/>
                <w:sz w:val="15"/>
                <w:szCs w:val="15"/>
                <w:color w:val="auto"/>
                <w:w w:val="99"/>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399" w:firstLine="175"/>
        <w:spacing w:after="0" w:line="264" w:lineRule="auto"/>
        <w:rPr>
          <w:sz w:val="20"/>
          <w:szCs w:val="20"/>
          <w:color w:val="auto"/>
        </w:rPr>
      </w:pPr>
      <w:r>
        <w:rPr>
          <w:rFonts w:ascii="Courier New" w:cs="Courier New" w:eastAsia="Courier New" w:hAnsi="Courier New"/>
          <w:sz w:val="15"/>
          <w:szCs w:val="15"/>
          <w:color w:val="auto"/>
        </w:rPr>
        <w:t>The tax benefit associated with the exercise of nonstatutory stock options and disqualifying dispositions by employees of shares issued in the Company's stock purchase plans reduced taxes payable by $20.6 million, $13.6 million and $10.6 million for 1996, 1995 and 1994, respectively. Such benefits are reflected as additional capital.</w:t>
      </w:r>
    </w:p>
    <w:p>
      <w:pPr>
        <w:spacing w:after="0" w:line="75" w:lineRule="exact"/>
        <w:rPr>
          <w:sz w:val="20"/>
          <w:szCs w:val="20"/>
          <w:color w:val="auto"/>
        </w:rPr>
      </w:pPr>
    </w:p>
    <w:p>
      <w:pPr>
        <w:ind w:right="3759" w:firstLine="175"/>
        <w:spacing w:after="0" w:line="344" w:lineRule="auto"/>
        <w:rPr>
          <w:sz w:val="20"/>
          <w:szCs w:val="20"/>
          <w:color w:val="auto"/>
        </w:rPr>
      </w:pPr>
      <w:r>
        <w:rPr>
          <w:rFonts w:ascii="Courier New" w:cs="Courier New" w:eastAsia="Courier New" w:hAnsi="Courier New"/>
          <w:sz w:val="15"/>
          <w:szCs w:val="15"/>
          <w:color w:val="auto"/>
        </w:rPr>
        <w:t>A reconciliation between income tax computed using the federal statutory rate and the income tax provision follows:</w:t>
      </w:r>
    </w:p>
    <w:p>
      <w:pPr>
        <w:spacing w:after="0" w:line="352"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4580" w:type="dxa"/>
            <w:vAlign w:val="bottom"/>
          </w:tcPr>
          <w:p>
            <w:pPr>
              <w:spacing w:after="0"/>
              <w:rPr>
                <w:sz w:val="14"/>
                <w:szCs w:val="14"/>
                <w:color w:val="auto"/>
              </w:rPr>
            </w:pPr>
          </w:p>
        </w:tc>
        <w:tc>
          <w:tcPr>
            <w:tcW w:w="14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8/29/96 8/31/95</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9/1/94</w:t>
            </w:r>
          </w:p>
        </w:tc>
        <w:tc>
          <w:tcPr>
            <w:tcW w:w="0" w:type="dxa"/>
            <w:vAlign w:val="bottom"/>
          </w:tcPr>
          <w:p>
            <w:pPr>
              <w:spacing w:after="0"/>
              <w:rPr>
                <w:sz w:val="1"/>
                <w:szCs w:val="1"/>
                <w:color w:val="auto"/>
              </w:rPr>
            </w:pPr>
          </w:p>
        </w:tc>
      </w:tr>
      <w:tr>
        <w:trPr>
          <w:trHeight w:val="245"/>
        </w:trPr>
        <w:tc>
          <w:tcPr>
            <w:tcW w:w="45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580" w:type="dxa"/>
            <w:vAlign w:val="bottom"/>
          </w:tcPr>
          <w:p>
            <w:pPr>
              <w:spacing w:after="0"/>
              <w:rPr>
                <w:sz w:val="20"/>
                <w:szCs w:val="20"/>
                <w:color w:val="auto"/>
              </w:rPr>
            </w:pPr>
            <w:r>
              <w:rPr>
                <w:rFonts w:ascii="Courier New" w:cs="Courier New" w:eastAsia="Courier New" w:hAnsi="Courier New"/>
                <w:sz w:val="15"/>
                <w:szCs w:val="15"/>
                <w:color w:val="auto"/>
                <w:w w:val="97"/>
              </w:rPr>
              <w:t>U.S. federal income tax at statutory rate...........</w:t>
            </w:r>
          </w:p>
        </w:tc>
        <w:tc>
          <w:tcPr>
            <w:tcW w:w="700" w:type="dxa"/>
            <w:vAlign w:val="bottom"/>
          </w:tcPr>
          <w:p>
            <w:pPr>
              <w:jc w:val="right"/>
              <w:ind w:right="50"/>
              <w:spacing w:after="0"/>
              <w:rPr>
                <w:sz w:val="20"/>
                <w:szCs w:val="20"/>
                <w:color w:val="auto"/>
              </w:rPr>
            </w:pPr>
            <w:r>
              <w:rPr>
                <w:rFonts w:ascii="Courier New" w:cs="Courier New" w:eastAsia="Courier New" w:hAnsi="Courier New"/>
                <w:sz w:val="15"/>
                <w:szCs w:val="15"/>
                <w:color w:val="auto"/>
              </w:rPr>
              <w:t>$332.7</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$472.7</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$219.0</w:t>
            </w:r>
          </w:p>
        </w:tc>
        <w:tc>
          <w:tcPr>
            <w:tcW w:w="0" w:type="dxa"/>
            <w:vAlign w:val="bottom"/>
          </w:tcPr>
          <w:p>
            <w:pPr>
              <w:spacing w:after="0"/>
              <w:rPr>
                <w:sz w:val="1"/>
                <w:szCs w:val="1"/>
                <w:color w:val="auto"/>
              </w:rPr>
            </w:pPr>
          </w:p>
        </w:tc>
      </w:tr>
      <w:tr>
        <w:trPr>
          <w:trHeight w:val="168"/>
        </w:trPr>
        <w:tc>
          <w:tcPr>
            <w:tcW w:w="45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State taxes, net of federal benefit.................</w:t>
            </w:r>
          </w:p>
        </w:tc>
        <w:tc>
          <w:tcPr>
            <w:tcW w:w="700" w:type="dxa"/>
            <w:vAlign w:val="bottom"/>
          </w:tcPr>
          <w:p>
            <w:pPr>
              <w:jc w:val="right"/>
              <w:ind w:right="50"/>
              <w:spacing w:after="0" w:line="168" w:lineRule="exact"/>
              <w:rPr>
                <w:sz w:val="20"/>
                <w:szCs w:val="20"/>
                <w:color w:val="auto"/>
              </w:rPr>
            </w:pPr>
            <w:r>
              <w:rPr>
                <w:rFonts w:ascii="Courier New" w:cs="Courier New" w:eastAsia="Courier New" w:hAnsi="Courier New"/>
                <w:sz w:val="15"/>
                <w:szCs w:val="15"/>
                <w:color w:val="auto"/>
              </w:rPr>
              <w:t>17.5</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47.4</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w:t>
            </w:r>
          </w:p>
        </w:tc>
        <w:tc>
          <w:tcPr>
            <w:tcW w:w="0" w:type="dxa"/>
            <w:vAlign w:val="bottom"/>
          </w:tcPr>
          <w:p>
            <w:pPr>
              <w:spacing w:after="0"/>
              <w:rPr>
                <w:sz w:val="1"/>
                <w:szCs w:val="1"/>
                <w:color w:val="auto"/>
              </w:rPr>
            </w:pPr>
          </w:p>
        </w:tc>
      </w:tr>
      <w:tr>
        <w:trPr>
          <w:trHeight w:val="168"/>
        </w:trPr>
        <w:tc>
          <w:tcPr>
            <w:tcW w:w="45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Other...............................................</w:t>
            </w:r>
          </w:p>
        </w:tc>
        <w:tc>
          <w:tcPr>
            <w:tcW w:w="700" w:type="dxa"/>
            <w:vAlign w:val="bottom"/>
          </w:tcPr>
          <w:p>
            <w:pPr>
              <w:jc w:val="right"/>
              <w:ind w:right="50"/>
              <w:spacing w:after="0" w:line="168" w:lineRule="exact"/>
              <w:rPr>
                <w:sz w:val="20"/>
                <w:szCs w:val="20"/>
                <w:color w:val="auto"/>
              </w:rPr>
            </w:pPr>
            <w:r>
              <w:rPr>
                <w:rFonts w:ascii="Courier New" w:cs="Courier New" w:eastAsia="Courier New" w:hAnsi="Courier New"/>
                <w:sz w:val="15"/>
                <w:szCs w:val="15"/>
                <w:color w:val="auto"/>
              </w:rPr>
              <w:t>6.8</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w:t>
            </w:r>
          </w:p>
        </w:tc>
        <w:tc>
          <w:tcPr>
            <w:tcW w:w="0" w:type="dxa"/>
            <w:vAlign w:val="bottom"/>
          </w:tcPr>
          <w:p>
            <w:pPr>
              <w:spacing w:after="0"/>
              <w:rPr>
                <w:sz w:val="1"/>
                <w:szCs w:val="1"/>
                <w:color w:val="auto"/>
              </w:rPr>
            </w:pPr>
          </w:p>
        </w:tc>
      </w:tr>
      <w:tr>
        <w:trPr>
          <w:trHeight w:val="168"/>
        </w:trPr>
        <w:tc>
          <w:tcPr>
            <w:tcW w:w="4580" w:type="dxa"/>
            <w:vAlign w:val="bottom"/>
            <w:vMerge w:val="restart"/>
          </w:tcPr>
          <w:p>
            <w:pPr>
              <w:spacing w:after="0"/>
              <w:rPr>
                <w:sz w:val="20"/>
                <w:szCs w:val="20"/>
                <w:color w:val="auto"/>
              </w:rPr>
            </w:pPr>
            <w:r>
              <w:rPr>
                <w:rFonts w:ascii="Courier New" w:cs="Courier New" w:eastAsia="Courier New" w:hAnsi="Courier New"/>
                <w:sz w:val="15"/>
                <w:szCs w:val="15"/>
                <w:color w:val="auto"/>
                <w:w w:val="97"/>
              </w:rPr>
              <w:t>Income tax provision................................</w:t>
            </w:r>
          </w:p>
        </w:tc>
        <w:tc>
          <w:tcPr>
            <w:tcW w:w="700" w:type="dxa"/>
            <w:vAlign w:val="bottom"/>
            <w:vMerge w:val="restart"/>
          </w:tcPr>
          <w:p>
            <w:pPr>
              <w:jc w:val="right"/>
              <w:ind w:right="50"/>
              <w:spacing w:after="0"/>
              <w:rPr>
                <w:sz w:val="20"/>
                <w:szCs w:val="20"/>
                <w:color w:val="auto"/>
              </w:rPr>
            </w:pPr>
            <w:r>
              <w:rPr>
                <w:rFonts w:ascii="Courier New" w:cs="Courier New" w:eastAsia="Courier New" w:hAnsi="Courier New"/>
                <w:sz w:val="17"/>
                <w:szCs w:val="17"/>
                <w:color w:val="auto"/>
                <w:w w:val="72"/>
                <w:vertAlign w:val="subscript"/>
              </w:rPr>
              <w:t>$</w:t>
            </w:r>
            <w:r>
              <w:rPr>
                <w:rFonts w:ascii="Courier New" w:cs="Courier New" w:eastAsia="Courier New" w:hAnsi="Courier New"/>
                <w:sz w:val="10"/>
                <w:szCs w:val="10"/>
                <w:color w:val="auto"/>
                <w:w w:val="72"/>
              </w:rPr>
              <w:t>------</w:t>
            </w:r>
            <w:r>
              <w:rPr>
                <w:rFonts w:ascii="Courier New" w:cs="Courier New" w:eastAsia="Courier New" w:hAnsi="Courier New"/>
                <w:sz w:val="17"/>
                <w:szCs w:val="17"/>
                <w:color w:val="auto"/>
                <w:w w:val="72"/>
                <w:vertAlign w:val="subscript"/>
              </w:rPr>
              <w:t>357.0</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5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$506.4</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$225.3</w:t>
            </w:r>
          </w:p>
        </w:tc>
        <w:tc>
          <w:tcPr>
            <w:tcW w:w="0" w:type="dxa"/>
            <w:vAlign w:val="bottom"/>
          </w:tcPr>
          <w:p>
            <w:pPr>
              <w:spacing w:after="0"/>
              <w:rPr>
                <w:sz w:val="1"/>
                <w:szCs w:val="1"/>
                <w:color w:val="auto"/>
              </w:rPr>
            </w:pPr>
          </w:p>
        </w:tc>
      </w:tr>
      <w:tr>
        <w:trPr>
          <w:trHeight w:val="245"/>
        </w:trPr>
        <w:tc>
          <w:tcPr>
            <w:tcW w:w="458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499" w:firstLine="175"/>
        <w:spacing w:after="0" w:line="381" w:lineRule="auto"/>
        <w:rPr>
          <w:sz w:val="20"/>
          <w:szCs w:val="20"/>
          <w:color w:val="auto"/>
        </w:rPr>
      </w:pPr>
      <w:r>
        <w:rPr>
          <w:rFonts w:ascii="Courier New" w:cs="Courier New" w:eastAsia="Courier New" w:hAnsi="Courier New"/>
          <w:sz w:val="14"/>
          <w:szCs w:val="14"/>
          <w:color w:val="auto"/>
        </w:rPr>
        <w:t>State taxes reflect utilization of investment tax credits of $31.2 million, $19.1 million and $20.1 million for 1996, 1995 and 1994, respectively.</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598" w:right="1440" w:bottom="1440" w:gutter="0" w:footer="0" w:header="0"/>
        </w:sectPr>
      </w:pPr>
    </w:p>
    <w:bookmarkStart w:id="40" w:name="page41"/>
    <w:bookmarkEnd w:id="40"/>
    <w:p>
      <w:pPr>
        <w:jc w:val="center"/>
        <w:ind w:right="3319"/>
        <w:spacing w:after="0"/>
        <w:rPr>
          <w:sz w:val="20"/>
          <w:szCs w:val="20"/>
          <w:color w:val="auto"/>
        </w:rPr>
      </w:pPr>
      <w:r>
        <w:rPr>
          <w:rFonts w:ascii="Courier New" w:cs="Courier New" w:eastAsia="Courier New" w:hAnsi="Courier New"/>
          <w:sz w:val="15"/>
          <w:szCs w:val="15"/>
          <w:color w:val="auto"/>
        </w:rPr>
        <w:t>MICRON TECHNOLOGY, INC.</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35"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5"/>
          <w:szCs w:val="15"/>
          <w:color w:val="auto"/>
        </w:rPr>
        <w:t>Deferred income taxes reflect the net tax effects of temporary differences between the basis of assets and liabilities for financial reporting and income tax purposes. Deferred income tax assets totaled $127.0 million and $85.7 million and liabilities totaled $219.4 million and $130.0 million at August 29, 1996 and August 31, 1995, respectively. The approximate tax effects of temporary differences which give rise to the net deferred tax liability are as follows:</w:t>
      </w:r>
    </w:p>
    <w:p>
      <w:pPr>
        <w:spacing w:after="0" w:line="200" w:lineRule="exact"/>
        <w:rPr>
          <w:sz w:val="20"/>
          <w:szCs w:val="20"/>
          <w:color w:val="auto"/>
        </w:rPr>
      </w:pPr>
    </w:p>
    <w:p>
      <w:pPr>
        <w:spacing w:after="0" w:line="216"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5200" w:type="dxa"/>
            <w:vAlign w:val="bottom"/>
          </w:tcPr>
          <w:p>
            <w:pPr>
              <w:spacing w:after="0"/>
              <w:rPr>
                <w:sz w:val="14"/>
                <w:szCs w:val="14"/>
                <w:color w:val="auto"/>
              </w:rPr>
            </w:pPr>
          </w:p>
        </w:tc>
        <w:tc>
          <w:tcPr>
            <w:tcW w:w="7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8/29/96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8/31/95</w:t>
            </w:r>
          </w:p>
        </w:tc>
        <w:tc>
          <w:tcPr>
            <w:tcW w:w="0" w:type="dxa"/>
            <w:vAlign w:val="bottom"/>
          </w:tcPr>
          <w:p>
            <w:pPr>
              <w:spacing w:after="0"/>
              <w:rPr>
                <w:sz w:val="1"/>
                <w:szCs w:val="1"/>
                <w:color w:val="auto"/>
              </w:rPr>
            </w:pPr>
          </w:p>
        </w:tc>
      </w:tr>
      <w:tr>
        <w:trPr>
          <w:trHeight w:val="245"/>
        </w:trPr>
        <w:tc>
          <w:tcPr>
            <w:tcW w:w="5200" w:type="dxa"/>
            <w:vAlign w:val="bottom"/>
          </w:tcPr>
          <w:p>
            <w:pPr>
              <w:spacing w:after="0"/>
              <w:rPr>
                <w:sz w:val="21"/>
                <w:szCs w:val="21"/>
                <w:color w:val="auto"/>
              </w:rPr>
            </w:pPr>
          </w:p>
        </w:tc>
        <w:tc>
          <w:tcPr>
            <w:tcW w:w="7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200" w:type="dxa"/>
            <w:vAlign w:val="bottom"/>
          </w:tcPr>
          <w:p>
            <w:pPr>
              <w:spacing w:after="0"/>
              <w:rPr>
                <w:sz w:val="20"/>
                <w:szCs w:val="20"/>
                <w:color w:val="auto"/>
              </w:rPr>
            </w:pPr>
            <w:r>
              <w:rPr>
                <w:rFonts w:ascii="Courier New" w:cs="Courier New" w:eastAsia="Courier New" w:hAnsi="Courier New"/>
                <w:sz w:val="15"/>
                <w:szCs w:val="15"/>
                <w:color w:val="auto"/>
              </w:rPr>
              <w:t>Current deferred tax asset:</w:t>
            </w:r>
          </w:p>
        </w:tc>
        <w:tc>
          <w:tcPr>
            <w:tcW w:w="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13.7</w:t>
            </w:r>
          </w:p>
        </w:tc>
        <w:tc>
          <w:tcPr>
            <w:tcW w:w="6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$ 10.4</w:t>
            </w:r>
          </w:p>
        </w:tc>
        <w:tc>
          <w:tcPr>
            <w:tcW w:w="0" w:type="dxa"/>
            <w:vAlign w:val="bottom"/>
          </w:tcPr>
          <w:p>
            <w:pPr>
              <w:spacing w:after="0"/>
              <w:rPr>
                <w:sz w:val="1"/>
                <w:szCs w:val="1"/>
                <w:color w:val="auto"/>
              </w:rPr>
            </w:pPr>
          </w:p>
        </w:tc>
      </w:tr>
      <w:tr>
        <w:trPr>
          <w:trHeight w:val="168"/>
        </w:trPr>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Accrued product and process technology...................</w:t>
            </w:r>
          </w:p>
        </w:tc>
        <w:tc>
          <w:tcPr>
            <w:tcW w:w="1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Inventory................................................</w:t>
            </w:r>
          </w:p>
        </w:tc>
        <w:tc>
          <w:tcPr>
            <w:tcW w:w="12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13.3</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w:t>
            </w:r>
          </w:p>
        </w:tc>
        <w:tc>
          <w:tcPr>
            <w:tcW w:w="0" w:type="dxa"/>
            <w:vAlign w:val="bottom"/>
          </w:tcPr>
          <w:p>
            <w:pPr>
              <w:spacing w:after="0"/>
              <w:rPr>
                <w:sz w:val="1"/>
                <w:szCs w:val="1"/>
                <w:color w:val="auto"/>
              </w:rPr>
            </w:pPr>
          </w:p>
        </w:tc>
      </w:tr>
      <w:tr>
        <w:trPr>
          <w:trHeight w:val="168"/>
        </w:trPr>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Accrued compensation.....................................</w:t>
            </w:r>
          </w:p>
        </w:tc>
        <w:tc>
          <w:tcPr>
            <w:tcW w:w="12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w:t>
            </w:r>
          </w:p>
        </w:tc>
        <w:tc>
          <w:tcPr>
            <w:tcW w:w="0" w:type="dxa"/>
            <w:vAlign w:val="bottom"/>
          </w:tcPr>
          <w:p>
            <w:pPr>
              <w:spacing w:after="0"/>
              <w:rPr>
                <w:sz w:val="1"/>
                <w:szCs w:val="1"/>
                <w:color w:val="auto"/>
              </w:rPr>
            </w:pPr>
          </w:p>
        </w:tc>
      </w:tr>
      <w:tr>
        <w:trPr>
          <w:trHeight w:val="168"/>
        </w:trPr>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Deferred income..........................................</w:t>
            </w:r>
          </w:p>
        </w:tc>
        <w:tc>
          <w:tcPr>
            <w:tcW w:w="12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c>
          <w:tcPr>
            <w:tcW w:w="0" w:type="dxa"/>
            <w:vAlign w:val="bottom"/>
          </w:tcPr>
          <w:p>
            <w:pPr>
              <w:spacing w:after="0"/>
              <w:rPr>
                <w:sz w:val="1"/>
                <w:szCs w:val="1"/>
                <w:color w:val="auto"/>
              </w:rPr>
            </w:pPr>
          </w:p>
        </w:tc>
      </w:tr>
      <w:tr>
        <w:trPr>
          <w:trHeight w:val="168"/>
        </w:trPr>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operating loss acquired in merger....................</w:t>
            </w:r>
          </w:p>
        </w:tc>
        <w:tc>
          <w:tcPr>
            <w:tcW w:w="12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w:t>
            </w:r>
          </w:p>
        </w:tc>
        <w:tc>
          <w:tcPr>
            <w:tcW w:w="0" w:type="dxa"/>
            <w:vAlign w:val="bottom"/>
          </w:tcPr>
          <w:p>
            <w:pPr>
              <w:spacing w:after="0"/>
              <w:rPr>
                <w:sz w:val="1"/>
                <w:szCs w:val="1"/>
                <w:color w:val="auto"/>
              </w:rPr>
            </w:pPr>
          </w:p>
        </w:tc>
      </w:tr>
      <w:tr>
        <w:trPr>
          <w:trHeight w:val="168"/>
        </w:trPr>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w:t>
            </w:r>
          </w:p>
        </w:tc>
        <w:tc>
          <w:tcPr>
            <w:tcW w:w="12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25.0</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w:t>
            </w:r>
          </w:p>
        </w:tc>
        <w:tc>
          <w:tcPr>
            <w:tcW w:w="0" w:type="dxa"/>
            <w:vAlign w:val="bottom"/>
          </w:tcPr>
          <w:p>
            <w:pPr>
              <w:spacing w:after="0"/>
              <w:rPr>
                <w:sz w:val="1"/>
                <w:szCs w:val="1"/>
                <w:color w:val="auto"/>
              </w:rPr>
            </w:pPr>
          </w:p>
        </w:tc>
      </w:tr>
      <w:tr>
        <w:trPr>
          <w:trHeight w:val="168"/>
        </w:trPr>
        <w:tc>
          <w:tcPr>
            <w:tcW w:w="5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Net deferred tax asset.................................</w:t>
            </w:r>
          </w:p>
        </w:tc>
        <w:tc>
          <w:tcPr>
            <w:tcW w:w="120" w:type="dxa"/>
            <w:vAlign w:val="bottom"/>
          </w:tcPr>
          <w:p>
            <w:pPr>
              <w:jc w:val="right"/>
              <w:spacing w:after="0"/>
              <w:rPr>
                <w:sz w:val="20"/>
                <w:szCs w:val="20"/>
                <w:color w:val="auto"/>
              </w:rPr>
            </w:pPr>
            <w:r>
              <w:rPr>
                <w:rFonts w:ascii="Courier New" w:cs="Courier New" w:eastAsia="Courier New" w:hAnsi="Courier New"/>
                <w:sz w:val="3"/>
                <w:szCs w:val="3"/>
                <w:color w:val="auto"/>
                <w:w w:val="78"/>
              </w:rPr>
              <w:t>-------</w:t>
            </w:r>
          </w:p>
        </w:tc>
        <w:tc>
          <w:tcPr>
            <w:tcW w:w="6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65.0</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49.0</w:t>
            </w:r>
          </w:p>
        </w:tc>
        <w:tc>
          <w:tcPr>
            <w:tcW w:w="0" w:type="dxa"/>
            <w:vAlign w:val="bottom"/>
          </w:tcPr>
          <w:p>
            <w:pPr>
              <w:spacing w:after="0"/>
              <w:rPr>
                <w:sz w:val="1"/>
                <w:szCs w:val="1"/>
                <w:color w:val="auto"/>
              </w:rPr>
            </w:pPr>
          </w:p>
        </w:tc>
      </w:tr>
      <w:tr>
        <w:trPr>
          <w:trHeight w:val="245"/>
        </w:trPr>
        <w:tc>
          <w:tcPr>
            <w:tcW w:w="5200" w:type="dxa"/>
            <w:vAlign w:val="bottom"/>
            <w:vMerge w:val="restart"/>
          </w:tcPr>
          <w:p>
            <w:pPr>
              <w:spacing w:after="0"/>
              <w:rPr>
                <w:sz w:val="20"/>
                <w:szCs w:val="20"/>
                <w:color w:val="auto"/>
              </w:rPr>
            </w:pPr>
            <w:r>
              <w:rPr>
                <w:rFonts w:ascii="Courier New" w:cs="Courier New" w:eastAsia="Courier New" w:hAnsi="Courier New"/>
                <w:sz w:val="15"/>
                <w:szCs w:val="15"/>
                <w:color w:val="auto"/>
              </w:rPr>
              <w:t>Noncurrent deferred tax asset (liability):</w:t>
            </w:r>
          </w:p>
        </w:tc>
        <w:tc>
          <w:tcPr>
            <w:tcW w:w="7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5"/>
              </w:rPr>
              <w:t>(131.5)</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(83.5)</w:t>
            </w:r>
          </w:p>
        </w:tc>
        <w:tc>
          <w:tcPr>
            <w:tcW w:w="0" w:type="dxa"/>
            <w:vAlign w:val="bottom"/>
          </w:tcPr>
          <w:p>
            <w:pPr>
              <w:spacing w:after="0"/>
              <w:rPr>
                <w:sz w:val="1"/>
                <w:szCs w:val="1"/>
                <w:color w:val="auto"/>
              </w:rPr>
            </w:pPr>
          </w:p>
        </w:tc>
      </w:tr>
      <w:tr>
        <w:trPr>
          <w:trHeight w:val="168"/>
        </w:trPr>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Excess tax over book depreciation........................</w:t>
            </w: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Accrued product and process technology...................</w:t>
            </w:r>
          </w:p>
        </w:tc>
        <w:tc>
          <w:tcPr>
            <w:tcW w:w="12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21.3</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w:t>
            </w:r>
          </w:p>
        </w:tc>
        <w:tc>
          <w:tcPr>
            <w:tcW w:w="0" w:type="dxa"/>
            <w:vAlign w:val="bottom"/>
          </w:tcPr>
          <w:p>
            <w:pPr>
              <w:spacing w:after="0"/>
              <w:rPr>
                <w:sz w:val="1"/>
                <w:szCs w:val="1"/>
                <w:color w:val="auto"/>
              </w:rPr>
            </w:pPr>
          </w:p>
        </w:tc>
      </w:tr>
      <w:tr>
        <w:trPr>
          <w:trHeight w:val="168"/>
        </w:trPr>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Investment in subsidiary.................................</w:t>
            </w:r>
          </w:p>
        </w:tc>
        <w:tc>
          <w:tcPr>
            <w:tcW w:w="1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w:t>
            </w:r>
          </w:p>
        </w:tc>
        <w:tc>
          <w:tcPr>
            <w:tcW w:w="0" w:type="dxa"/>
            <w:vAlign w:val="bottom"/>
          </w:tcPr>
          <w:p>
            <w:pPr>
              <w:spacing w:after="0"/>
              <w:rPr>
                <w:sz w:val="1"/>
                <w:szCs w:val="1"/>
                <w:color w:val="auto"/>
              </w:rPr>
            </w:pPr>
          </w:p>
        </w:tc>
      </w:tr>
      <w:tr>
        <w:trPr>
          <w:trHeight w:val="168"/>
        </w:trPr>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w:t>
            </w:r>
          </w:p>
        </w:tc>
        <w:tc>
          <w:tcPr>
            <w:tcW w:w="1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(30.8)</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w:t>
            </w:r>
          </w:p>
        </w:tc>
        <w:tc>
          <w:tcPr>
            <w:tcW w:w="0" w:type="dxa"/>
            <w:vAlign w:val="bottom"/>
          </w:tcPr>
          <w:p>
            <w:pPr>
              <w:spacing w:after="0"/>
              <w:rPr>
                <w:sz w:val="1"/>
                <w:szCs w:val="1"/>
                <w:color w:val="auto"/>
              </w:rPr>
            </w:pPr>
          </w:p>
        </w:tc>
      </w:tr>
      <w:tr>
        <w:trPr>
          <w:trHeight w:val="168"/>
        </w:trPr>
        <w:tc>
          <w:tcPr>
            <w:tcW w:w="5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Net deferred tax liability.............................</w:t>
            </w:r>
          </w:p>
        </w:tc>
        <w:tc>
          <w:tcPr>
            <w:tcW w:w="120" w:type="dxa"/>
            <w:vAlign w:val="bottom"/>
          </w:tcPr>
          <w:p>
            <w:pPr>
              <w:jc w:val="right"/>
              <w:spacing w:after="0"/>
              <w:rPr>
                <w:sz w:val="20"/>
                <w:szCs w:val="20"/>
                <w:color w:val="auto"/>
              </w:rPr>
            </w:pPr>
            <w:r>
              <w:rPr>
                <w:rFonts w:ascii="Courier New" w:cs="Courier New" w:eastAsia="Courier New" w:hAnsi="Courier New"/>
                <w:sz w:val="3"/>
                <w:szCs w:val="3"/>
                <w:color w:val="auto"/>
                <w:w w:val="78"/>
              </w:rPr>
              <w:t>-------</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5"/>
              </w:rPr>
              <w:t>(157.4)</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(93.3)</w:t>
            </w:r>
          </w:p>
        </w:tc>
        <w:tc>
          <w:tcPr>
            <w:tcW w:w="0" w:type="dxa"/>
            <w:vAlign w:val="bottom"/>
          </w:tcPr>
          <w:p>
            <w:pPr>
              <w:spacing w:after="0"/>
              <w:rPr>
                <w:sz w:val="1"/>
                <w:szCs w:val="1"/>
                <w:color w:val="auto"/>
              </w:rPr>
            </w:pPr>
          </w:p>
        </w:tc>
      </w:tr>
      <w:tr>
        <w:trPr>
          <w:trHeight w:val="168"/>
        </w:trPr>
        <w:tc>
          <w:tcPr>
            <w:tcW w:w="5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Total net deferred tax liability...........................</w:t>
            </w:r>
          </w:p>
        </w:tc>
        <w:tc>
          <w:tcPr>
            <w:tcW w:w="12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99"/>
                <w:vertAlign w:val="subscript"/>
              </w:rPr>
              <w:t>$</w:t>
            </w:r>
            <w:r>
              <w:rPr>
                <w:rFonts w:ascii="Courier New" w:cs="Courier New" w:eastAsia="Courier New" w:hAnsi="Courier New"/>
                <w:sz w:val="2"/>
                <w:szCs w:val="2"/>
                <w:color w:val="auto"/>
                <w:w w:val="99"/>
              </w:rPr>
              <w:t>-------</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(92.4)</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2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$(44.3)</w:t>
            </w:r>
          </w:p>
        </w:tc>
        <w:tc>
          <w:tcPr>
            <w:tcW w:w="0" w:type="dxa"/>
            <w:vAlign w:val="bottom"/>
          </w:tcPr>
          <w:p>
            <w:pPr>
              <w:spacing w:after="0"/>
              <w:rPr>
                <w:sz w:val="1"/>
                <w:szCs w:val="1"/>
                <w:color w:val="auto"/>
              </w:rPr>
            </w:pPr>
          </w:p>
        </w:tc>
      </w:tr>
      <w:tr>
        <w:trPr>
          <w:trHeight w:val="245"/>
        </w:trPr>
        <w:tc>
          <w:tcPr>
            <w:tcW w:w="5200" w:type="dxa"/>
            <w:vAlign w:val="bottom"/>
          </w:tcPr>
          <w:p>
            <w:pPr>
              <w:spacing w:after="0"/>
              <w:rPr>
                <w:sz w:val="21"/>
                <w:szCs w:val="21"/>
                <w:color w:val="auto"/>
              </w:rPr>
            </w:pPr>
          </w:p>
        </w:tc>
        <w:tc>
          <w:tcPr>
            <w:tcW w:w="7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399" w:firstLine="175"/>
        <w:spacing w:after="0" w:line="264" w:lineRule="auto"/>
        <w:rPr>
          <w:sz w:val="20"/>
          <w:szCs w:val="20"/>
          <w:color w:val="auto"/>
        </w:rPr>
      </w:pPr>
      <w:r>
        <w:rPr>
          <w:rFonts w:ascii="Courier New" w:cs="Courier New" w:eastAsia="Courier New" w:hAnsi="Courier New"/>
          <w:sz w:val="15"/>
          <w:szCs w:val="15"/>
          <w:color w:val="auto"/>
        </w:rPr>
        <w:t>The Company has not recognized a deferred tax liability for the difference between the book basis and tax basis of the common stock of its domestic subsidiaries (such difference relates primarily to unremitted earnings) to the extent the Company expects these basis differences to not be subject to tax at the parent level.</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EXPORT SALES AND MAJOR CUSTOMERS</w:t>
      </w:r>
    </w:p>
    <w:p>
      <w:pPr>
        <w:spacing w:after="0" w:line="166" w:lineRule="exact"/>
        <w:rPr>
          <w:sz w:val="20"/>
          <w:szCs w:val="20"/>
          <w:color w:val="auto"/>
        </w:rPr>
      </w:pPr>
    </w:p>
    <w:p>
      <w:pPr>
        <w:ind w:right="3579" w:firstLine="175"/>
        <w:spacing w:after="0" w:line="258" w:lineRule="auto"/>
        <w:rPr>
          <w:sz w:val="20"/>
          <w:szCs w:val="20"/>
          <w:color w:val="auto"/>
        </w:rPr>
      </w:pPr>
      <w:r>
        <w:rPr>
          <w:rFonts w:ascii="Courier New" w:cs="Courier New" w:eastAsia="Courier New" w:hAnsi="Courier New"/>
          <w:sz w:val="15"/>
          <w:szCs w:val="15"/>
          <w:color w:val="auto"/>
        </w:rPr>
        <w:t>Export sales were $938.4 million for 1996, including $375.9 million to Europe and $320.9 million to Asia Pacific. Export sales were $753.7 million and $471.0 million in 1995 and 1994, respectively. Sales to one personal computer manufacturing customer approximated 11% of total net sales in 1994. No other customer individually accounted for 10% or more of the Company's total net sales.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166" w:lineRule="exact"/>
        <w:rPr>
          <w:sz w:val="20"/>
          <w:szCs w:val="20"/>
          <w:color w:val="auto"/>
        </w:rPr>
      </w:pPr>
    </w:p>
    <w:p>
      <w:pPr>
        <w:ind w:right="3499" w:firstLine="175"/>
        <w:spacing w:after="0" w:line="270" w:lineRule="auto"/>
        <w:rPr>
          <w:sz w:val="20"/>
          <w:szCs w:val="20"/>
          <w:color w:val="auto"/>
        </w:rPr>
      </w:pPr>
      <w:r>
        <w:rPr>
          <w:rFonts w:ascii="Courier New" w:cs="Courier New" w:eastAsia="Courier New" w:hAnsi="Courier New"/>
          <w:sz w:val="14"/>
          <w:szCs w:val="14"/>
          <w:color w:val="auto"/>
        </w:rPr>
        <w:t>Periodically, the Company is made aware that technology used by the Company in the manufacture of some or all of its products may infringe on product or process technology rights held by others. The Company has accrued a liability and charged operations for the estimated costs of settlement or adjudication of asserted and unasserted claims for alleged infringement prior to the balance sheet date. Determination that the Company's manufacture of products has infringed on valid rights held by others could have a material adverse effect on the Company's financial position, results of operations or cash flows and could require changes in production processes and products.</w:t>
      </w:r>
    </w:p>
    <w:p>
      <w:pPr>
        <w:spacing w:after="0" w:line="76" w:lineRule="exact"/>
        <w:rPr>
          <w:sz w:val="20"/>
          <w:szCs w:val="20"/>
          <w:color w:val="auto"/>
        </w:rPr>
      </w:pPr>
    </w:p>
    <w:p>
      <w:pPr>
        <w:ind w:right="3499" w:firstLine="175"/>
        <w:spacing w:after="0" w:line="320" w:lineRule="auto"/>
        <w:rPr>
          <w:sz w:val="20"/>
          <w:szCs w:val="20"/>
          <w:color w:val="auto"/>
        </w:rPr>
      </w:pPr>
      <w:r>
        <w:rPr>
          <w:rFonts w:ascii="Courier New" w:cs="Courier New" w:eastAsia="Courier New" w:hAnsi="Courier New"/>
          <w:sz w:val="14"/>
          <w:szCs w:val="14"/>
          <w:color w:val="auto"/>
        </w:rPr>
        <w:t>The Company is currently a party to various other legal actions arising out of the normal course of business, none of which are expected to have a material effect on the Company's financial position or results of operations.</w:t>
      </w:r>
    </w:p>
    <w:p>
      <w:pPr>
        <w:spacing w:after="0" w:line="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598" w:right="1440"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45"/>
        </w:trPr>
        <w:tc>
          <w:tcPr>
            <w:tcW w:w="474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MICRON TECHNOLOGY, INC.</w:t>
            </w: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4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4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3"/>
              </w:rPr>
              <w:t>--(CONTINUED)</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180" w:type="dxa"/>
            <w:vAlign w:val="bottom"/>
            <w:gridSpan w:val="5"/>
          </w:tcPr>
          <w:p>
            <w:pPr>
              <w:jc w:val="right"/>
              <w:ind w:right="247"/>
              <w:spacing w:after="0"/>
              <w:rPr>
                <w:sz w:val="20"/>
                <w:szCs w:val="20"/>
                <w:color w:val="auto"/>
              </w:rPr>
            </w:pPr>
            <w:r>
              <w:rPr>
                <w:rFonts w:ascii="Courier New" w:cs="Courier New" w:eastAsia="Courier New" w:hAnsi="Courier New"/>
                <w:sz w:val="15"/>
                <w:szCs w:val="15"/>
                <w:color w:val="auto"/>
              </w:rPr>
              <w:t>QUARTERLY FINANCIAL AND MARKET INFORMATION (UNAUDITED)</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6180" w:type="dxa"/>
            <w:vAlign w:val="bottom"/>
            <w:gridSpan w:val="5"/>
          </w:tcPr>
          <w:p>
            <w:pPr>
              <w:jc w:val="right"/>
              <w:ind w:right="507"/>
              <w:spacing w:after="0"/>
              <w:rPr>
                <w:sz w:val="20"/>
                <w:szCs w:val="20"/>
                <w:color w:val="auto"/>
              </w:rPr>
            </w:pPr>
            <w:r>
              <w:rPr>
                <w:rFonts w:ascii="Courier New" w:cs="Courier New" w:eastAsia="Courier New" w:hAnsi="Courier New"/>
                <w:sz w:val="15"/>
                <w:szCs w:val="15"/>
                <w:color w:val="auto"/>
              </w:rPr>
              <w:t>(Dollars in millions, except for per share data)</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1ST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2ND</w:t>
            </w:r>
          </w:p>
        </w:tc>
        <w:tc>
          <w:tcPr>
            <w:tcW w:w="7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3RD</w:t>
            </w:r>
          </w:p>
        </w:tc>
        <w:tc>
          <w:tcPr>
            <w:tcW w:w="180" w:type="dxa"/>
            <w:vAlign w:val="bottom"/>
          </w:tcPr>
          <w:p>
            <w:pPr>
              <w:spacing w:after="0"/>
              <w:rPr>
                <w:sz w:val="24"/>
                <w:szCs w:val="24"/>
                <w:color w:val="auto"/>
              </w:rPr>
            </w:pPr>
          </w:p>
        </w:tc>
        <w:tc>
          <w:tcPr>
            <w:tcW w:w="6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4TH</w:t>
            </w:r>
          </w:p>
        </w:tc>
        <w:tc>
          <w:tcPr>
            <w:tcW w:w="0" w:type="dxa"/>
            <w:vAlign w:val="bottom"/>
          </w:tcPr>
          <w:p>
            <w:pPr>
              <w:spacing w:after="0"/>
              <w:rPr>
                <w:sz w:val="1"/>
                <w:szCs w:val="1"/>
                <w:color w:val="auto"/>
              </w:rPr>
            </w:pPr>
          </w:p>
        </w:tc>
      </w:tr>
      <w:tr>
        <w:trPr>
          <w:trHeight w:val="245"/>
        </w:trPr>
        <w:tc>
          <w:tcPr>
            <w:tcW w:w="3900" w:type="dxa"/>
            <w:vAlign w:val="bottom"/>
          </w:tcPr>
          <w:p>
            <w:pPr>
              <w:spacing w:after="0"/>
              <w:rPr>
                <w:sz w:val="21"/>
                <w:szCs w:val="21"/>
                <w:color w:val="auto"/>
              </w:rPr>
            </w:pP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9"/>
        </w:trPr>
        <w:tc>
          <w:tcPr>
            <w:tcW w:w="3900" w:type="dxa"/>
            <w:vAlign w:val="bottom"/>
          </w:tcPr>
          <w:p>
            <w:pPr>
              <w:spacing w:after="0"/>
              <w:rPr>
                <w:sz w:val="20"/>
                <w:szCs w:val="20"/>
                <w:color w:val="auto"/>
              </w:rPr>
            </w:pPr>
            <w:r>
              <w:rPr>
                <w:rFonts w:ascii="Courier New" w:cs="Courier New" w:eastAsia="Courier New" w:hAnsi="Courier New"/>
                <w:sz w:val="15"/>
                <w:szCs w:val="15"/>
                <w:color w:val="auto"/>
              </w:rPr>
              <w:t>1996 QUARTER</w:t>
            </w:r>
          </w:p>
        </w:tc>
        <w:tc>
          <w:tcPr>
            <w:tcW w:w="840" w:type="dxa"/>
            <w:vAlign w:val="bottom"/>
            <w:gridSpan w:val="2"/>
            <w:vMerge w:val="restart"/>
          </w:tcPr>
          <w:p>
            <w:pPr>
              <w:jc w:val="right"/>
              <w:ind w:right="27"/>
              <w:spacing w:after="0"/>
              <w:rPr>
                <w:sz w:val="20"/>
                <w:szCs w:val="20"/>
                <w:color w:val="auto"/>
              </w:rPr>
            </w:pPr>
            <w:r>
              <w:rPr>
                <w:rFonts w:ascii="Courier New" w:cs="Courier New" w:eastAsia="Courier New" w:hAnsi="Courier New"/>
                <w:sz w:val="15"/>
                <w:szCs w:val="15"/>
                <w:color w:val="auto"/>
                <w:w w:val="99"/>
              </w:rPr>
              <w:t>$1,185.8</w:t>
            </w: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$996.5</w:t>
            </w:r>
          </w:p>
        </w:tc>
        <w:tc>
          <w:tcPr>
            <w:tcW w:w="7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9"/>
              </w:rPr>
              <w:t>$771.0</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700.5</w:t>
            </w:r>
          </w:p>
        </w:tc>
        <w:tc>
          <w:tcPr>
            <w:tcW w:w="0" w:type="dxa"/>
            <w:vAlign w:val="bottom"/>
          </w:tcPr>
          <w:p>
            <w:pPr>
              <w:spacing w:after="0"/>
              <w:rPr>
                <w:sz w:val="1"/>
                <w:szCs w:val="1"/>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Net sales...................................</w:t>
            </w:r>
          </w:p>
        </w:tc>
        <w:tc>
          <w:tcPr>
            <w:tcW w:w="84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220" w:type="dxa"/>
            <w:vAlign w:val="bottom"/>
          </w:tcPr>
          <w:p>
            <w:pPr>
              <w:spacing w:after="0"/>
              <w:rPr>
                <w:sz w:val="14"/>
                <w:szCs w:val="14"/>
                <w:color w:val="auto"/>
              </w:rPr>
            </w:pP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538.1</w:t>
            </w: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552.1</w:t>
            </w:r>
          </w:p>
        </w:tc>
        <w:tc>
          <w:tcPr>
            <w:tcW w:w="7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558.0</w:t>
            </w:r>
          </w:p>
        </w:tc>
        <w:tc>
          <w:tcPr>
            <w:tcW w:w="180" w:type="dxa"/>
            <w:vAlign w:val="bottom"/>
          </w:tcPr>
          <w:p>
            <w:pPr>
              <w:spacing w:after="0"/>
              <w:rPr>
                <w:sz w:val="14"/>
                <w:szCs w:val="14"/>
                <w:color w:val="auto"/>
              </w:rPr>
            </w:pPr>
          </w:p>
        </w:tc>
        <w:tc>
          <w:tcPr>
            <w:tcW w:w="6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550.2</w:t>
            </w:r>
          </w:p>
        </w:tc>
        <w:tc>
          <w:tcPr>
            <w:tcW w:w="0" w:type="dxa"/>
            <w:vAlign w:val="bottom"/>
          </w:tcPr>
          <w:p>
            <w:pPr>
              <w:spacing w:after="0"/>
              <w:rPr>
                <w:sz w:val="1"/>
                <w:szCs w:val="1"/>
                <w:color w:val="auto"/>
              </w:rPr>
            </w:pPr>
          </w:p>
        </w:tc>
      </w:tr>
      <w:tr>
        <w:trPr>
          <w:trHeight w:val="168"/>
        </w:trPr>
        <w:tc>
          <w:tcPr>
            <w:tcW w:w="3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Cost of goods sold........................</w:t>
            </w:r>
          </w:p>
        </w:tc>
        <w:tc>
          <w:tcPr>
            <w:tcW w:w="2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72.7</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72.4</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65.1</w:t>
            </w:r>
          </w:p>
        </w:tc>
        <w:tc>
          <w:tcPr>
            <w:tcW w:w="18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79.2</w:t>
            </w:r>
          </w:p>
        </w:tc>
        <w:tc>
          <w:tcPr>
            <w:tcW w:w="0" w:type="dxa"/>
            <w:vAlign w:val="bottom"/>
          </w:tcPr>
          <w:p>
            <w:pPr>
              <w:spacing w:after="0"/>
              <w:rPr>
                <w:sz w:val="1"/>
                <w:szCs w:val="1"/>
                <w:color w:val="auto"/>
              </w:rPr>
            </w:pPr>
          </w:p>
        </w:tc>
      </w:tr>
      <w:tr>
        <w:trPr>
          <w:trHeight w:val="168"/>
        </w:trPr>
        <w:tc>
          <w:tcPr>
            <w:tcW w:w="3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46.6</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48.0</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51.2</w:t>
            </w:r>
          </w:p>
        </w:tc>
        <w:tc>
          <w:tcPr>
            <w:tcW w:w="18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46.1</w:t>
            </w:r>
          </w:p>
        </w:tc>
        <w:tc>
          <w:tcPr>
            <w:tcW w:w="0" w:type="dxa"/>
            <w:vAlign w:val="bottom"/>
          </w:tcPr>
          <w:p>
            <w:pPr>
              <w:spacing w:after="0"/>
              <w:rPr>
                <w:sz w:val="1"/>
                <w:szCs w:val="1"/>
                <w:color w:val="auto"/>
              </w:rPr>
            </w:pPr>
          </w:p>
        </w:tc>
      </w:tr>
      <w:tr>
        <w:trPr>
          <w:trHeight w:val="168"/>
        </w:trPr>
        <w:tc>
          <w:tcPr>
            <w:tcW w:w="3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Restructuring charge......................</w:t>
            </w:r>
          </w:p>
        </w:tc>
        <w:tc>
          <w:tcPr>
            <w:tcW w:w="2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29.9</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w:t>
            </w:r>
          </w:p>
        </w:tc>
        <w:tc>
          <w:tcPr>
            <w:tcW w:w="0" w:type="dxa"/>
            <w:vAlign w:val="bottom"/>
          </w:tcPr>
          <w:p>
            <w:pPr>
              <w:spacing w:after="0"/>
              <w:rPr>
                <w:sz w:val="1"/>
                <w:szCs w:val="1"/>
                <w:color w:val="auto"/>
              </w:rPr>
            </w:pPr>
          </w:p>
        </w:tc>
      </w:tr>
      <w:tr>
        <w:trPr>
          <w:trHeight w:val="168"/>
        </w:trPr>
        <w:tc>
          <w:tcPr>
            <w:tcW w:w="3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 costs and expenses................</w:t>
            </w:r>
          </w:p>
        </w:tc>
        <w:tc>
          <w:tcPr>
            <w:tcW w:w="220" w:type="dxa"/>
            <w:vAlign w:val="bottom"/>
          </w:tcPr>
          <w:p>
            <w:pPr>
              <w:ind w:left="40"/>
              <w:spacing w:after="0"/>
              <w:rPr>
                <w:sz w:val="20"/>
                <w:szCs w:val="20"/>
                <w:color w:val="auto"/>
              </w:rPr>
            </w:pPr>
            <w:r>
              <w:rPr>
                <w:rFonts w:ascii="Courier New" w:cs="Courier New" w:eastAsia="Courier New" w:hAnsi="Courier New"/>
                <w:sz w:val="4"/>
                <w:szCs w:val="4"/>
                <w:color w:val="auto"/>
                <w:w w:val="83"/>
              </w:rPr>
              <w:t>--------</w:t>
            </w: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657.4</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3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702.4</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674.3</w:t>
            </w:r>
          </w:p>
        </w:tc>
        <w:tc>
          <w:tcPr>
            <w:tcW w:w="18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675.2</w:t>
            </w:r>
          </w:p>
        </w:tc>
        <w:tc>
          <w:tcPr>
            <w:tcW w:w="0" w:type="dxa"/>
            <w:vAlign w:val="bottom"/>
          </w:tcPr>
          <w:p>
            <w:pPr>
              <w:spacing w:after="0"/>
              <w:rPr>
                <w:sz w:val="1"/>
                <w:szCs w:val="1"/>
                <w:color w:val="auto"/>
              </w:rPr>
            </w:pPr>
          </w:p>
        </w:tc>
      </w:tr>
      <w:tr>
        <w:trPr>
          <w:trHeight w:val="168"/>
        </w:trPr>
        <w:tc>
          <w:tcPr>
            <w:tcW w:w="3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Operating income............................</w:t>
            </w:r>
          </w:p>
        </w:tc>
        <w:tc>
          <w:tcPr>
            <w:tcW w:w="220" w:type="dxa"/>
            <w:vAlign w:val="bottom"/>
          </w:tcPr>
          <w:p>
            <w:pPr>
              <w:ind w:left="40"/>
              <w:spacing w:after="0"/>
              <w:rPr>
                <w:sz w:val="20"/>
                <w:szCs w:val="20"/>
                <w:color w:val="auto"/>
              </w:rPr>
            </w:pPr>
            <w:r>
              <w:rPr>
                <w:rFonts w:ascii="Courier New" w:cs="Courier New" w:eastAsia="Courier New" w:hAnsi="Courier New"/>
                <w:sz w:val="4"/>
                <w:szCs w:val="4"/>
                <w:color w:val="auto"/>
                <w:w w:val="83"/>
              </w:rPr>
              <w:t>--------</w:t>
            </w: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528.4</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3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294.1</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96.7</w:t>
            </w:r>
          </w:p>
        </w:tc>
        <w:tc>
          <w:tcPr>
            <w:tcW w:w="18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w:t>
            </w:r>
          </w:p>
        </w:tc>
        <w:tc>
          <w:tcPr>
            <w:tcW w:w="0" w:type="dxa"/>
            <w:vAlign w:val="bottom"/>
          </w:tcPr>
          <w:p>
            <w:pPr>
              <w:spacing w:after="0"/>
              <w:rPr>
                <w:sz w:val="1"/>
                <w:szCs w:val="1"/>
                <w:color w:val="auto"/>
              </w:rPr>
            </w:pPr>
          </w:p>
        </w:tc>
      </w:tr>
      <w:tr>
        <w:trPr>
          <w:trHeight w:val="168"/>
        </w:trPr>
        <w:tc>
          <w:tcPr>
            <w:tcW w:w="3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Interest income (expense), net..............</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w:t>
            </w:r>
          </w:p>
        </w:tc>
        <w:tc>
          <w:tcPr>
            <w:tcW w:w="18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68"/>
        </w:trPr>
        <w:tc>
          <w:tcPr>
            <w:tcW w:w="3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Minority interests..........................</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18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c>
          <w:tcPr>
            <w:tcW w:w="0" w:type="dxa"/>
            <w:vAlign w:val="bottom"/>
          </w:tcPr>
          <w:p>
            <w:pPr>
              <w:spacing w:after="0"/>
              <w:rPr>
                <w:sz w:val="1"/>
                <w:szCs w:val="1"/>
                <w:color w:val="auto"/>
              </w:rPr>
            </w:pPr>
          </w:p>
        </w:tc>
      </w:tr>
      <w:tr>
        <w:trPr>
          <w:trHeight w:val="168"/>
        </w:trPr>
        <w:tc>
          <w:tcPr>
            <w:tcW w:w="3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Income before income taxes..................</w:t>
            </w:r>
          </w:p>
        </w:tc>
        <w:tc>
          <w:tcPr>
            <w:tcW w:w="220" w:type="dxa"/>
            <w:vAlign w:val="bottom"/>
          </w:tcPr>
          <w:p>
            <w:pPr>
              <w:ind w:left="40"/>
              <w:spacing w:after="0"/>
              <w:rPr>
                <w:sz w:val="20"/>
                <w:szCs w:val="20"/>
                <w:color w:val="auto"/>
              </w:rPr>
            </w:pPr>
            <w:r>
              <w:rPr>
                <w:rFonts w:ascii="Courier New" w:cs="Courier New" w:eastAsia="Courier New" w:hAnsi="Courier New"/>
                <w:sz w:val="4"/>
                <w:szCs w:val="4"/>
                <w:color w:val="auto"/>
                <w:w w:val="83"/>
              </w:rPr>
              <w:t>--------</w:t>
            </w: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533.1</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3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300.5</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96.8</w:t>
            </w:r>
          </w:p>
        </w:tc>
        <w:tc>
          <w:tcPr>
            <w:tcW w:w="18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w:t>
            </w:r>
          </w:p>
        </w:tc>
        <w:tc>
          <w:tcPr>
            <w:tcW w:w="0" w:type="dxa"/>
            <w:vAlign w:val="bottom"/>
          </w:tcPr>
          <w:p>
            <w:pPr>
              <w:spacing w:after="0"/>
              <w:rPr>
                <w:sz w:val="1"/>
                <w:szCs w:val="1"/>
                <w:color w:val="auto"/>
              </w:rPr>
            </w:pPr>
          </w:p>
        </w:tc>
      </w:tr>
      <w:tr>
        <w:trPr>
          <w:trHeight w:val="168"/>
        </w:trPr>
        <w:tc>
          <w:tcPr>
            <w:tcW w:w="3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Income tax provision........................</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204.6</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112.3</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38.6</w:t>
            </w:r>
          </w:p>
        </w:tc>
        <w:tc>
          <w:tcPr>
            <w:tcW w:w="18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68"/>
        </w:trPr>
        <w:tc>
          <w:tcPr>
            <w:tcW w:w="3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Net income..................................</w:t>
            </w:r>
          </w:p>
        </w:tc>
        <w:tc>
          <w:tcPr>
            <w:tcW w:w="220" w:type="dxa"/>
            <w:vAlign w:val="bottom"/>
            <w:vMerge w:val="restart"/>
          </w:tcPr>
          <w:p>
            <w:pPr>
              <w:ind w:left="40"/>
              <w:spacing w:after="0"/>
              <w:rPr>
                <w:sz w:val="20"/>
                <w:szCs w:val="20"/>
                <w:color w:val="auto"/>
              </w:rPr>
            </w:pPr>
            <w:r>
              <w:rPr>
                <w:rFonts w:ascii="Courier New" w:cs="Courier New" w:eastAsia="Courier New" w:hAnsi="Courier New"/>
                <w:sz w:val="7"/>
                <w:szCs w:val="7"/>
                <w:color w:val="auto"/>
                <w:w w:val="72"/>
                <w:vertAlign w:val="subscript"/>
              </w:rPr>
              <w:t>$</w:t>
            </w:r>
            <w:r>
              <w:rPr>
                <w:rFonts w:ascii="Courier New" w:cs="Courier New" w:eastAsia="Courier New" w:hAnsi="Courier New"/>
                <w:sz w:val="4"/>
                <w:szCs w:val="4"/>
                <w:color w:val="auto"/>
                <w:w w:val="72"/>
              </w:rPr>
              <w:t>--------</w:t>
            </w: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328.5</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39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$188.2</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$ 58.2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18.6</w:t>
            </w:r>
          </w:p>
        </w:tc>
        <w:tc>
          <w:tcPr>
            <w:tcW w:w="0" w:type="dxa"/>
            <w:vAlign w:val="bottom"/>
          </w:tcPr>
          <w:p>
            <w:pPr>
              <w:spacing w:after="0"/>
              <w:rPr>
                <w:sz w:val="1"/>
                <w:szCs w:val="1"/>
                <w:color w:val="auto"/>
              </w:rPr>
            </w:pPr>
          </w:p>
        </w:tc>
      </w:tr>
      <w:tr>
        <w:trPr>
          <w:trHeight w:val="168"/>
        </w:trPr>
        <w:tc>
          <w:tcPr>
            <w:tcW w:w="3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Fully diluted earnings per share............</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3900" w:type="dxa"/>
            <w:vAlign w:val="bottom"/>
            <w:vMerge w:val="continue"/>
          </w:tcPr>
          <w:p>
            <w:pPr>
              <w:spacing w:after="0"/>
              <w:rPr>
                <w:sz w:val="14"/>
                <w:szCs w:val="14"/>
                <w:color w:val="auto"/>
              </w:rPr>
            </w:pP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1.51</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$ 0.87</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$ 0.27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0.09</w:t>
            </w:r>
          </w:p>
        </w:tc>
        <w:tc>
          <w:tcPr>
            <w:tcW w:w="0" w:type="dxa"/>
            <w:vAlign w:val="bottom"/>
          </w:tcPr>
          <w:p>
            <w:pPr>
              <w:spacing w:after="0"/>
              <w:rPr>
                <w:sz w:val="1"/>
                <w:szCs w:val="1"/>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Quarterly stock price:</w:t>
            </w:r>
          </w:p>
        </w:tc>
        <w:tc>
          <w:tcPr>
            <w:tcW w:w="2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94.38</w:t>
            </w: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$54.75</w:t>
            </w:r>
          </w:p>
        </w:tc>
        <w:tc>
          <w:tcPr>
            <w:tcW w:w="7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9"/>
              </w:rPr>
              <w:t>$38.38</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32.13</w:t>
            </w:r>
          </w:p>
        </w:tc>
        <w:tc>
          <w:tcPr>
            <w:tcW w:w="0" w:type="dxa"/>
            <w:vAlign w:val="bottom"/>
          </w:tcPr>
          <w:p>
            <w:pPr>
              <w:spacing w:after="0"/>
              <w:rPr>
                <w:sz w:val="1"/>
                <w:szCs w:val="1"/>
                <w:color w:val="auto"/>
              </w:rPr>
            </w:pPr>
          </w:p>
        </w:tc>
      </w:tr>
      <w:tr>
        <w:trPr>
          <w:trHeight w:val="168"/>
        </w:trPr>
        <w:tc>
          <w:tcPr>
            <w:tcW w:w="3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High......................................</w:t>
            </w:r>
          </w:p>
        </w:tc>
        <w:tc>
          <w:tcPr>
            <w:tcW w:w="2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Low.......................................</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47.75</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30.88</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28.50</w:t>
            </w:r>
          </w:p>
        </w:tc>
        <w:tc>
          <w:tcPr>
            <w:tcW w:w="18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17.25</w:t>
            </w:r>
          </w:p>
        </w:tc>
        <w:tc>
          <w:tcPr>
            <w:tcW w:w="0" w:type="dxa"/>
            <w:vAlign w:val="bottom"/>
          </w:tcPr>
          <w:p>
            <w:pPr>
              <w:spacing w:after="0"/>
              <w:rPr>
                <w:sz w:val="1"/>
                <w:szCs w:val="1"/>
                <w:color w:val="auto"/>
              </w:rPr>
            </w:pPr>
          </w:p>
        </w:tc>
      </w:tr>
      <w:tr>
        <w:trPr>
          <w:trHeight w:val="168"/>
        </w:trPr>
        <w:tc>
          <w:tcPr>
            <w:tcW w:w="3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Dividends declared per share................</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0.05</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0.05</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0.05</w:t>
            </w:r>
          </w:p>
        </w:tc>
        <w:tc>
          <w:tcPr>
            <w:tcW w:w="18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1995 QUARTER</w:t>
            </w:r>
          </w:p>
        </w:tc>
        <w:tc>
          <w:tcPr>
            <w:tcW w:w="2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535.0</w:t>
            </w: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$628.5</w:t>
            </w:r>
          </w:p>
        </w:tc>
        <w:tc>
          <w:tcPr>
            <w:tcW w:w="7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9"/>
              </w:rPr>
              <w:t>$761.2</w:t>
            </w:r>
          </w:p>
        </w:tc>
        <w:tc>
          <w:tcPr>
            <w:tcW w:w="82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w w:val="99"/>
              </w:rPr>
              <w:t>$1,028.0</w:t>
            </w:r>
          </w:p>
        </w:tc>
        <w:tc>
          <w:tcPr>
            <w:tcW w:w="0" w:type="dxa"/>
            <w:vAlign w:val="bottom"/>
          </w:tcPr>
          <w:p>
            <w:pPr>
              <w:spacing w:after="0"/>
              <w:rPr>
                <w:sz w:val="1"/>
                <w:szCs w:val="1"/>
                <w:color w:val="auto"/>
              </w:rPr>
            </w:pPr>
          </w:p>
        </w:tc>
      </w:tr>
      <w:tr>
        <w:trPr>
          <w:trHeight w:val="168"/>
        </w:trPr>
        <w:tc>
          <w:tcPr>
            <w:tcW w:w="3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Net sales...................................</w:t>
            </w:r>
          </w:p>
        </w:tc>
        <w:tc>
          <w:tcPr>
            <w:tcW w:w="2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220" w:type="dxa"/>
            <w:vAlign w:val="bottom"/>
          </w:tcPr>
          <w:p>
            <w:pPr>
              <w:spacing w:after="0"/>
              <w:rPr>
                <w:sz w:val="14"/>
                <w:szCs w:val="14"/>
                <w:color w:val="auto"/>
              </w:rPr>
            </w:pP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224.5</w:t>
            </w: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267.5</w:t>
            </w:r>
          </w:p>
        </w:tc>
        <w:tc>
          <w:tcPr>
            <w:tcW w:w="7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357.2</w:t>
            </w:r>
          </w:p>
        </w:tc>
        <w:tc>
          <w:tcPr>
            <w:tcW w:w="180" w:type="dxa"/>
            <w:vAlign w:val="bottom"/>
          </w:tcPr>
          <w:p>
            <w:pPr>
              <w:spacing w:after="0"/>
              <w:rPr>
                <w:sz w:val="14"/>
                <w:szCs w:val="14"/>
                <w:color w:val="auto"/>
              </w:rPr>
            </w:pPr>
          </w:p>
        </w:tc>
        <w:tc>
          <w:tcPr>
            <w:tcW w:w="6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479.5</w:t>
            </w:r>
          </w:p>
        </w:tc>
        <w:tc>
          <w:tcPr>
            <w:tcW w:w="0" w:type="dxa"/>
            <w:vAlign w:val="bottom"/>
          </w:tcPr>
          <w:p>
            <w:pPr>
              <w:spacing w:after="0"/>
              <w:rPr>
                <w:sz w:val="1"/>
                <w:szCs w:val="1"/>
                <w:color w:val="auto"/>
              </w:rPr>
            </w:pPr>
          </w:p>
        </w:tc>
      </w:tr>
      <w:tr>
        <w:trPr>
          <w:trHeight w:val="168"/>
        </w:trPr>
        <w:tc>
          <w:tcPr>
            <w:tcW w:w="3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Cost of goods sold........................</w:t>
            </w:r>
          </w:p>
        </w:tc>
        <w:tc>
          <w:tcPr>
            <w:tcW w:w="2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36.6</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36.3</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50.9</w:t>
            </w:r>
          </w:p>
        </w:tc>
        <w:tc>
          <w:tcPr>
            <w:tcW w:w="18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63.4</w:t>
            </w:r>
          </w:p>
        </w:tc>
        <w:tc>
          <w:tcPr>
            <w:tcW w:w="0" w:type="dxa"/>
            <w:vAlign w:val="bottom"/>
          </w:tcPr>
          <w:p>
            <w:pPr>
              <w:spacing w:after="0"/>
              <w:rPr>
                <w:sz w:val="1"/>
                <w:szCs w:val="1"/>
                <w:color w:val="auto"/>
              </w:rPr>
            </w:pPr>
          </w:p>
        </w:tc>
      </w:tr>
      <w:tr>
        <w:trPr>
          <w:trHeight w:val="168"/>
        </w:trPr>
        <w:tc>
          <w:tcPr>
            <w:tcW w:w="3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27.0</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28.9</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33.6</w:t>
            </w:r>
          </w:p>
        </w:tc>
        <w:tc>
          <w:tcPr>
            <w:tcW w:w="18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39.3</w:t>
            </w:r>
          </w:p>
        </w:tc>
        <w:tc>
          <w:tcPr>
            <w:tcW w:w="0" w:type="dxa"/>
            <w:vAlign w:val="bottom"/>
          </w:tcPr>
          <w:p>
            <w:pPr>
              <w:spacing w:after="0"/>
              <w:rPr>
                <w:sz w:val="1"/>
                <w:szCs w:val="1"/>
                <w:color w:val="auto"/>
              </w:rPr>
            </w:pPr>
          </w:p>
        </w:tc>
      </w:tr>
      <w:tr>
        <w:trPr>
          <w:trHeight w:val="168"/>
        </w:trPr>
        <w:tc>
          <w:tcPr>
            <w:tcW w:w="3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 costs and expenses................</w:t>
            </w:r>
          </w:p>
        </w:tc>
        <w:tc>
          <w:tcPr>
            <w:tcW w:w="220" w:type="dxa"/>
            <w:vAlign w:val="bottom"/>
          </w:tcPr>
          <w:p>
            <w:pPr>
              <w:ind w:left="40"/>
              <w:spacing w:after="0"/>
              <w:rPr>
                <w:sz w:val="20"/>
                <w:szCs w:val="20"/>
                <w:color w:val="auto"/>
              </w:rPr>
            </w:pPr>
            <w:r>
              <w:rPr>
                <w:rFonts w:ascii="Courier New" w:cs="Courier New" w:eastAsia="Courier New" w:hAnsi="Courier New"/>
                <w:sz w:val="4"/>
                <w:szCs w:val="4"/>
                <w:color w:val="auto"/>
                <w:w w:val="83"/>
              </w:rPr>
              <w:t>--------</w:t>
            </w: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288.1</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3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332.7</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441.7</w:t>
            </w:r>
          </w:p>
        </w:tc>
        <w:tc>
          <w:tcPr>
            <w:tcW w:w="18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582.2</w:t>
            </w:r>
          </w:p>
        </w:tc>
        <w:tc>
          <w:tcPr>
            <w:tcW w:w="0" w:type="dxa"/>
            <w:vAlign w:val="bottom"/>
          </w:tcPr>
          <w:p>
            <w:pPr>
              <w:spacing w:after="0"/>
              <w:rPr>
                <w:sz w:val="1"/>
                <w:szCs w:val="1"/>
                <w:color w:val="auto"/>
              </w:rPr>
            </w:pPr>
          </w:p>
        </w:tc>
      </w:tr>
      <w:tr>
        <w:trPr>
          <w:trHeight w:val="168"/>
        </w:trPr>
        <w:tc>
          <w:tcPr>
            <w:tcW w:w="3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Operating income............................</w:t>
            </w:r>
          </w:p>
        </w:tc>
        <w:tc>
          <w:tcPr>
            <w:tcW w:w="220" w:type="dxa"/>
            <w:vAlign w:val="bottom"/>
          </w:tcPr>
          <w:p>
            <w:pPr>
              <w:ind w:left="40"/>
              <w:spacing w:after="0"/>
              <w:rPr>
                <w:sz w:val="20"/>
                <w:szCs w:val="20"/>
                <w:color w:val="auto"/>
              </w:rPr>
            </w:pPr>
            <w:r>
              <w:rPr>
                <w:rFonts w:ascii="Courier New" w:cs="Courier New" w:eastAsia="Courier New" w:hAnsi="Courier New"/>
                <w:sz w:val="4"/>
                <w:szCs w:val="4"/>
                <w:color w:val="auto"/>
                <w:w w:val="83"/>
              </w:rPr>
              <w:t>--------</w:t>
            </w: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246.9</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3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295.8</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319.5</w:t>
            </w:r>
          </w:p>
        </w:tc>
        <w:tc>
          <w:tcPr>
            <w:tcW w:w="18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445.8</w:t>
            </w:r>
          </w:p>
        </w:tc>
        <w:tc>
          <w:tcPr>
            <w:tcW w:w="0" w:type="dxa"/>
            <w:vAlign w:val="bottom"/>
          </w:tcPr>
          <w:p>
            <w:pPr>
              <w:spacing w:after="0"/>
              <w:rPr>
                <w:sz w:val="1"/>
                <w:szCs w:val="1"/>
                <w:color w:val="auto"/>
              </w:rPr>
            </w:pPr>
          </w:p>
        </w:tc>
      </w:tr>
      <w:tr>
        <w:trPr>
          <w:trHeight w:val="168"/>
        </w:trPr>
        <w:tc>
          <w:tcPr>
            <w:tcW w:w="3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Gain from merger transaction................</w:t>
            </w:r>
          </w:p>
        </w:tc>
        <w:tc>
          <w:tcPr>
            <w:tcW w:w="2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29.0</w:t>
            </w:r>
          </w:p>
        </w:tc>
        <w:tc>
          <w:tcPr>
            <w:tcW w:w="18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Interest income, net........................</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w:t>
            </w:r>
          </w:p>
        </w:tc>
        <w:tc>
          <w:tcPr>
            <w:tcW w:w="18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w:t>
            </w:r>
          </w:p>
        </w:tc>
        <w:tc>
          <w:tcPr>
            <w:tcW w:w="0" w:type="dxa"/>
            <w:vAlign w:val="bottom"/>
          </w:tcPr>
          <w:p>
            <w:pPr>
              <w:spacing w:after="0"/>
              <w:rPr>
                <w:sz w:val="1"/>
                <w:szCs w:val="1"/>
                <w:color w:val="auto"/>
              </w:rPr>
            </w:pPr>
          </w:p>
        </w:tc>
      </w:tr>
      <w:tr>
        <w:trPr>
          <w:trHeight w:val="168"/>
        </w:trPr>
        <w:tc>
          <w:tcPr>
            <w:tcW w:w="3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Minority interests..........................</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8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c>
          <w:tcPr>
            <w:tcW w:w="0" w:type="dxa"/>
            <w:vAlign w:val="bottom"/>
          </w:tcPr>
          <w:p>
            <w:pPr>
              <w:spacing w:after="0"/>
              <w:rPr>
                <w:sz w:val="1"/>
                <w:szCs w:val="1"/>
                <w:color w:val="auto"/>
              </w:rPr>
            </w:pPr>
          </w:p>
        </w:tc>
      </w:tr>
      <w:tr>
        <w:trPr>
          <w:trHeight w:val="168"/>
        </w:trPr>
        <w:tc>
          <w:tcPr>
            <w:tcW w:w="3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Income before income taxes..................</w:t>
            </w:r>
          </w:p>
        </w:tc>
        <w:tc>
          <w:tcPr>
            <w:tcW w:w="220" w:type="dxa"/>
            <w:vAlign w:val="bottom"/>
          </w:tcPr>
          <w:p>
            <w:pPr>
              <w:ind w:left="40"/>
              <w:spacing w:after="0"/>
              <w:rPr>
                <w:sz w:val="20"/>
                <w:szCs w:val="20"/>
                <w:color w:val="auto"/>
              </w:rPr>
            </w:pPr>
            <w:r>
              <w:rPr>
                <w:rFonts w:ascii="Courier New" w:cs="Courier New" w:eastAsia="Courier New" w:hAnsi="Courier New"/>
                <w:sz w:val="4"/>
                <w:szCs w:val="4"/>
                <w:color w:val="auto"/>
                <w:w w:val="83"/>
              </w:rPr>
              <w:t>--------</w:t>
            </w: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248.9</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3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299.6</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352.4</w:t>
            </w:r>
          </w:p>
        </w:tc>
        <w:tc>
          <w:tcPr>
            <w:tcW w:w="18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449.6</w:t>
            </w:r>
          </w:p>
        </w:tc>
        <w:tc>
          <w:tcPr>
            <w:tcW w:w="0" w:type="dxa"/>
            <w:vAlign w:val="bottom"/>
          </w:tcPr>
          <w:p>
            <w:pPr>
              <w:spacing w:after="0"/>
              <w:rPr>
                <w:sz w:val="1"/>
                <w:szCs w:val="1"/>
                <w:color w:val="auto"/>
              </w:rPr>
            </w:pPr>
          </w:p>
        </w:tc>
      </w:tr>
      <w:tr>
        <w:trPr>
          <w:trHeight w:val="168"/>
        </w:trPr>
        <w:tc>
          <w:tcPr>
            <w:tcW w:w="3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Income tax provision........................</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89.6</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116.1</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132.2</w:t>
            </w:r>
          </w:p>
        </w:tc>
        <w:tc>
          <w:tcPr>
            <w:tcW w:w="18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168.5</w:t>
            </w:r>
          </w:p>
        </w:tc>
        <w:tc>
          <w:tcPr>
            <w:tcW w:w="0" w:type="dxa"/>
            <w:vAlign w:val="bottom"/>
          </w:tcPr>
          <w:p>
            <w:pPr>
              <w:spacing w:after="0"/>
              <w:rPr>
                <w:sz w:val="1"/>
                <w:szCs w:val="1"/>
                <w:color w:val="auto"/>
              </w:rPr>
            </w:pPr>
          </w:p>
        </w:tc>
      </w:tr>
      <w:tr>
        <w:trPr>
          <w:trHeight w:val="168"/>
        </w:trPr>
        <w:tc>
          <w:tcPr>
            <w:tcW w:w="3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Net income..................................</w:t>
            </w:r>
          </w:p>
        </w:tc>
        <w:tc>
          <w:tcPr>
            <w:tcW w:w="220" w:type="dxa"/>
            <w:vAlign w:val="bottom"/>
            <w:vMerge w:val="restart"/>
          </w:tcPr>
          <w:p>
            <w:pPr>
              <w:ind w:left="40"/>
              <w:spacing w:after="0"/>
              <w:rPr>
                <w:sz w:val="20"/>
                <w:szCs w:val="20"/>
                <w:color w:val="auto"/>
              </w:rPr>
            </w:pPr>
            <w:r>
              <w:rPr>
                <w:rFonts w:ascii="Courier New" w:cs="Courier New" w:eastAsia="Courier New" w:hAnsi="Courier New"/>
                <w:sz w:val="7"/>
                <w:szCs w:val="7"/>
                <w:color w:val="auto"/>
                <w:w w:val="72"/>
                <w:vertAlign w:val="subscript"/>
              </w:rPr>
              <w:t>$</w:t>
            </w:r>
            <w:r>
              <w:rPr>
                <w:rFonts w:ascii="Courier New" w:cs="Courier New" w:eastAsia="Courier New" w:hAnsi="Courier New"/>
                <w:sz w:val="4"/>
                <w:szCs w:val="4"/>
                <w:color w:val="auto"/>
                <w:w w:val="72"/>
              </w:rPr>
              <w:t>--------</w:t>
            </w: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159.3</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39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$183.5</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$220.2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281.1</w:t>
            </w:r>
          </w:p>
        </w:tc>
        <w:tc>
          <w:tcPr>
            <w:tcW w:w="0" w:type="dxa"/>
            <w:vAlign w:val="bottom"/>
          </w:tcPr>
          <w:p>
            <w:pPr>
              <w:spacing w:after="0"/>
              <w:rPr>
                <w:sz w:val="1"/>
                <w:szCs w:val="1"/>
                <w:color w:val="auto"/>
              </w:rPr>
            </w:pPr>
          </w:p>
        </w:tc>
      </w:tr>
      <w:tr>
        <w:trPr>
          <w:trHeight w:val="168"/>
        </w:trPr>
        <w:tc>
          <w:tcPr>
            <w:tcW w:w="3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Fully diluted earnings per share............</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3900" w:type="dxa"/>
            <w:vAlign w:val="bottom"/>
            <w:vMerge w:val="continue"/>
          </w:tcPr>
          <w:p>
            <w:pPr>
              <w:spacing w:after="0"/>
              <w:rPr>
                <w:sz w:val="14"/>
                <w:szCs w:val="14"/>
                <w:color w:val="auto"/>
              </w:rPr>
            </w:pP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.86</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$ 1.02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w:t>
            </w:r>
          </w:p>
        </w:tc>
        <w:tc>
          <w:tcPr>
            <w:tcW w:w="0" w:type="dxa"/>
            <w:vAlign w:val="bottom"/>
          </w:tcPr>
          <w:p>
            <w:pPr>
              <w:spacing w:after="0"/>
              <w:rPr>
                <w:sz w:val="1"/>
                <w:szCs w:val="1"/>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Quarterly stock price:</w:t>
            </w:r>
          </w:p>
        </w:tc>
        <w:tc>
          <w:tcPr>
            <w:tcW w:w="2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21.63</w:t>
            </w: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$33.13</w:t>
            </w:r>
          </w:p>
        </w:tc>
        <w:tc>
          <w:tcPr>
            <w:tcW w:w="7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9"/>
              </w:rPr>
              <w:t>$50.75</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78.00</w:t>
            </w:r>
          </w:p>
        </w:tc>
        <w:tc>
          <w:tcPr>
            <w:tcW w:w="0" w:type="dxa"/>
            <w:vAlign w:val="bottom"/>
          </w:tcPr>
          <w:p>
            <w:pPr>
              <w:spacing w:after="0"/>
              <w:rPr>
                <w:sz w:val="1"/>
                <w:szCs w:val="1"/>
                <w:color w:val="auto"/>
              </w:rPr>
            </w:pPr>
          </w:p>
        </w:tc>
      </w:tr>
      <w:tr>
        <w:trPr>
          <w:trHeight w:val="168"/>
        </w:trPr>
        <w:tc>
          <w:tcPr>
            <w:tcW w:w="3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High......................................</w:t>
            </w:r>
          </w:p>
        </w:tc>
        <w:tc>
          <w:tcPr>
            <w:tcW w:w="2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Low.......................................</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15.25</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19.94</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32.56</w:t>
            </w:r>
          </w:p>
        </w:tc>
        <w:tc>
          <w:tcPr>
            <w:tcW w:w="18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44.75</w:t>
            </w:r>
          </w:p>
        </w:tc>
        <w:tc>
          <w:tcPr>
            <w:tcW w:w="0" w:type="dxa"/>
            <w:vAlign w:val="bottom"/>
          </w:tcPr>
          <w:p>
            <w:pPr>
              <w:spacing w:after="0"/>
              <w:rPr>
                <w:sz w:val="1"/>
                <w:szCs w:val="1"/>
                <w:color w:val="auto"/>
              </w:rPr>
            </w:pPr>
          </w:p>
        </w:tc>
      </w:tr>
      <w:tr>
        <w:trPr>
          <w:trHeight w:val="245"/>
        </w:trPr>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w w:val="96"/>
              </w:rPr>
              <w:t>Dividends declared per share................</w:t>
            </w:r>
          </w:p>
        </w:tc>
        <w:tc>
          <w:tcPr>
            <w:tcW w:w="220" w:type="dxa"/>
            <w:vAlign w:val="bottom"/>
          </w:tcPr>
          <w:p>
            <w:pPr>
              <w:spacing w:after="0"/>
              <w:rPr>
                <w:sz w:val="21"/>
                <w:szCs w:val="21"/>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0.025</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0.025</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0.050</w:t>
            </w:r>
          </w:p>
        </w:tc>
        <w:tc>
          <w:tcPr>
            <w:tcW w:w="180" w:type="dxa"/>
            <w:vAlign w:val="bottom"/>
          </w:tcPr>
          <w:p>
            <w:pPr>
              <w:spacing w:after="0"/>
              <w:rPr>
                <w:sz w:val="21"/>
                <w:szCs w:val="21"/>
                <w:color w:val="auto"/>
              </w:rPr>
            </w:pP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0.050</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As of August 29, 1996, the Company had 12,379 shareholders of record.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598" w:right="1440" w:bottom="1440" w:gutter="0" w:footer="0" w:header="0"/>
        </w:sectPr>
      </w:pPr>
    </w:p>
    <w:bookmarkStart w:id="42" w:name="page43"/>
    <w:bookmarkEnd w:id="42"/>
    <w:p>
      <w:pPr>
        <w:jc w:val="center"/>
        <w:ind w:right="3299"/>
        <w:spacing w:after="0"/>
        <w:rPr>
          <w:sz w:val="20"/>
          <w:szCs w:val="20"/>
          <w:color w:val="auto"/>
        </w:rPr>
      </w:pPr>
      <w:r>
        <w:rPr>
          <w:rFonts w:ascii="Courier New" w:cs="Courier New" w:eastAsia="Courier New" w:hAnsi="Courier New"/>
          <w:sz w:val="15"/>
          <w:szCs w:val="15"/>
          <w:color w:val="auto"/>
        </w:rPr>
        <w:t>MICRON TECHNOLOGY, INC.</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35" w:lineRule="exact"/>
        <w:rPr>
          <w:sz w:val="20"/>
          <w:szCs w:val="20"/>
          <w:color w:val="auto"/>
        </w:rPr>
      </w:pPr>
    </w:p>
    <w:p>
      <w:pPr>
        <w:ind w:right="3399" w:firstLine="175"/>
        <w:spacing w:after="0" w:line="270" w:lineRule="auto"/>
        <w:rPr>
          <w:sz w:val="20"/>
          <w:szCs w:val="20"/>
          <w:color w:val="auto"/>
        </w:rPr>
      </w:pPr>
      <w:r>
        <w:rPr>
          <w:rFonts w:ascii="Courier New" w:cs="Courier New" w:eastAsia="Courier New" w:hAnsi="Courier New"/>
          <w:sz w:val="14"/>
          <w:szCs w:val="14"/>
          <w:color w:val="auto"/>
        </w:rPr>
        <w:t>Results of operations in the fourth quarter of 1996 benefited from 1) a decrease in the estimated effective income tax rate for fiscal 1996, resulting in a reduction of income tax expense of approximately $6.1 million, 2) a pretax reduction of cost of goods sold of $54.9 million for the release of previously established accruals upon resolution of product and process rights contingencies, and 3) a $6.6 million pretax gain from disposal of equipment which is included in selling, general and administrative expense. Fourth quarter selling, general and administrative expenses include a $9 million pretax charge for estimated selling costs on computer systems.</w:t>
      </w:r>
    </w:p>
    <w:p>
      <w:pPr>
        <w:spacing w:after="0" w:line="76" w:lineRule="exact"/>
        <w:rPr>
          <w:sz w:val="20"/>
          <w:szCs w:val="20"/>
          <w:color w:val="auto"/>
        </w:rPr>
      </w:pPr>
    </w:p>
    <w:p>
      <w:pPr>
        <w:ind w:right="3679" w:firstLine="175"/>
        <w:spacing w:after="0" w:line="344" w:lineRule="auto"/>
        <w:rPr>
          <w:sz w:val="20"/>
          <w:szCs w:val="20"/>
          <w:color w:val="auto"/>
        </w:rPr>
      </w:pPr>
      <w:r>
        <w:rPr>
          <w:rFonts w:ascii="Courier New" w:cs="Courier New" w:eastAsia="Courier New" w:hAnsi="Courier New"/>
          <w:sz w:val="15"/>
          <w:szCs w:val="15"/>
          <w:color w:val="auto"/>
        </w:rPr>
        <w:t>Selling, general and administrative expenses in the third quarter of 1996 reflect a $12.0 million pretax gain from disposal of equipment.</w:t>
      </w:r>
    </w:p>
    <w:p>
      <w:pPr>
        <w:spacing w:after="0" w:line="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598" w:right="1440" w:bottom="1440" w:gutter="0" w:footer="0" w:header="0"/>
        </w:sectPr>
      </w:pPr>
    </w:p>
    <w:bookmarkStart w:id="43" w:name="page44"/>
    <w:bookmarkEnd w:id="43"/>
    <w:p>
      <w:pPr>
        <w:ind w:left="202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Shareholders and Board of Directors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140" w:lineRule="exact"/>
        <w:rPr>
          <w:sz w:val="20"/>
          <w:szCs w:val="20"/>
          <w:color w:val="auto"/>
        </w:rPr>
      </w:pPr>
    </w:p>
    <w:p>
      <w:pPr>
        <w:ind w:right="3399" w:firstLine="175"/>
        <w:spacing w:after="0" w:line="264" w:lineRule="auto"/>
        <w:rPr>
          <w:sz w:val="20"/>
          <w:szCs w:val="20"/>
          <w:color w:val="auto"/>
        </w:rPr>
      </w:pPr>
      <w:r>
        <w:rPr>
          <w:rFonts w:ascii="Courier New" w:cs="Courier New" w:eastAsia="Courier New" w:hAnsi="Courier New"/>
          <w:sz w:val="15"/>
          <w:szCs w:val="15"/>
          <w:color w:val="auto"/>
        </w:rPr>
        <w:t>We have audited the consolidated financial statements of Micron Technology, Inc., listed in the index on page 27 of this Form 10-K. These financial statements are the responsibility of the Company's management. Our responsibility is to express an opinion on these financial statements based on our audits.</w:t>
      </w:r>
    </w:p>
    <w:p>
      <w:pPr>
        <w:spacing w:after="0" w:line="75" w:lineRule="exact"/>
        <w:rPr>
          <w:sz w:val="20"/>
          <w:szCs w:val="20"/>
          <w:color w:val="auto"/>
        </w:rPr>
      </w:pPr>
    </w:p>
    <w:p>
      <w:pPr>
        <w:ind w:right="3399" w:firstLine="175"/>
        <w:spacing w:after="0" w:line="250"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9" w:lineRule="exact"/>
        <w:rPr>
          <w:sz w:val="20"/>
          <w:szCs w:val="20"/>
          <w:color w:val="auto"/>
        </w:rPr>
      </w:pPr>
    </w:p>
    <w:p>
      <w:pPr>
        <w:ind w:right="3499" w:firstLine="175"/>
        <w:spacing w:after="0" w:line="258"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Micron Technology, Inc., as of August 29, 1996, and August 31, 1995, and the consolidated results of their operations and their cash flows for each of the three years in the period ended August 29, 1996, in conformity with generally accepted accounting principles.</w:t>
      </w:r>
    </w:p>
    <w:p>
      <w:pPr>
        <w:sectPr>
          <w:pgSz w:w="11900" w:h="16838" w:orient="portrait"/>
          <w:cols w:equalWidth="0" w:num="1">
            <w:col w:w="10239"/>
          </w:cols>
          <w:pgMar w:left="220" w:top="598"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Boise, Idaho</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19, 1996,</w:t>
      </w:r>
    </w:p>
    <w:p>
      <w:pPr>
        <w:spacing w:after="0" w:line="237" w:lineRule="auto"/>
        <w:rPr>
          <w:sz w:val="20"/>
          <w:szCs w:val="20"/>
          <w:color w:val="auto"/>
        </w:rPr>
      </w:pPr>
      <w:r>
        <w:rPr>
          <w:rFonts w:ascii="Courier New" w:cs="Courier New" w:eastAsia="Courier New" w:hAnsi="Courier New"/>
          <w:sz w:val="15"/>
          <w:szCs w:val="15"/>
          <w:color w:val="auto"/>
        </w:rPr>
        <w:t>except as to the Stock</w:t>
      </w:r>
    </w:p>
    <w:p>
      <w:pPr>
        <w:spacing w:after="0" w:line="238" w:lineRule="auto"/>
        <w:rPr>
          <w:sz w:val="20"/>
          <w:szCs w:val="20"/>
          <w:color w:val="auto"/>
        </w:rPr>
      </w:pPr>
      <w:r>
        <w:rPr>
          <w:rFonts w:ascii="Courier New" w:cs="Courier New" w:eastAsia="Courier New" w:hAnsi="Courier New"/>
          <w:sz w:val="15"/>
          <w:szCs w:val="15"/>
          <w:color w:val="auto"/>
        </w:rPr>
        <w:t>Purchase Plans Note to</w:t>
      </w:r>
    </w:p>
    <w:p>
      <w:pPr>
        <w:spacing w:after="0" w:line="237" w:lineRule="auto"/>
        <w:rPr>
          <w:sz w:val="20"/>
          <w:szCs w:val="20"/>
          <w:color w:val="auto"/>
        </w:rPr>
      </w:pPr>
      <w:r>
        <w:rPr>
          <w:rFonts w:ascii="Courier New" w:cs="Courier New" w:eastAsia="Courier New" w:hAnsi="Courier New"/>
          <w:sz w:val="15"/>
          <w:szCs w:val="15"/>
          <w:color w:val="auto"/>
        </w:rPr>
        <w:t>Consolidated Financial</w:t>
      </w:r>
    </w:p>
    <w:p>
      <w:pPr>
        <w:spacing w:after="0" w:line="238" w:lineRule="auto"/>
        <w:rPr>
          <w:sz w:val="20"/>
          <w:szCs w:val="20"/>
          <w:color w:val="auto"/>
        </w:rPr>
      </w:pPr>
      <w:r>
        <w:rPr>
          <w:rFonts w:ascii="Courier New" w:cs="Courier New" w:eastAsia="Courier New" w:hAnsi="Courier New"/>
          <w:sz w:val="15"/>
          <w:szCs w:val="15"/>
          <w:color w:val="auto"/>
        </w:rPr>
        <w:t>Statements, the date of</w:t>
      </w:r>
    </w:p>
    <w:p>
      <w:pPr>
        <w:spacing w:after="0"/>
        <w:rPr>
          <w:sz w:val="20"/>
          <w:szCs w:val="20"/>
          <w:color w:val="auto"/>
        </w:rPr>
      </w:pPr>
      <w:r>
        <w:rPr>
          <w:rFonts w:ascii="Courier New" w:cs="Courier New" w:eastAsia="Courier New" w:hAnsi="Courier New"/>
          <w:sz w:val="14"/>
          <w:szCs w:val="14"/>
          <w:color w:val="auto"/>
        </w:rPr>
        <w:t>which is September 30, 1996</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/s/ Coopers &amp; Lybrand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2">
            <w:col w:w="2620" w:space="720"/>
            <w:col w:w="6899"/>
          </w:cols>
          <w:pgMar w:left="220" w:top="598" w:right="1440" w:bottom="1440" w:gutter="0" w:footer="0" w:header="0"/>
          <w:type w:val="continuous"/>
        </w:sectPr>
      </w:pPr>
    </w:p>
    <w:bookmarkStart w:id="44" w:name="page45"/>
    <w:bookmarkEnd w:id="44"/>
    <w:p>
      <w:pPr>
        <w:ind w:right="4019"/>
        <w:spacing w:after="0" w:line="344"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PART III</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66" w:lineRule="exact"/>
        <w:rPr>
          <w:sz w:val="20"/>
          <w:szCs w:val="20"/>
          <w:color w:val="auto"/>
        </w:rPr>
      </w:pPr>
    </w:p>
    <w:p>
      <w:pPr>
        <w:ind w:right="3499" w:firstLine="175"/>
        <w:spacing w:after="0" w:line="280" w:lineRule="auto"/>
        <w:rPr>
          <w:sz w:val="20"/>
          <w:szCs w:val="20"/>
          <w:color w:val="auto"/>
        </w:rPr>
      </w:pPr>
      <w:r>
        <w:rPr>
          <w:rFonts w:ascii="Courier New" w:cs="Courier New" w:eastAsia="Courier New" w:hAnsi="Courier New"/>
          <w:sz w:val="14"/>
          <w:szCs w:val="14"/>
          <w:color w:val="auto"/>
        </w:rPr>
        <w:t>Certain information concerning the registrant's executive officers is included under the caption "Officers and Directors of the Registrant" following Part I, Item 1 of this report. Other information required by Items 10, 11, 12 and 13 will be contained in the registrant's Proxy Statement which will be filed with the Securities and Exchange Commission within 120 days after August 29, 1996, and is incorporated herein by reference.</w:t>
      </w:r>
    </w:p>
    <w:p>
      <w:pPr>
        <w:spacing w:after="0" w:line="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598" w:right="1440" w:bottom="1440" w:gutter="0" w:footer="0" w:header="0"/>
        </w:sectPr>
      </w:pPr>
    </w:p>
    <w:bookmarkStart w:id="45" w:name="page46"/>
    <w:bookmarkEnd w:id="45"/>
    <w:p>
      <w:pPr>
        <w:ind w:left="316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 The following documents are filed as part of this report:</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Consolidated financial statements and financial statement schedules--see</w:t>
      </w:r>
    </w:p>
    <w:tbl>
      <w:tblPr>
        <w:tblLayout w:type="fixed"/>
        <w:tblInd w:w="0" w:type="dxa"/>
        <w:tblCellMar>
          <w:top w:w="0" w:type="dxa"/>
          <w:left w:w="0" w:type="dxa"/>
          <w:bottom w:w="0" w:type="dxa"/>
          <w:right w:w="0" w:type="dxa"/>
        </w:tblCellMar>
      </w:tblPr>
      <w:tr>
        <w:trPr>
          <w:trHeight w:val="166"/>
        </w:trPr>
        <w:tc>
          <w:tcPr>
            <w:tcW w:w="760" w:type="dxa"/>
            <w:vAlign w:val="bottom"/>
          </w:tcPr>
          <w:p>
            <w:pPr>
              <w:spacing w:after="0" w:line="167" w:lineRule="exact"/>
              <w:rPr>
                <w:sz w:val="20"/>
                <w:szCs w:val="20"/>
                <w:color w:val="auto"/>
              </w:rPr>
            </w:pPr>
            <w:r>
              <w:rPr>
                <w:rFonts w:ascii="Courier New" w:cs="Courier New" w:eastAsia="Courier New" w:hAnsi="Courier New"/>
                <w:sz w:val="15"/>
                <w:szCs w:val="15"/>
                <w:color w:val="auto"/>
              </w:rPr>
              <w:t>"Item 8.</w:t>
            </w:r>
          </w:p>
        </w:tc>
        <w:tc>
          <w:tcPr>
            <w:tcW w:w="6160" w:type="dxa"/>
            <w:vAlign w:val="bottom"/>
            <w:gridSpan w:val="3"/>
          </w:tcPr>
          <w:p>
            <w:pPr>
              <w:ind w:left="40"/>
              <w:spacing w:after="0" w:line="167" w:lineRule="exact"/>
              <w:rPr>
                <w:sz w:val="20"/>
                <w:szCs w:val="20"/>
                <w:color w:val="auto"/>
              </w:rPr>
            </w:pPr>
            <w:r>
              <w:rPr>
                <w:rFonts w:ascii="Courier New" w:cs="Courier New" w:eastAsia="Courier New" w:hAnsi="Courier New"/>
                <w:sz w:val="15"/>
                <w:szCs w:val="15"/>
                <w:color w:val="auto"/>
              </w:rPr>
              <w:t>Financial Statements and Supplementary Data--Notes to Consolidated</w:t>
            </w:r>
          </w:p>
        </w:tc>
        <w:tc>
          <w:tcPr>
            <w:tcW w:w="0" w:type="dxa"/>
            <w:vAlign w:val="bottom"/>
          </w:tcPr>
          <w:p>
            <w:pPr>
              <w:spacing w:after="0"/>
              <w:rPr>
                <w:sz w:val="1"/>
                <w:szCs w:val="1"/>
                <w:color w:val="auto"/>
              </w:rPr>
            </w:pPr>
          </w:p>
        </w:tc>
      </w:tr>
      <w:tr>
        <w:trPr>
          <w:trHeight w:val="245"/>
        </w:trPr>
        <w:tc>
          <w:tcPr>
            <w:tcW w:w="334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6"/>
              </w:rPr>
              <w:t>Financial Statements--Contingencies."</w:t>
            </w:r>
          </w:p>
        </w:tc>
        <w:tc>
          <w:tcPr>
            <w:tcW w:w="3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28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EXHIBIT DESCRIPTION</w:t>
            </w:r>
          </w:p>
        </w:tc>
        <w:tc>
          <w:tcPr>
            <w:tcW w:w="5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8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w:t>
            </w:r>
          </w:p>
        </w:tc>
        <w:tc>
          <w:tcPr>
            <w:tcW w:w="54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3.1</w:t>
            </w:r>
          </w:p>
        </w:tc>
        <w:tc>
          <w:tcPr>
            <w:tcW w:w="61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Certificate of Incorporation of the Registrant, as amended. (6)</w:t>
            </w:r>
          </w:p>
        </w:tc>
        <w:tc>
          <w:tcPr>
            <w:tcW w:w="0" w:type="dxa"/>
            <w:vAlign w:val="bottom"/>
          </w:tcPr>
          <w:p>
            <w:pPr>
              <w:spacing w:after="0"/>
              <w:rPr>
                <w:sz w:val="1"/>
                <w:szCs w:val="1"/>
                <w:color w:val="auto"/>
              </w:rPr>
            </w:pPr>
          </w:p>
        </w:tc>
      </w:tr>
      <w:tr>
        <w:trPr>
          <w:trHeight w:val="168"/>
        </w:trPr>
        <w:tc>
          <w:tcPr>
            <w:tcW w:w="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3.7</w:t>
            </w:r>
          </w:p>
        </w:tc>
        <w:tc>
          <w:tcPr>
            <w:tcW w:w="61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Bylaws of the Registrant, as amended.</w:t>
            </w:r>
          </w:p>
        </w:tc>
        <w:tc>
          <w:tcPr>
            <w:tcW w:w="0" w:type="dxa"/>
            <w:vAlign w:val="bottom"/>
          </w:tcPr>
          <w:p>
            <w:pPr>
              <w:spacing w:after="0"/>
              <w:rPr>
                <w:sz w:val="1"/>
                <w:szCs w:val="1"/>
                <w:color w:val="auto"/>
              </w:rPr>
            </w:pPr>
          </w:p>
        </w:tc>
      </w:tr>
      <w:tr>
        <w:trPr>
          <w:trHeight w:val="168"/>
        </w:trPr>
        <w:tc>
          <w:tcPr>
            <w:tcW w:w="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10.82</w:t>
            </w:r>
          </w:p>
        </w:tc>
        <w:tc>
          <w:tcPr>
            <w:tcW w:w="61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Form of Indemnification Agreement between the Registrant and its</w:t>
            </w:r>
          </w:p>
        </w:tc>
        <w:tc>
          <w:tcPr>
            <w:tcW w:w="0" w:type="dxa"/>
            <w:vAlign w:val="bottom"/>
          </w:tcPr>
          <w:p>
            <w:pPr>
              <w:spacing w:after="0"/>
              <w:rPr>
                <w:sz w:val="1"/>
                <w:szCs w:val="1"/>
                <w:color w:val="auto"/>
              </w:rPr>
            </w:pPr>
          </w:p>
        </w:tc>
      </w:tr>
      <w:tr>
        <w:trPr>
          <w:trHeight w:val="168"/>
        </w:trPr>
        <w:tc>
          <w:tcPr>
            <w:tcW w:w="7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10.91</w:t>
            </w:r>
          </w:p>
        </w:tc>
        <w:tc>
          <w:tcPr>
            <w:tcW w:w="2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officers and directors.</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3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0" w:type="dxa"/>
            <w:vAlign w:val="bottom"/>
            <w:vMerge w:val="continue"/>
          </w:tcPr>
          <w:p>
            <w:pPr>
              <w:spacing w:after="0"/>
              <w:rPr>
                <w:sz w:val="14"/>
                <w:szCs w:val="14"/>
                <w:color w:val="auto"/>
              </w:rPr>
            </w:pPr>
          </w:p>
        </w:tc>
        <w:tc>
          <w:tcPr>
            <w:tcW w:w="61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9"/>
              </w:rPr>
              <w:t>Board Resolution regarding stock and bonus plan vesting schedules in</w:t>
            </w:r>
          </w:p>
        </w:tc>
        <w:tc>
          <w:tcPr>
            <w:tcW w:w="0" w:type="dxa"/>
            <w:vAlign w:val="bottom"/>
          </w:tcPr>
          <w:p>
            <w:pPr>
              <w:spacing w:after="0"/>
              <w:rPr>
                <w:sz w:val="1"/>
                <w:szCs w:val="1"/>
                <w:color w:val="auto"/>
              </w:rPr>
            </w:pPr>
          </w:p>
        </w:tc>
      </w:tr>
      <w:tr>
        <w:trPr>
          <w:trHeight w:val="168"/>
        </w:trPr>
        <w:tc>
          <w:tcPr>
            <w:tcW w:w="7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10.92</w:t>
            </w:r>
          </w:p>
        </w:tc>
        <w:tc>
          <w:tcPr>
            <w:tcW w:w="61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the event of change in control of the Registrant.  (2)</w:t>
            </w:r>
          </w:p>
        </w:tc>
        <w:tc>
          <w:tcPr>
            <w:tcW w:w="0" w:type="dxa"/>
            <w:vAlign w:val="bottom"/>
          </w:tcPr>
          <w:p>
            <w:pPr>
              <w:spacing w:after="0"/>
              <w:rPr>
                <w:sz w:val="1"/>
                <w:szCs w:val="1"/>
                <w:color w:val="auto"/>
              </w:rPr>
            </w:pPr>
          </w:p>
        </w:tc>
      </w:tr>
      <w:tr>
        <w:trPr>
          <w:trHeight w:val="168"/>
        </w:trPr>
        <w:tc>
          <w:tcPr>
            <w:tcW w:w="760" w:type="dxa"/>
            <w:vAlign w:val="bottom"/>
            <w:vMerge w:val="continue"/>
          </w:tcPr>
          <w:p>
            <w:pPr>
              <w:spacing w:after="0"/>
              <w:rPr>
                <w:sz w:val="14"/>
                <w:szCs w:val="14"/>
                <w:color w:val="auto"/>
              </w:rPr>
            </w:pPr>
          </w:p>
        </w:tc>
        <w:tc>
          <w:tcPr>
            <w:tcW w:w="61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Additional provisions related to Management Bonus Arrangements for</w:t>
            </w:r>
          </w:p>
        </w:tc>
        <w:tc>
          <w:tcPr>
            <w:tcW w:w="0" w:type="dxa"/>
            <w:vAlign w:val="bottom"/>
          </w:tcPr>
          <w:p>
            <w:pPr>
              <w:spacing w:after="0"/>
              <w:rPr>
                <w:sz w:val="1"/>
                <w:szCs w:val="1"/>
                <w:color w:val="auto"/>
              </w:rPr>
            </w:pPr>
          </w:p>
        </w:tc>
      </w:tr>
      <w:tr>
        <w:trPr>
          <w:trHeight w:val="168"/>
        </w:trPr>
        <w:tc>
          <w:tcPr>
            <w:tcW w:w="7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10.100</w:t>
            </w:r>
          </w:p>
        </w:tc>
        <w:tc>
          <w:tcPr>
            <w:tcW w:w="2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Certain Executive Officers.</w:t>
            </w:r>
          </w:p>
        </w:tc>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68"/>
        </w:trPr>
        <w:tc>
          <w:tcPr>
            <w:tcW w:w="760" w:type="dxa"/>
            <w:vAlign w:val="bottom"/>
            <w:vMerge w:val="continue"/>
          </w:tcPr>
          <w:p>
            <w:pPr>
              <w:spacing w:after="0"/>
              <w:rPr>
                <w:sz w:val="14"/>
                <w:szCs w:val="14"/>
                <w:color w:val="auto"/>
              </w:rPr>
            </w:pPr>
          </w:p>
        </w:tc>
        <w:tc>
          <w:tcPr>
            <w:tcW w:w="61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Amended and Restated 1985 Incentive Stock Option Plan.  (3)</w:t>
            </w:r>
          </w:p>
        </w:tc>
        <w:tc>
          <w:tcPr>
            <w:tcW w:w="0" w:type="dxa"/>
            <w:vAlign w:val="bottom"/>
          </w:tcPr>
          <w:p>
            <w:pPr>
              <w:spacing w:after="0"/>
              <w:rPr>
                <w:sz w:val="1"/>
                <w:szCs w:val="1"/>
                <w:color w:val="auto"/>
              </w:rPr>
            </w:pPr>
          </w:p>
        </w:tc>
      </w:tr>
      <w:tr>
        <w:trPr>
          <w:trHeight w:val="168"/>
        </w:trPr>
        <w:tc>
          <w:tcPr>
            <w:tcW w:w="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10.103</w:t>
            </w:r>
          </w:p>
        </w:tc>
        <w:tc>
          <w:tcPr>
            <w:tcW w:w="61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Real Estate Agreement and Addendum dated May 29, 1991, between the</w:t>
            </w:r>
          </w:p>
        </w:tc>
        <w:tc>
          <w:tcPr>
            <w:tcW w:w="0" w:type="dxa"/>
            <w:vAlign w:val="bottom"/>
          </w:tcPr>
          <w:p>
            <w:pPr>
              <w:spacing w:after="0"/>
              <w:rPr>
                <w:sz w:val="1"/>
                <w:szCs w:val="1"/>
                <w:color w:val="auto"/>
              </w:rPr>
            </w:pPr>
          </w:p>
        </w:tc>
      </w:tr>
      <w:tr>
        <w:trPr>
          <w:trHeight w:val="168"/>
        </w:trPr>
        <w:tc>
          <w:tcPr>
            <w:tcW w:w="760" w:type="dxa"/>
            <w:vAlign w:val="bottom"/>
          </w:tcPr>
          <w:p>
            <w:pPr>
              <w:spacing w:after="0"/>
              <w:rPr>
                <w:sz w:val="14"/>
                <w:szCs w:val="14"/>
                <w:color w:val="auto"/>
              </w:rPr>
            </w:pPr>
          </w:p>
        </w:tc>
        <w:tc>
          <w:tcPr>
            <w:tcW w:w="61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6"/>
              </w:rPr>
              <w:t>Registrant and Thomas T. Nicholson, Allen T. Noble, Don J. Simplot, J.</w:t>
            </w:r>
          </w:p>
        </w:tc>
        <w:tc>
          <w:tcPr>
            <w:tcW w:w="0" w:type="dxa"/>
            <w:vAlign w:val="bottom"/>
          </w:tcPr>
          <w:p>
            <w:pPr>
              <w:spacing w:after="0"/>
              <w:rPr>
                <w:sz w:val="1"/>
                <w:szCs w:val="1"/>
                <w:color w:val="auto"/>
              </w:rPr>
            </w:pPr>
          </w:p>
        </w:tc>
      </w:tr>
      <w:tr>
        <w:trPr>
          <w:trHeight w:val="168"/>
        </w:trPr>
        <w:tc>
          <w:tcPr>
            <w:tcW w:w="760" w:type="dxa"/>
            <w:vAlign w:val="bottom"/>
          </w:tcPr>
          <w:p>
            <w:pPr>
              <w:spacing w:after="0"/>
              <w:rPr>
                <w:sz w:val="14"/>
                <w:szCs w:val="14"/>
                <w:color w:val="auto"/>
              </w:rPr>
            </w:pPr>
          </w:p>
        </w:tc>
        <w:tc>
          <w:tcPr>
            <w:tcW w:w="61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R. Simplot, Ronald C. Yanke, Semienterprises, a partnership and</w:t>
            </w:r>
          </w:p>
        </w:tc>
        <w:tc>
          <w:tcPr>
            <w:tcW w:w="0" w:type="dxa"/>
            <w:vAlign w:val="bottom"/>
          </w:tcPr>
          <w:p>
            <w:pPr>
              <w:spacing w:after="0"/>
              <w:rPr>
                <w:sz w:val="1"/>
                <w:szCs w:val="1"/>
                <w:color w:val="auto"/>
              </w:rPr>
            </w:pPr>
          </w:p>
        </w:tc>
      </w:tr>
      <w:tr>
        <w:trPr>
          <w:trHeight w:val="168"/>
        </w:trPr>
        <w:tc>
          <w:tcPr>
            <w:tcW w:w="7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10.105</w:t>
            </w:r>
          </w:p>
        </w:tc>
        <w:tc>
          <w:tcPr>
            <w:tcW w:w="2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Macron, a partnership.</w:t>
            </w: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c>
          <w:tcPr>
            <w:tcW w:w="3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0" w:type="dxa"/>
            <w:vAlign w:val="bottom"/>
            <w:vMerge w:val="continue"/>
          </w:tcPr>
          <w:p>
            <w:pPr>
              <w:spacing w:after="0"/>
              <w:rPr>
                <w:sz w:val="14"/>
                <w:szCs w:val="14"/>
                <w:color w:val="auto"/>
              </w:rPr>
            </w:pPr>
          </w:p>
        </w:tc>
        <w:tc>
          <w:tcPr>
            <w:tcW w:w="61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6"/>
              </w:rPr>
              <w:t>Form of Management bonus arrangements for Executive Officers of Micron</w:t>
            </w:r>
          </w:p>
        </w:tc>
        <w:tc>
          <w:tcPr>
            <w:tcW w:w="0" w:type="dxa"/>
            <w:vAlign w:val="bottom"/>
          </w:tcPr>
          <w:p>
            <w:pPr>
              <w:spacing w:after="0"/>
              <w:rPr>
                <w:sz w:val="1"/>
                <w:szCs w:val="1"/>
                <w:color w:val="auto"/>
              </w:rPr>
            </w:pPr>
          </w:p>
        </w:tc>
      </w:tr>
      <w:tr>
        <w:trPr>
          <w:trHeight w:val="168"/>
        </w:trPr>
        <w:tc>
          <w:tcPr>
            <w:tcW w:w="7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10.109</w:t>
            </w:r>
          </w:p>
        </w:tc>
        <w:tc>
          <w:tcPr>
            <w:tcW w:w="61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Technology, Inc., and Micron Semiconductor, Inc., for 1993.  (4)</w:t>
            </w:r>
          </w:p>
        </w:tc>
        <w:tc>
          <w:tcPr>
            <w:tcW w:w="0" w:type="dxa"/>
            <w:vAlign w:val="bottom"/>
          </w:tcPr>
          <w:p>
            <w:pPr>
              <w:spacing w:after="0"/>
              <w:rPr>
                <w:sz w:val="1"/>
                <w:szCs w:val="1"/>
                <w:color w:val="auto"/>
              </w:rPr>
            </w:pPr>
          </w:p>
        </w:tc>
      </w:tr>
      <w:tr>
        <w:trPr>
          <w:trHeight w:val="168"/>
        </w:trPr>
        <w:tc>
          <w:tcPr>
            <w:tcW w:w="760" w:type="dxa"/>
            <w:vAlign w:val="bottom"/>
            <w:vMerge w:val="continue"/>
          </w:tcPr>
          <w:p>
            <w:pPr>
              <w:spacing w:after="0"/>
              <w:rPr>
                <w:sz w:val="14"/>
                <w:szCs w:val="14"/>
                <w:color w:val="auto"/>
              </w:rPr>
            </w:pPr>
          </w:p>
        </w:tc>
        <w:tc>
          <w:tcPr>
            <w:tcW w:w="61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6"/>
              </w:rPr>
              <w:t>Form of Management bonus arrangements for Executive Officers of Micron</w:t>
            </w:r>
          </w:p>
        </w:tc>
        <w:tc>
          <w:tcPr>
            <w:tcW w:w="0" w:type="dxa"/>
            <w:vAlign w:val="bottom"/>
          </w:tcPr>
          <w:p>
            <w:pPr>
              <w:spacing w:after="0"/>
              <w:rPr>
                <w:sz w:val="1"/>
                <w:szCs w:val="1"/>
                <w:color w:val="auto"/>
              </w:rPr>
            </w:pPr>
          </w:p>
        </w:tc>
      </w:tr>
      <w:tr>
        <w:trPr>
          <w:trHeight w:val="168"/>
        </w:trPr>
        <w:tc>
          <w:tcPr>
            <w:tcW w:w="7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10.110</w:t>
            </w:r>
          </w:p>
        </w:tc>
        <w:tc>
          <w:tcPr>
            <w:tcW w:w="61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Technology, Inc., and Micron Semiconductor, Inc., for 1994.  (5)</w:t>
            </w:r>
          </w:p>
        </w:tc>
        <w:tc>
          <w:tcPr>
            <w:tcW w:w="0" w:type="dxa"/>
            <w:vAlign w:val="bottom"/>
          </w:tcPr>
          <w:p>
            <w:pPr>
              <w:spacing w:after="0"/>
              <w:rPr>
                <w:sz w:val="1"/>
                <w:szCs w:val="1"/>
                <w:color w:val="auto"/>
              </w:rPr>
            </w:pPr>
          </w:p>
        </w:tc>
      </w:tr>
      <w:tr>
        <w:trPr>
          <w:trHeight w:val="168"/>
        </w:trPr>
        <w:tc>
          <w:tcPr>
            <w:tcW w:w="760" w:type="dxa"/>
            <w:vAlign w:val="bottom"/>
            <w:vMerge w:val="continue"/>
          </w:tcPr>
          <w:p>
            <w:pPr>
              <w:spacing w:after="0"/>
              <w:rPr>
                <w:sz w:val="14"/>
                <w:szCs w:val="14"/>
                <w:color w:val="auto"/>
              </w:rPr>
            </w:pPr>
          </w:p>
        </w:tc>
        <w:tc>
          <w:tcPr>
            <w:tcW w:w="2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1994 Stock Option Plan.</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w:t>
            </w:r>
          </w:p>
        </w:tc>
        <w:tc>
          <w:tcPr>
            <w:tcW w:w="3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10.111</w:t>
            </w:r>
          </w:p>
        </w:tc>
        <w:tc>
          <w:tcPr>
            <w:tcW w:w="2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Executive Bonus Plan.</w:t>
            </w:r>
          </w:p>
        </w:tc>
        <w:tc>
          <w:tcPr>
            <w:tcW w:w="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(6)</w:t>
            </w:r>
          </w:p>
        </w:tc>
        <w:tc>
          <w:tcPr>
            <w:tcW w:w="3580" w:type="dxa"/>
            <w:vAlign w:val="bottom"/>
            <w:vMerge w:val="restart"/>
          </w:tcPr>
          <w:p>
            <w:pPr>
              <w:jc w:val="right"/>
              <w:ind w:right="3067"/>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168"/>
        </w:trPr>
        <w:tc>
          <w:tcPr>
            <w:tcW w:w="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10.112</w:t>
            </w:r>
          </w:p>
        </w:tc>
        <w:tc>
          <w:tcPr>
            <w:tcW w:w="2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Forms of Severence Agreement.</w:t>
            </w:r>
          </w:p>
        </w:tc>
        <w:tc>
          <w:tcPr>
            <w:tcW w:w="3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10.113</w:t>
            </w:r>
          </w:p>
        </w:tc>
        <w:tc>
          <w:tcPr>
            <w:tcW w:w="61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Revolving Credit Agreement dated February 12, 1996, among the</w:t>
            </w:r>
          </w:p>
        </w:tc>
        <w:tc>
          <w:tcPr>
            <w:tcW w:w="0" w:type="dxa"/>
            <w:vAlign w:val="bottom"/>
          </w:tcPr>
          <w:p>
            <w:pPr>
              <w:spacing w:after="0"/>
              <w:rPr>
                <w:sz w:val="1"/>
                <w:szCs w:val="1"/>
                <w:color w:val="auto"/>
              </w:rPr>
            </w:pPr>
          </w:p>
        </w:tc>
      </w:tr>
      <w:tr>
        <w:trPr>
          <w:trHeight w:val="168"/>
        </w:trPr>
        <w:tc>
          <w:tcPr>
            <w:tcW w:w="7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10.114</w:t>
            </w:r>
          </w:p>
        </w:tc>
        <w:tc>
          <w:tcPr>
            <w:tcW w:w="61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Registrant and several financial institutions.  (8)</w:t>
            </w:r>
          </w:p>
        </w:tc>
        <w:tc>
          <w:tcPr>
            <w:tcW w:w="0" w:type="dxa"/>
            <w:vAlign w:val="bottom"/>
          </w:tcPr>
          <w:p>
            <w:pPr>
              <w:spacing w:after="0"/>
              <w:rPr>
                <w:sz w:val="1"/>
                <w:szCs w:val="1"/>
                <w:color w:val="auto"/>
              </w:rPr>
            </w:pPr>
          </w:p>
        </w:tc>
      </w:tr>
      <w:tr>
        <w:trPr>
          <w:trHeight w:val="168"/>
        </w:trPr>
        <w:tc>
          <w:tcPr>
            <w:tcW w:w="760" w:type="dxa"/>
            <w:vAlign w:val="bottom"/>
            <w:vMerge w:val="continue"/>
          </w:tcPr>
          <w:p>
            <w:pPr>
              <w:spacing w:after="0"/>
              <w:rPr>
                <w:sz w:val="14"/>
                <w:szCs w:val="14"/>
                <w:color w:val="auto"/>
              </w:rPr>
            </w:pPr>
          </w:p>
        </w:tc>
        <w:tc>
          <w:tcPr>
            <w:tcW w:w="61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Revolving Credit Agreement dated as of May 14, 1996, among the</w:t>
            </w:r>
          </w:p>
        </w:tc>
        <w:tc>
          <w:tcPr>
            <w:tcW w:w="0" w:type="dxa"/>
            <w:vAlign w:val="bottom"/>
          </w:tcPr>
          <w:p>
            <w:pPr>
              <w:spacing w:after="0"/>
              <w:rPr>
                <w:sz w:val="1"/>
                <w:szCs w:val="1"/>
                <w:color w:val="auto"/>
              </w:rPr>
            </w:pPr>
          </w:p>
        </w:tc>
      </w:tr>
      <w:tr>
        <w:trPr>
          <w:trHeight w:val="168"/>
        </w:trPr>
        <w:tc>
          <w:tcPr>
            <w:tcW w:w="7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10.115</w:t>
            </w:r>
          </w:p>
        </w:tc>
        <w:tc>
          <w:tcPr>
            <w:tcW w:w="61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Registrant and several financial institutions.  (9)</w:t>
            </w:r>
          </w:p>
        </w:tc>
        <w:tc>
          <w:tcPr>
            <w:tcW w:w="0" w:type="dxa"/>
            <w:vAlign w:val="bottom"/>
          </w:tcPr>
          <w:p>
            <w:pPr>
              <w:spacing w:after="0"/>
              <w:rPr>
                <w:sz w:val="1"/>
                <w:szCs w:val="1"/>
                <w:color w:val="auto"/>
              </w:rPr>
            </w:pPr>
          </w:p>
        </w:tc>
      </w:tr>
      <w:tr>
        <w:trPr>
          <w:trHeight w:val="168"/>
        </w:trPr>
        <w:tc>
          <w:tcPr>
            <w:tcW w:w="760" w:type="dxa"/>
            <w:vAlign w:val="bottom"/>
            <w:vMerge w:val="continue"/>
          </w:tcPr>
          <w:p>
            <w:pPr>
              <w:spacing w:after="0"/>
              <w:rPr>
                <w:sz w:val="14"/>
                <w:szCs w:val="14"/>
                <w:color w:val="auto"/>
              </w:rPr>
            </w:pPr>
          </w:p>
        </w:tc>
        <w:tc>
          <w:tcPr>
            <w:tcW w:w="61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First Amendment to Revolving Credit Agreement, dated as of August 20,</w:t>
            </w:r>
          </w:p>
        </w:tc>
        <w:tc>
          <w:tcPr>
            <w:tcW w:w="0" w:type="dxa"/>
            <w:vAlign w:val="bottom"/>
          </w:tcPr>
          <w:p>
            <w:pPr>
              <w:spacing w:after="0"/>
              <w:rPr>
                <w:sz w:val="1"/>
                <w:szCs w:val="1"/>
                <w:color w:val="auto"/>
              </w:rPr>
            </w:pPr>
          </w:p>
        </w:tc>
      </w:tr>
      <w:tr>
        <w:trPr>
          <w:trHeight w:val="168"/>
        </w:trPr>
        <w:tc>
          <w:tcPr>
            <w:tcW w:w="7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10.116</w:t>
            </w:r>
          </w:p>
        </w:tc>
        <w:tc>
          <w:tcPr>
            <w:tcW w:w="61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1996, among the Registrant and several financial institutions.</w:t>
            </w:r>
          </w:p>
        </w:tc>
        <w:tc>
          <w:tcPr>
            <w:tcW w:w="0" w:type="dxa"/>
            <w:vAlign w:val="bottom"/>
          </w:tcPr>
          <w:p>
            <w:pPr>
              <w:spacing w:after="0"/>
              <w:rPr>
                <w:sz w:val="1"/>
                <w:szCs w:val="1"/>
                <w:color w:val="auto"/>
              </w:rPr>
            </w:pPr>
          </w:p>
        </w:tc>
      </w:tr>
      <w:tr>
        <w:trPr>
          <w:trHeight w:val="168"/>
        </w:trPr>
        <w:tc>
          <w:tcPr>
            <w:tcW w:w="760" w:type="dxa"/>
            <w:vAlign w:val="bottom"/>
            <w:vMerge w:val="continue"/>
          </w:tcPr>
          <w:p>
            <w:pPr>
              <w:spacing w:after="0"/>
              <w:rPr>
                <w:sz w:val="14"/>
                <w:szCs w:val="14"/>
                <w:color w:val="auto"/>
              </w:rPr>
            </w:pPr>
          </w:p>
        </w:tc>
        <w:tc>
          <w:tcPr>
            <w:tcW w:w="61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9"/>
              </w:rPr>
              <w:t>Registration Rights Agreement dated as of June 28, 1996, between the</w:t>
            </w:r>
          </w:p>
        </w:tc>
        <w:tc>
          <w:tcPr>
            <w:tcW w:w="0" w:type="dxa"/>
            <w:vAlign w:val="bottom"/>
          </w:tcPr>
          <w:p>
            <w:pPr>
              <w:spacing w:after="0"/>
              <w:rPr>
                <w:sz w:val="1"/>
                <w:szCs w:val="1"/>
                <w:color w:val="auto"/>
              </w:rPr>
            </w:pPr>
          </w:p>
        </w:tc>
      </w:tr>
      <w:tr>
        <w:trPr>
          <w:trHeight w:val="168"/>
        </w:trPr>
        <w:tc>
          <w:tcPr>
            <w:tcW w:w="7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10.117</w:t>
            </w:r>
          </w:p>
        </w:tc>
        <w:tc>
          <w:tcPr>
            <w:tcW w:w="61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Registrant and Canadian Imperial Bank of Commerce.</w:t>
            </w:r>
          </w:p>
        </w:tc>
        <w:tc>
          <w:tcPr>
            <w:tcW w:w="0" w:type="dxa"/>
            <w:vAlign w:val="bottom"/>
          </w:tcPr>
          <w:p>
            <w:pPr>
              <w:spacing w:after="0"/>
              <w:rPr>
                <w:sz w:val="1"/>
                <w:szCs w:val="1"/>
                <w:color w:val="auto"/>
              </w:rPr>
            </w:pPr>
          </w:p>
        </w:tc>
      </w:tr>
      <w:tr>
        <w:trPr>
          <w:trHeight w:val="168"/>
        </w:trPr>
        <w:tc>
          <w:tcPr>
            <w:tcW w:w="760" w:type="dxa"/>
            <w:vAlign w:val="bottom"/>
            <w:vMerge w:val="continue"/>
          </w:tcPr>
          <w:p>
            <w:pPr>
              <w:spacing w:after="0"/>
              <w:rPr>
                <w:sz w:val="14"/>
                <w:szCs w:val="14"/>
                <w:color w:val="auto"/>
              </w:rPr>
            </w:pPr>
          </w:p>
        </w:tc>
        <w:tc>
          <w:tcPr>
            <w:tcW w:w="61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9"/>
              </w:rPr>
              <w:t>Registration Rights Agreement dated as of July 29, 1996, between the</w:t>
            </w:r>
          </w:p>
        </w:tc>
        <w:tc>
          <w:tcPr>
            <w:tcW w:w="0" w:type="dxa"/>
            <w:vAlign w:val="bottom"/>
          </w:tcPr>
          <w:p>
            <w:pPr>
              <w:spacing w:after="0"/>
              <w:rPr>
                <w:sz w:val="1"/>
                <w:szCs w:val="1"/>
                <w:color w:val="auto"/>
              </w:rPr>
            </w:pPr>
          </w:p>
        </w:tc>
      </w:tr>
      <w:tr>
        <w:trPr>
          <w:trHeight w:val="168"/>
        </w:trPr>
        <w:tc>
          <w:tcPr>
            <w:tcW w:w="7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10.118</w:t>
            </w:r>
          </w:p>
        </w:tc>
        <w:tc>
          <w:tcPr>
            <w:tcW w:w="61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Registrant and Canadian Imperial Bank of Commerce.</w:t>
            </w:r>
          </w:p>
        </w:tc>
        <w:tc>
          <w:tcPr>
            <w:tcW w:w="0" w:type="dxa"/>
            <w:vAlign w:val="bottom"/>
          </w:tcPr>
          <w:p>
            <w:pPr>
              <w:spacing w:after="0"/>
              <w:rPr>
                <w:sz w:val="1"/>
                <w:szCs w:val="1"/>
                <w:color w:val="auto"/>
              </w:rPr>
            </w:pPr>
          </w:p>
        </w:tc>
      </w:tr>
      <w:tr>
        <w:trPr>
          <w:trHeight w:val="168"/>
        </w:trPr>
        <w:tc>
          <w:tcPr>
            <w:tcW w:w="760" w:type="dxa"/>
            <w:vAlign w:val="bottom"/>
            <w:vMerge w:val="continue"/>
          </w:tcPr>
          <w:p>
            <w:pPr>
              <w:spacing w:after="0"/>
              <w:rPr>
                <w:sz w:val="14"/>
                <w:szCs w:val="14"/>
                <w:color w:val="auto"/>
              </w:rPr>
            </w:pPr>
          </w:p>
        </w:tc>
        <w:tc>
          <w:tcPr>
            <w:tcW w:w="61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Irrevocable Proxy dated June 28, 1996, by Canadian Imperial Bank of</w:t>
            </w:r>
          </w:p>
        </w:tc>
        <w:tc>
          <w:tcPr>
            <w:tcW w:w="0" w:type="dxa"/>
            <w:vAlign w:val="bottom"/>
          </w:tcPr>
          <w:p>
            <w:pPr>
              <w:spacing w:after="0"/>
              <w:rPr>
                <w:sz w:val="1"/>
                <w:szCs w:val="1"/>
                <w:color w:val="auto"/>
              </w:rPr>
            </w:pPr>
          </w:p>
        </w:tc>
      </w:tr>
      <w:tr>
        <w:trPr>
          <w:trHeight w:val="168"/>
        </w:trPr>
        <w:tc>
          <w:tcPr>
            <w:tcW w:w="7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10.119</w:t>
            </w:r>
          </w:p>
        </w:tc>
        <w:tc>
          <w:tcPr>
            <w:tcW w:w="61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Commerce in favor of Micron Technology, Inc.</w:t>
            </w:r>
          </w:p>
        </w:tc>
        <w:tc>
          <w:tcPr>
            <w:tcW w:w="0" w:type="dxa"/>
            <w:vAlign w:val="bottom"/>
          </w:tcPr>
          <w:p>
            <w:pPr>
              <w:spacing w:after="0"/>
              <w:rPr>
                <w:sz w:val="1"/>
                <w:szCs w:val="1"/>
                <w:color w:val="auto"/>
              </w:rPr>
            </w:pPr>
          </w:p>
        </w:tc>
      </w:tr>
      <w:tr>
        <w:trPr>
          <w:trHeight w:val="168"/>
        </w:trPr>
        <w:tc>
          <w:tcPr>
            <w:tcW w:w="760" w:type="dxa"/>
            <w:vAlign w:val="bottom"/>
            <w:vMerge w:val="continue"/>
          </w:tcPr>
          <w:p>
            <w:pPr>
              <w:spacing w:after="0"/>
              <w:rPr>
                <w:sz w:val="14"/>
                <w:szCs w:val="14"/>
                <w:color w:val="auto"/>
              </w:rPr>
            </w:pPr>
          </w:p>
        </w:tc>
        <w:tc>
          <w:tcPr>
            <w:tcW w:w="61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Irrevocable Proxy dated July 29, 1996, by J. R. Simplot Company in</w:t>
            </w:r>
          </w:p>
        </w:tc>
        <w:tc>
          <w:tcPr>
            <w:tcW w:w="0" w:type="dxa"/>
            <w:vAlign w:val="bottom"/>
          </w:tcPr>
          <w:p>
            <w:pPr>
              <w:spacing w:after="0"/>
              <w:rPr>
                <w:sz w:val="1"/>
                <w:szCs w:val="1"/>
                <w:color w:val="auto"/>
              </w:rPr>
            </w:pPr>
          </w:p>
        </w:tc>
      </w:tr>
      <w:tr>
        <w:trPr>
          <w:trHeight w:val="168"/>
        </w:trPr>
        <w:tc>
          <w:tcPr>
            <w:tcW w:w="7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11.1</w:t>
            </w:r>
          </w:p>
        </w:tc>
        <w:tc>
          <w:tcPr>
            <w:tcW w:w="61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favor of Micron Technology, Inc.</w:t>
            </w:r>
          </w:p>
        </w:tc>
        <w:tc>
          <w:tcPr>
            <w:tcW w:w="0" w:type="dxa"/>
            <w:vAlign w:val="bottom"/>
          </w:tcPr>
          <w:p>
            <w:pPr>
              <w:spacing w:after="0"/>
              <w:rPr>
                <w:sz w:val="1"/>
                <w:szCs w:val="1"/>
                <w:color w:val="auto"/>
              </w:rPr>
            </w:pPr>
          </w:p>
        </w:tc>
      </w:tr>
      <w:tr>
        <w:trPr>
          <w:trHeight w:val="245"/>
        </w:trPr>
        <w:tc>
          <w:tcPr>
            <w:tcW w:w="760" w:type="dxa"/>
            <w:vAlign w:val="bottom"/>
            <w:vMerge w:val="continue"/>
          </w:tcPr>
          <w:p>
            <w:pPr>
              <w:spacing w:after="0"/>
              <w:rPr>
                <w:sz w:val="21"/>
                <w:szCs w:val="21"/>
                <w:color w:val="auto"/>
              </w:rPr>
            </w:pPr>
          </w:p>
        </w:tc>
        <w:tc>
          <w:tcPr>
            <w:tcW w:w="61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Computation of Per Share Earnings.</w:t>
            </w:r>
          </w:p>
        </w:tc>
        <w:tc>
          <w:tcPr>
            <w:tcW w:w="0" w:type="dxa"/>
            <w:vAlign w:val="bottom"/>
          </w:tcPr>
          <w:p>
            <w:pPr>
              <w:spacing w:after="0"/>
              <w:rPr>
                <w:sz w:val="1"/>
                <w:szCs w:val="1"/>
                <w:color w:val="auto"/>
              </w:rPr>
            </w:pPr>
          </w:p>
        </w:tc>
      </w:tr>
      <w:tr>
        <w:trPr>
          <w:trHeight w:val="673"/>
        </w:trPr>
        <w:tc>
          <w:tcPr>
            <w:tcW w:w="7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Courier New" w:cs="Courier New" w:eastAsia="Courier New" w:hAnsi="Courier New"/>
                <w:sz w:val="15"/>
                <w:szCs w:val="15"/>
                <w:color w:val="auto"/>
              </w:rPr>
              <w:t>45</w:t>
            </w:r>
          </w:p>
        </w:tc>
        <w:tc>
          <w:tcPr>
            <w:tcW w:w="0" w:type="dxa"/>
            <w:vAlign w:val="bottom"/>
          </w:tcPr>
          <w:p>
            <w:pPr>
              <w:spacing w:after="0"/>
              <w:rPr>
                <w:sz w:val="1"/>
                <w:szCs w:val="1"/>
                <w:color w:val="auto"/>
              </w:rPr>
            </w:pPr>
          </w:p>
        </w:tc>
      </w:tr>
    </w:tbl>
    <w:p>
      <w:pPr>
        <w:sectPr>
          <w:pgSz w:w="11900" w:h="16838" w:orient="portrait"/>
          <w:cols w:equalWidth="0" w:num="1">
            <w:col w:w="10239"/>
          </w:cols>
          <w:pgMar w:left="220" w:top="598" w:right="1440" w:bottom="1440" w:gutter="0" w:footer="0" w:header="0"/>
        </w:sectPr>
      </w:pPr>
    </w:p>
    <w:bookmarkStart w:id="46" w:name="page47"/>
    <w:bookmarkEnd w:id="46"/>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DESCRIPTION</w:t>
            </w:r>
          </w:p>
        </w:tc>
      </w:tr>
      <w:tr>
        <w:trPr>
          <w:trHeight w:val="245"/>
        </w:trPr>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259"/>
        </w:trPr>
        <w:tc>
          <w:tcPr>
            <w:tcW w:w="660" w:type="dxa"/>
            <w:vAlign w:val="bottom"/>
          </w:tcPr>
          <w:p>
            <w:pPr>
              <w:spacing w:after="0"/>
              <w:rPr>
                <w:sz w:val="20"/>
                <w:szCs w:val="20"/>
                <w:color w:val="auto"/>
              </w:rPr>
            </w:pPr>
            <w:r>
              <w:rPr>
                <w:rFonts w:ascii="Courier New" w:cs="Courier New" w:eastAsia="Courier New" w:hAnsi="Courier New"/>
                <w:sz w:val="15"/>
                <w:szCs w:val="15"/>
                <w:color w:val="auto"/>
              </w:rPr>
              <w:t>21.1</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Subsidiaries of the Registrant.</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23.1</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Consent of Independent Accountants.</w:t>
            </w:r>
          </w:p>
        </w:tc>
      </w:tr>
      <w:tr>
        <w:trPr>
          <w:trHeight w:val="245"/>
        </w:trPr>
        <w:tc>
          <w:tcPr>
            <w:tcW w:w="660" w:type="dxa"/>
            <w:vAlign w:val="bottom"/>
          </w:tcPr>
          <w:p>
            <w:pPr>
              <w:spacing w:after="0"/>
              <w:rPr>
                <w:sz w:val="20"/>
                <w:szCs w:val="20"/>
                <w:color w:val="auto"/>
              </w:rPr>
            </w:pPr>
            <w:r>
              <w:rPr>
                <w:rFonts w:ascii="Courier New" w:cs="Courier New" w:eastAsia="Courier New" w:hAnsi="Courier New"/>
                <w:sz w:val="15"/>
                <w:szCs w:val="15"/>
                <w:color w:val="auto"/>
              </w:rPr>
              <w:t>27.1</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Financial Data Schedule.</w:t>
            </w: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p>
      <w:pPr>
        <w:ind w:left="440" w:hanging="430"/>
        <w:spacing w:after="0"/>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Proxy Statement for the 1986 Annual Meeting of Shareholders.</w:t>
      </w:r>
    </w:p>
    <w:p>
      <w:pPr>
        <w:spacing w:after="0" w:line="24"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Annual Report on Form 10-K for the fiscal year ended August 31, 1989.</w:t>
      </w:r>
    </w:p>
    <w:p>
      <w:pPr>
        <w:spacing w:after="0" w:line="9" w:lineRule="exact"/>
        <w:rPr>
          <w:rFonts w:ascii="Courier New" w:cs="Courier New" w:eastAsia="Courier New" w:hAnsi="Courier New"/>
          <w:sz w:val="14"/>
          <w:szCs w:val="14"/>
          <w:color w:val="auto"/>
        </w:rPr>
      </w:pPr>
    </w:p>
    <w:p>
      <w:pPr>
        <w:ind w:left="440" w:right="1039" w:hanging="430"/>
        <w:spacing w:after="0" w:line="237"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Registration Statements on Forms S-8 (Reg. Nos. 33-38665, 33-38926, and 33-52653).</w:t>
      </w:r>
    </w:p>
    <w:p>
      <w:pPr>
        <w:ind w:left="440" w:hanging="430"/>
        <w:spacing w:after="0"/>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Annual Report on Form 10-K for the fiscal year ended September 3, 1992.</w:t>
      </w:r>
    </w:p>
    <w:p>
      <w:pPr>
        <w:spacing w:after="0" w:line="9" w:lineRule="exact"/>
        <w:rPr>
          <w:rFonts w:ascii="Courier New" w:cs="Courier New" w:eastAsia="Courier New" w:hAnsi="Courier New"/>
          <w:sz w:val="14"/>
          <w:szCs w:val="14"/>
          <w:color w:val="auto"/>
        </w:rPr>
      </w:pPr>
    </w:p>
    <w:p>
      <w:pPr>
        <w:ind w:left="440" w:hanging="430"/>
        <w:spacing w:after="0"/>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Annual Report on Form 10-K for the fiscal year ended September 2, 1993.</w:t>
      </w:r>
    </w:p>
    <w:p>
      <w:pPr>
        <w:spacing w:after="0" w:line="9" w:lineRule="exact"/>
        <w:rPr>
          <w:rFonts w:ascii="Courier New" w:cs="Courier New" w:eastAsia="Courier New" w:hAnsi="Courier New"/>
          <w:sz w:val="14"/>
          <w:szCs w:val="14"/>
          <w:color w:val="auto"/>
        </w:rPr>
      </w:pPr>
    </w:p>
    <w:p>
      <w:pPr>
        <w:ind w:left="440" w:hanging="430"/>
        <w:spacing w:after="0"/>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Annual Report on Form 10-K for the fiscal year ended August 31, 1995.</w:t>
      </w:r>
    </w:p>
    <w:p>
      <w:pPr>
        <w:spacing w:after="0" w:line="9" w:lineRule="exact"/>
        <w:rPr>
          <w:rFonts w:ascii="Courier New" w:cs="Courier New" w:eastAsia="Courier New" w:hAnsi="Courier New"/>
          <w:sz w:val="14"/>
          <w:szCs w:val="14"/>
          <w:color w:val="auto"/>
        </w:rPr>
      </w:pPr>
    </w:p>
    <w:p>
      <w:pPr>
        <w:ind w:left="440" w:hanging="430"/>
        <w:spacing w:after="0" w:line="237"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Registration Statement on Form S-8 (No. 333-07283).</w:t>
      </w:r>
    </w:p>
    <w:p>
      <w:pPr>
        <w:ind w:left="440" w:right="1039" w:hanging="430"/>
        <w:spacing w:after="0" w:line="237"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Quarterly Report on Form 10-Q for the fiscal quarter ended February 29, 1996.</w:t>
      </w:r>
    </w:p>
    <w:p>
      <w:pPr>
        <w:ind w:left="440" w:right="1299" w:hanging="430"/>
        <w:spacing w:after="0" w:line="307"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Quarterly Report on Form 10-Q/A for the fiscal quarter ended May 30, 1996.</w:t>
      </w:r>
    </w:p>
    <w:p>
      <w:pPr>
        <w:spacing w:after="0" w:line="21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Exhibit numbers from Registration Statement on Form S-1 (Reg. No. 2-93343)</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retained, where applicable.</w:t>
      </w:r>
    </w:p>
    <w:p>
      <w:pPr>
        <w:spacing w:after="0" w:line="14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 Reports on Form 8-K:</w:t>
      </w:r>
    </w:p>
    <w:p>
      <w:pPr>
        <w:spacing w:after="0" w:line="166" w:lineRule="exact"/>
        <w:rPr>
          <w:sz w:val="20"/>
          <w:szCs w:val="20"/>
          <w:color w:val="auto"/>
        </w:rPr>
      </w:pPr>
    </w:p>
    <w:p>
      <w:pPr>
        <w:ind w:right="3399" w:firstLine="175"/>
        <w:spacing w:after="0" w:line="344" w:lineRule="auto"/>
        <w:rPr>
          <w:sz w:val="20"/>
          <w:szCs w:val="20"/>
          <w:color w:val="auto"/>
        </w:rPr>
      </w:pPr>
      <w:r>
        <w:rPr>
          <w:rFonts w:ascii="Courier New" w:cs="Courier New" w:eastAsia="Courier New" w:hAnsi="Courier New"/>
          <w:sz w:val="15"/>
          <w:szCs w:val="15"/>
          <w:color w:val="auto"/>
        </w:rPr>
        <w:t>The registrant did not file any Reports on Form 8-K during the quarter ended August 29, 1996.</w:t>
      </w:r>
    </w:p>
    <w:p>
      <w:pPr>
        <w:spacing w:after="0" w:line="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932" w:right="1440" w:bottom="1440" w:gutter="0" w:footer="0" w:header="0"/>
        </w:sectPr>
      </w:pPr>
    </w:p>
    <w:bookmarkStart w:id="47" w:name="page48"/>
    <w:bookmarkEnd w:id="47"/>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66" w:lineRule="exact"/>
        <w:rPr>
          <w:sz w:val="20"/>
          <w:szCs w:val="20"/>
          <w:color w:val="auto"/>
        </w:rPr>
      </w:pPr>
    </w:p>
    <w:p>
      <w:pPr>
        <w:ind w:right="3499" w:firstLine="175"/>
        <w:spacing w:after="0" w:line="273"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 IN THE CITY OF BOISE, STATE OF IDAHO, ON THE 4TH DAY OF OCTOBER, 1996.</w:t>
      </w:r>
    </w:p>
    <w:p>
      <w:pPr>
        <w:spacing w:after="0" w:line="6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Micron Technology, Inc.</w:t>
      </w:r>
    </w:p>
    <w:p>
      <w:pPr>
        <w:spacing w:after="0" w:line="166"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5"/>
          <w:szCs w:val="15"/>
          <w:color w:val="auto"/>
        </w:rPr>
        <w:t>/s/ Wilbur G. Stover, Jr.</w:t>
      </w:r>
    </w:p>
    <w:p>
      <w:pPr>
        <w:spacing w:after="0" w:line="24"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By: __________________________________</w:t>
      </w:r>
    </w:p>
    <w:p>
      <w:pPr>
        <w:spacing w:after="0" w:line="8"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WILBUR G. STOVER, JR., VICE</w:t>
      </w:r>
    </w:p>
    <w:p>
      <w:pPr>
        <w:ind w:left="4120"/>
        <w:spacing w:after="0" w:line="237" w:lineRule="auto"/>
        <w:rPr>
          <w:sz w:val="20"/>
          <w:szCs w:val="20"/>
          <w:color w:val="auto"/>
        </w:rPr>
      </w:pPr>
      <w:r>
        <w:rPr>
          <w:rFonts w:ascii="Courier New" w:cs="Courier New" w:eastAsia="Courier New" w:hAnsi="Courier New"/>
          <w:sz w:val="15"/>
          <w:szCs w:val="15"/>
          <w:color w:val="auto"/>
        </w:rPr>
        <w:t>PRESIDENT, FINANCE, CHIEF</w:t>
      </w:r>
    </w:p>
    <w:p>
      <w:pPr>
        <w:ind w:left="4480"/>
        <w:spacing w:after="0" w:line="238" w:lineRule="auto"/>
        <w:rPr>
          <w:sz w:val="20"/>
          <w:szCs w:val="20"/>
          <w:color w:val="auto"/>
        </w:rPr>
      </w:pPr>
      <w:r>
        <w:rPr>
          <w:rFonts w:ascii="Courier New" w:cs="Courier New" w:eastAsia="Courier New" w:hAnsi="Courier New"/>
          <w:sz w:val="15"/>
          <w:szCs w:val="15"/>
          <w:color w:val="auto"/>
        </w:rPr>
        <w:t>FINANCIAL OFFICER</w:t>
      </w:r>
    </w:p>
    <w:p>
      <w:pPr>
        <w:ind w:left="4200"/>
        <w:spacing w:after="0" w:line="237" w:lineRule="auto"/>
        <w:rPr>
          <w:sz w:val="20"/>
          <w:szCs w:val="20"/>
          <w:color w:val="auto"/>
        </w:rPr>
      </w:pPr>
      <w:r>
        <w:rPr>
          <w:rFonts w:ascii="Courier New" w:cs="Courier New" w:eastAsia="Courier New" w:hAnsi="Courier New"/>
          <w:sz w:val="15"/>
          <w:szCs w:val="15"/>
          <w:color w:val="auto"/>
        </w:rPr>
        <w:t>(PRINCIPAL FINANCIAL AND</w:t>
      </w:r>
    </w:p>
    <w:p>
      <w:pPr>
        <w:spacing w:after="0" w:line="1"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ACCOUNTING OFFICER)</w:t>
      </w:r>
    </w:p>
    <w:p>
      <w:pPr>
        <w:spacing w:after="0" w:line="140" w:lineRule="exact"/>
        <w:rPr>
          <w:sz w:val="20"/>
          <w:szCs w:val="20"/>
          <w:color w:val="auto"/>
        </w:rPr>
      </w:pPr>
    </w:p>
    <w:p>
      <w:pPr>
        <w:ind w:right="3499" w:firstLine="175"/>
        <w:spacing w:after="0" w:line="290" w:lineRule="auto"/>
        <w:rPr>
          <w:sz w:val="20"/>
          <w:szCs w:val="20"/>
          <w:color w:val="auto"/>
        </w:rPr>
      </w:pPr>
      <w:r>
        <w:rPr>
          <w:rFonts w:ascii="Courier New" w:cs="Courier New" w:eastAsia="Courier New" w:hAnsi="Courier New"/>
          <w:sz w:val="15"/>
          <w:szCs w:val="15"/>
          <w:color w:val="auto"/>
        </w:rPr>
        <w:t>PURSUANT TO THE REQUIREMENTS OF THE SECURITIES EXCHANGE ACT OF 1934, THIS ANNUAL REPORT HAS BEEN SIGNED BELOW BY THE FOLLOWING PERSONS ON BEHALF OF THE REGISTRANT AND IN THE CAPACITIES AND ON THE DATES INDICATED.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40" w:type="dxa"/>
            <w:vAlign w:val="bottom"/>
          </w:tcPr>
          <w:p>
            <w:pPr>
              <w:jc w:val="center"/>
              <w:ind w:right="189"/>
              <w:spacing w:after="0"/>
              <w:rPr>
                <w:sz w:val="20"/>
                <w:szCs w:val="20"/>
                <w:color w:val="auto"/>
              </w:rPr>
            </w:pPr>
            <w:r>
              <w:rPr>
                <w:rFonts w:ascii="Courier New" w:cs="Courier New" w:eastAsia="Courier New" w:hAnsi="Courier New"/>
                <w:sz w:val="15"/>
                <w:szCs w:val="15"/>
                <w:color w:val="auto"/>
                <w:w w:val="98"/>
              </w:rPr>
              <w:t>SIGNATURE</w:t>
            </w:r>
          </w:p>
        </w:tc>
        <w:tc>
          <w:tcPr>
            <w:tcW w:w="1780" w:type="dxa"/>
            <w:vAlign w:val="bottom"/>
          </w:tcPr>
          <w:p>
            <w:pPr>
              <w:ind w:left="600"/>
              <w:spacing w:after="0"/>
              <w:rPr>
                <w:sz w:val="20"/>
                <w:szCs w:val="20"/>
                <w:color w:val="auto"/>
              </w:rPr>
            </w:pPr>
            <w:r>
              <w:rPr>
                <w:rFonts w:ascii="Courier New" w:cs="Courier New" w:eastAsia="Courier New" w:hAnsi="Courier New"/>
                <w:sz w:val="15"/>
                <w:szCs w:val="15"/>
                <w:color w:val="auto"/>
              </w:rPr>
              <w:t>TITLE</w:t>
            </w:r>
          </w:p>
        </w:tc>
        <w:tc>
          <w:tcPr>
            <w:tcW w:w="1540" w:type="dxa"/>
            <w:vAlign w:val="bottom"/>
          </w:tcPr>
          <w:p>
            <w:pPr>
              <w:ind w:left="740"/>
              <w:spacing w:after="0"/>
              <w:rPr>
                <w:sz w:val="20"/>
                <w:szCs w:val="20"/>
                <w:color w:val="auto"/>
              </w:rPr>
            </w:pPr>
            <w:r>
              <w:rPr>
                <w:rFonts w:ascii="Courier New" w:cs="Courier New" w:eastAsia="Courier New" w:hAnsi="Courier New"/>
                <w:sz w:val="15"/>
                <w:szCs w:val="15"/>
                <w:color w:val="auto"/>
              </w:rPr>
              <w:t>DATE</w:t>
            </w:r>
          </w:p>
        </w:tc>
        <w:tc>
          <w:tcPr>
            <w:tcW w:w="0" w:type="dxa"/>
            <w:vAlign w:val="bottom"/>
          </w:tcPr>
          <w:p>
            <w:pPr>
              <w:spacing w:after="0"/>
              <w:rPr>
                <w:sz w:val="1"/>
                <w:szCs w:val="1"/>
                <w:color w:val="auto"/>
              </w:rPr>
            </w:pPr>
          </w:p>
        </w:tc>
      </w:tr>
      <w:tr>
        <w:trPr>
          <w:trHeight w:val="259"/>
        </w:trPr>
        <w:tc>
          <w:tcPr>
            <w:tcW w:w="3340" w:type="dxa"/>
            <w:vAlign w:val="bottom"/>
          </w:tcPr>
          <w:p>
            <w:pPr>
              <w:ind w:left="620"/>
              <w:spacing w:after="0"/>
              <w:rPr>
                <w:sz w:val="20"/>
                <w:szCs w:val="20"/>
                <w:color w:val="auto"/>
              </w:rPr>
            </w:pPr>
            <w:r>
              <w:rPr>
                <w:rFonts w:ascii="Courier New" w:cs="Courier New" w:eastAsia="Courier New" w:hAnsi="Courier New"/>
                <w:sz w:val="15"/>
                <w:szCs w:val="15"/>
                <w:color w:val="auto"/>
              </w:rPr>
              <w:t>/s/ Steven R. Appleton</w:t>
            </w: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Chairman of the</w:t>
            </w:r>
          </w:p>
        </w:tc>
        <w:tc>
          <w:tcPr>
            <w:tcW w:w="1540" w:type="dxa"/>
            <w:vAlign w:val="bottom"/>
          </w:tcPr>
          <w:p>
            <w:pPr>
              <w:ind w:left="220"/>
              <w:spacing w:after="0"/>
              <w:rPr>
                <w:sz w:val="20"/>
                <w:szCs w:val="20"/>
                <w:color w:val="auto"/>
              </w:rPr>
            </w:pPr>
            <w:r>
              <w:rPr>
                <w:rFonts w:ascii="Courier New" w:cs="Courier New" w:eastAsia="Courier New" w:hAnsi="Courier New"/>
                <w:sz w:val="15"/>
                <w:szCs w:val="15"/>
                <w:color w:val="auto"/>
                <w:w w:val="96"/>
              </w:rPr>
              <w:t>October 4, 1996</w:t>
            </w:r>
          </w:p>
        </w:tc>
        <w:tc>
          <w:tcPr>
            <w:tcW w:w="0" w:type="dxa"/>
            <w:vAlign w:val="bottom"/>
          </w:tcPr>
          <w:p>
            <w:pPr>
              <w:spacing w:after="0"/>
              <w:rPr>
                <w:sz w:val="1"/>
                <w:szCs w:val="1"/>
                <w:color w:val="auto"/>
              </w:rPr>
            </w:pPr>
          </w:p>
        </w:tc>
      </w:tr>
      <w:tr>
        <w:trPr>
          <w:trHeight w:val="168"/>
        </w:trPr>
        <w:tc>
          <w:tcPr>
            <w:tcW w:w="3340" w:type="dxa"/>
            <w:vAlign w:val="bottom"/>
            <w:vMerge w:val="restart"/>
          </w:tcPr>
          <w:p>
            <w:pPr>
              <w:spacing w:after="0"/>
              <w:rPr>
                <w:sz w:val="20"/>
                <w:szCs w:val="20"/>
                <w:color w:val="auto"/>
              </w:rPr>
            </w:pPr>
            <w:r>
              <w:rPr>
                <w:rFonts w:ascii="Courier New" w:cs="Courier New" w:eastAsia="Courier New" w:hAnsi="Courier New"/>
                <w:sz w:val="13"/>
                <w:szCs w:val="13"/>
                <w:color w:val="auto"/>
                <w:w w:val="70"/>
              </w:rPr>
              <w:t>- ------------------------------------</w:t>
            </w:r>
            <w:r>
              <w:rPr>
                <w:rFonts w:ascii="Courier New" w:cs="Courier New" w:eastAsia="Courier New" w:hAnsi="Courier New"/>
                <w:sz w:val="24"/>
                <w:szCs w:val="24"/>
                <w:color w:val="auto"/>
                <w:w w:val="70"/>
                <w:vertAlign w:val="subscript"/>
              </w:rPr>
              <w:t>(STEVENR.APPLETON)</w:t>
            </w:r>
          </w:p>
        </w:tc>
        <w:tc>
          <w:tcPr>
            <w:tcW w:w="1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Board, Chief</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40" w:type="dxa"/>
            <w:vAlign w:val="bottom"/>
            <w:vMerge w:val="continue"/>
          </w:tcPr>
          <w:p>
            <w:pPr>
              <w:spacing w:after="0"/>
              <w:rPr>
                <w:sz w:val="14"/>
                <w:szCs w:val="14"/>
                <w:color w:val="auto"/>
              </w:rPr>
            </w:pPr>
          </w:p>
        </w:tc>
        <w:tc>
          <w:tcPr>
            <w:tcW w:w="1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Executive Officer</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340" w:type="dxa"/>
            <w:vAlign w:val="bottom"/>
          </w:tcPr>
          <w:p>
            <w:pPr>
              <w:spacing w:after="0"/>
              <w:rPr>
                <w:sz w:val="21"/>
                <w:szCs w:val="21"/>
                <w:color w:val="auto"/>
              </w:rPr>
            </w:pPr>
          </w:p>
        </w:tc>
        <w:tc>
          <w:tcPr>
            <w:tcW w:w="1780" w:type="dxa"/>
            <w:vAlign w:val="bottom"/>
          </w:tcPr>
          <w:p>
            <w:pPr>
              <w:ind w:left="80"/>
              <w:spacing w:after="0"/>
              <w:rPr>
                <w:sz w:val="20"/>
                <w:szCs w:val="20"/>
                <w:color w:val="auto"/>
              </w:rPr>
            </w:pPr>
            <w:r>
              <w:rPr>
                <w:rFonts w:ascii="Courier New" w:cs="Courier New" w:eastAsia="Courier New" w:hAnsi="Courier New"/>
                <w:sz w:val="15"/>
                <w:szCs w:val="15"/>
                <w:color w:val="auto"/>
              </w:rPr>
              <w:t>and President</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3340" w:type="dxa"/>
            <w:vAlign w:val="bottom"/>
          </w:tcPr>
          <w:p>
            <w:pPr>
              <w:jc w:val="center"/>
              <w:ind w:right="189"/>
              <w:spacing w:after="0"/>
              <w:rPr>
                <w:sz w:val="20"/>
                <w:szCs w:val="20"/>
                <w:color w:val="auto"/>
              </w:rPr>
            </w:pPr>
            <w:r>
              <w:rPr>
                <w:rFonts w:ascii="Courier New" w:cs="Courier New" w:eastAsia="Courier New" w:hAnsi="Courier New"/>
                <w:sz w:val="15"/>
                <w:szCs w:val="15"/>
                <w:color w:val="auto"/>
                <w:w w:val="96"/>
              </w:rPr>
              <w:t>/s/ Jerry M. Hess</w:t>
            </w: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540" w:type="dxa"/>
            <w:vAlign w:val="bottom"/>
          </w:tcPr>
          <w:p>
            <w:pPr>
              <w:ind w:left="220"/>
              <w:spacing w:after="0"/>
              <w:rPr>
                <w:sz w:val="20"/>
                <w:szCs w:val="20"/>
                <w:color w:val="auto"/>
              </w:rPr>
            </w:pPr>
            <w:r>
              <w:rPr>
                <w:rFonts w:ascii="Courier New" w:cs="Courier New" w:eastAsia="Courier New" w:hAnsi="Courier New"/>
                <w:sz w:val="15"/>
                <w:szCs w:val="15"/>
                <w:color w:val="auto"/>
                <w:w w:val="96"/>
              </w:rPr>
              <w:t>October 4, 1996</w:t>
            </w:r>
          </w:p>
        </w:tc>
        <w:tc>
          <w:tcPr>
            <w:tcW w:w="0" w:type="dxa"/>
            <w:vAlign w:val="bottom"/>
          </w:tcPr>
          <w:p>
            <w:pPr>
              <w:spacing w:after="0"/>
              <w:rPr>
                <w:sz w:val="1"/>
                <w:szCs w:val="1"/>
                <w:color w:val="auto"/>
              </w:rPr>
            </w:pPr>
          </w:p>
        </w:tc>
      </w:tr>
    </w:tbl>
    <w:p>
      <w:pPr>
        <w:ind w:left="180" w:hanging="170"/>
        <w:spacing w:after="0" w:line="237" w:lineRule="auto"/>
        <w:tabs>
          <w:tab w:leader="none" w:pos="1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(JERRY M. HESS)</w:t>
      </w:r>
    </w:p>
    <w:p>
      <w:pPr>
        <w:spacing w:after="0" w:line="140" w:lineRule="exact"/>
        <w:rPr>
          <w:sz w:val="20"/>
          <w:szCs w:val="20"/>
          <w:color w:val="auto"/>
        </w:rPr>
      </w:pPr>
    </w:p>
    <w:p>
      <w:pPr>
        <w:ind w:left="620"/>
        <w:spacing w:after="0"/>
        <w:tabs>
          <w:tab w:leader="none" w:pos="3320" w:val="left"/>
          <w:tab w:leader="none" w:pos="5320" w:val="left"/>
        </w:tabs>
        <w:rPr>
          <w:sz w:val="20"/>
          <w:szCs w:val="20"/>
          <w:color w:val="auto"/>
        </w:rPr>
      </w:pPr>
      <w:r>
        <w:rPr>
          <w:rFonts w:ascii="Courier New" w:cs="Courier New" w:eastAsia="Courier New" w:hAnsi="Courier New"/>
          <w:sz w:val="15"/>
          <w:szCs w:val="15"/>
          <w:color w:val="auto"/>
        </w:rPr>
        <w:t>/s/ Robert A. Lothrop</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October 4, 1996</w:t>
      </w:r>
    </w:p>
    <w:p>
      <w:pPr>
        <w:spacing w:after="0" w:line="23" w:lineRule="exact"/>
        <w:rPr>
          <w:sz w:val="20"/>
          <w:szCs w:val="20"/>
          <w:color w:val="auto"/>
        </w:rPr>
      </w:pPr>
    </w:p>
    <w:p>
      <w:pPr>
        <w:ind w:left="180" w:hanging="170"/>
        <w:spacing w:after="0"/>
        <w:tabs>
          <w:tab w:leader="none" w:pos="1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(ROBERT A. LOTHROP)</w:t>
      </w:r>
    </w:p>
    <w:p>
      <w:pPr>
        <w:spacing w:after="0" w:line="140" w:lineRule="exact"/>
        <w:rPr>
          <w:sz w:val="20"/>
          <w:szCs w:val="20"/>
          <w:color w:val="auto"/>
        </w:rPr>
      </w:pPr>
    </w:p>
    <w:p>
      <w:pPr>
        <w:ind w:left="540"/>
        <w:spacing w:after="0"/>
        <w:tabs>
          <w:tab w:leader="none" w:pos="3320" w:val="left"/>
          <w:tab w:leader="none" w:pos="5320" w:val="left"/>
        </w:tabs>
        <w:rPr>
          <w:sz w:val="20"/>
          <w:szCs w:val="20"/>
          <w:color w:val="auto"/>
        </w:rPr>
      </w:pPr>
      <w:r>
        <w:rPr>
          <w:rFonts w:ascii="Courier New" w:cs="Courier New" w:eastAsia="Courier New" w:hAnsi="Courier New"/>
          <w:sz w:val="15"/>
          <w:szCs w:val="15"/>
          <w:color w:val="auto"/>
        </w:rPr>
        <w:t>/s/ Thomas T. Nicholson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October 4, 1996</w:t>
      </w:r>
    </w:p>
    <w:p>
      <w:pPr>
        <w:spacing w:after="0" w:line="23" w:lineRule="exact"/>
        <w:rPr>
          <w:sz w:val="20"/>
          <w:szCs w:val="20"/>
          <w:color w:val="auto"/>
        </w:rPr>
      </w:pPr>
    </w:p>
    <w:p>
      <w:pPr>
        <w:ind w:left="180" w:hanging="170"/>
        <w:spacing w:after="0"/>
        <w:tabs>
          <w:tab w:leader="none" w:pos="1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(THOMAS T. NICHOLSON)</w:t>
      </w:r>
    </w:p>
    <w:p>
      <w:pPr>
        <w:spacing w:after="0" w:line="140" w:lineRule="exact"/>
        <w:rPr>
          <w:sz w:val="20"/>
          <w:szCs w:val="20"/>
          <w:color w:val="auto"/>
        </w:rPr>
      </w:pPr>
    </w:p>
    <w:p>
      <w:pPr>
        <w:ind w:left="800"/>
        <w:spacing w:after="0"/>
        <w:tabs>
          <w:tab w:leader="none" w:pos="3320" w:val="left"/>
          <w:tab w:leader="none" w:pos="5320" w:val="left"/>
        </w:tabs>
        <w:rPr>
          <w:sz w:val="20"/>
          <w:szCs w:val="20"/>
          <w:color w:val="auto"/>
        </w:rPr>
      </w:pPr>
      <w:r>
        <w:rPr>
          <w:rFonts w:ascii="Courier New" w:cs="Courier New" w:eastAsia="Courier New" w:hAnsi="Courier New"/>
          <w:sz w:val="15"/>
          <w:szCs w:val="15"/>
          <w:color w:val="auto"/>
        </w:rPr>
        <w:t>/s/ Don J. Simplot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October 4, 1996</w:t>
      </w:r>
    </w:p>
    <w:p>
      <w:pPr>
        <w:spacing w:after="0" w:line="23" w:lineRule="exact"/>
        <w:rPr>
          <w:sz w:val="20"/>
          <w:szCs w:val="20"/>
          <w:color w:val="auto"/>
        </w:rPr>
      </w:pPr>
    </w:p>
    <w:p>
      <w:pPr>
        <w:ind w:left="180" w:hanging="170"/>
        <w:spacing w:after="0"/>
        <w:tabs>
          <w:tab w:leader="none" w:pos="1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(DON J. SIMPLOT)</w:t>
      </w:r>
    </w:p>
    <w:p>
      <w:pPr>
        <w:spacing w:after="0" w:line="140" w:lineRule="exact"/>
        <w:rPr>
          <w:sz w:val="20"/>
          <w:szCs w:val="20"/>
          <w:color w:val="auto"/>
        </w:rPr>
      </w:pPr>
    </w:p>
    <w:p>
      <w:pPr>
        <w:ind w:left="700"/>
        <w:spacing w:after="0"/>
        <w:tabs>
          <w:tab w:leader="none" w:pos="3320" w:val="left"/>
          <w:tab w:leader="none" w:pos="5320" w:val="left"/>
        </w:tabs>
        <w:rPr>
          <w:sz w:val="20"/>
          <w:szCs w:val="20"/>
          <w:color w:val="auto"/>
        </w:rPr>
      </w:pPr>
      <w:r>
        <w:rPr>
          <w:rFonts w:ascii="Courier New" w:cs="Courier New" w:eastAsia="Courier New" w:hAnsi="Courier New"/>
          <w:sz w:val="15"/>
          <w:szCs w:val="15"/>
          <w:color w:val="auto"/>
        </w:rPr>
        <w:t>/s/ John R. Simplot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October 4, 1996</w:t>
      </w:r>
    </w:p>
    <w:p>
      <w:pPr>
        <w:spacing w:after="0" w:line="23" w:lineRule="exact"/>
        <w:rPr>
          <w:sz w:val="20"/>
          <w:szCs w:val="20"/>
          <w:color w:val="auto"/>
        </w:rPr>
      </w:pPr>
    </w:p>
    <w:p>
      <w:pPr>
        <w:ind w:left="180" w:hanging="170"/>
        <w:spacing w:after="0"/>
        <w:tabs>
          <w:tab w:leader="none" w:pos="1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R. SIMPLOT)</w:t>
      </w:r>
    </w:p>
    <w:p>
      <w:pPr>
        <w:spacing w:after="0" w:line="140" w:lineRule="exact"/>
        <w:rPr>
          <w:sz w:val="20"/>
          <w:szCs w:val="20"/>
          <w:color w:val="auto"/>
        </w:rPr>
      </w:pPr>
    </w:p>
    <w:p>
      <w:pPr>
        <w:ind w:left="700"/>
        <w:spacing w:after="0"/>
        <w:tabs>
          <w:tab w:leader="none" w:pos="3320" w:val="left"/>
          <w:tab w:leader="none" w:pos="5320" w:val="left"/>
        </w:tabs>
        <w:rPr>
          <w:sz w:val="20"/>
          <w:szCs w:val="20"/>
          <w:color w:val="auto"/>
        </w:rPr>
      </w:pPr>
      <w:r>
        <w:rPr>
          <w:rFonts w:ascii="Courier New" w:cs="Courier New" w:eastAsia="Courier New" w:hAnsi="Courier New"/>
          <w:sz w:val="15"/>
          <w:szCs w:val="15"/>
          <w:color w:val="auto"/>
        </w:rPr>
        <w:t>/s/ Gordon C. Smith</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October 4, 1996</w:t>
      </w:r>
    </w:p>
    <w:p>
      <w:pPr>
        <w:spacing w:after="0" w:line="23" w:lineRule="exact"/>
        <w:rPr>
          <w:sz w:val="20"/>
          <w:szCs w:val="20"/>
          <w:color w:val="auto"/>
        </w:rPr>
      </w:pPr>
    </w:p>
    <w:p>
      <w:pPr>
        <w:ind w:left="180" w:hanging="170"/>
        <w:spacing w:after="0"/>
        <w:tabs>
          <w:tab w:leader="none" w:pos="1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(GORDON C. SMITH)</w:t>
      </w:r>
    </w:p>
    <w:p>
      <w:pPr>
        <w:spacing w:after="0" w:line="1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598" w:right="1440" w:bottom="1440" w:gutter="0" w:footer="0" w:header="0"/>
        </w:sectPr>
      </w:pPr>
    </w:p>
    <w:bookmarkStart w:id="48" w:name="page49"/>
    <w:bookmarkEnd w:id="48"/>
    <w:p>
      <w:pPr>
        <w:jc w:val="right"/>
        <w:ind w:right="3239"/>
        <w:spacing w:after="0"/>
        <w:rPr>
          <w:sz w:val="20"/>
          <w:szCs w:val="20"/>
          <w:color w:val="auto"/>
        </w:rPr>
      </w:pPr>
      <w:r>
        <w:rPr>
          <w:rFonts w:ascii="Courier New" w:cs="Courier New" w:eastAsia="Courier New" w:hAnsi="Courier New"/>
          <w:sz w:val="15"/>
          <w:szCs w:val="15"/>
          <w:color w:val="auto"/>
        </w:rPr>
        <w:t>EXHIBIT 3.7</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BYLAWS</w:t>
      </w:r>
    </w:p>
    <w:p>
      <w:pPr>
        <w:spacing w:after="0" w:line="2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OF</w:t>
      </w:r>
    </w:p>
    <w:p>
      <w:pPr>
        <w:jc w:val="center"/>
        <w:ind w:right="3319"/>
        <w:spacing w:after="0"/>
        <w:rPr>
          <w:sz w:val="20"/>
          <w:szCs w:val="20"/>
          <w:color w:val="auto"/>
        </w:rPr>
      </w:pPr>
      <w:r>
        <w:rPr>
          <w:rFonts w:ascii="Courier New" w:cs="Courier New" w:eastAsia="Courier New" w:hAnsi="Courier New"/>
          <w:sz w:val="15"/>
          <w:szCs w:val="15"/>
          <w:color w:val="auto"/>
        </w:rPr>
        <w:t>MICRON TECHNOLOGY, INC.</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OFFICES</w:t>
      </w:r>
    </w:p>
    <w:p>
      <w:pPr>
        <w:spacing w:after="0" w:line="166" w:lineRule="exact"/>
        <w:rPr>
          <w:sz w:val="20"/>
          <w:szCs w:val="20"/>
          <w:color w:val="auto"/>
        </w:rPr>
      </w:pPr>
    </w:p>
    <w:p>
      <w:pPr>
        <w:ind w:right="3239" w:firstLine="437"/>
        <w:spacing w:after="0" w:line="344" w:lineRule="auto"/>
        <w:rPr>
          <w:sz w:val="20"/>
          <w:szCs w:val="20"/>
          <w:color w:val="auto"/>
        </w:rPr>
      </w:pPr>
      <w:r>
        <w:rPr>
          <w:rFonts w:ascii="Courier New" w:cs="Courier New" w:eastAsia="Courier New" w:hAnsi="Courier New"/>
          <w:sz w:val="15"/>
          <w:szCs w:val="15"/>
          <w:color w:val="auto"/>
        </w:rPr>
        <w:t>SECTION 1. The registered office shall be 100 West Tenth Street, in the City of Wilmington, County of New Castle, State of Delaware.</w:t>
      </w:r>
    </w:p>
    <w:p>
      <w:pPr>
        <w:spacing w:after="0" w:line="17" w:lineRule="exact"/>
        <w:rPr>
          <w:sz w:val="20"/>
          <w:szCs w:val="20"/>
          <w:color w:val="auto"/>
        </w:rPr>
      </w:pPr>
    </w:p>
    <w:p>
      <w:pPr>
        <w:ind w:right="3239" w:firstLine="437"/>
        <w:spacing w:after="0" w:line="290" w:lineRule="auto"/>
        <w:rPr>
          <w:sz w:val="20"/>
          <w:szCs w:val="20"/>
          <w:color w:val="auto"/>
        </w:rPr>
      </w:pPr>
      <w:r>
        <w:rPr>
          <w:rFonts w:ascii="Courier New" w:cs="Courier New" w:eastAsia="Courier New" w:hAnsi="Courier New"/>
          <w:sz w:val="15"/>
          <w:szCs w:val="15"/>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 OF STOCKHOLDERS</w:t>
      </w:r>
    </w:p>
    <w:p>
      <w:pPr>
        <w:spacing w:after="0" w:line="166" w:lineRule="exact"/>
        <w:rPr>
          <w:sz w:val="20"/>
          <w:szCs w:val="20"/>
          <w:color w:val="auto"/>
        </w:rPr>
      </w:pPr>
    </w:p>
    <w:p>
      <w:pPr>
        <w:ind w:right="3319" w:firstLine="437"/>
        <w:spacing w:after="0" w:line="264" w:lineRule="auto"/>
        <w:rPr>
          <w:sz w:val="20"/>
          <w:szCs w:val="20"/>
          <w:color w:val="auto"/>
        </w:rPr>
      </w:pPr>
      <w:r>
        <w:rPr>
          <w:rFonts w:ascii="Courier New" w:cs="Courier New" w:eastAsia="Courier New" w:hAnsi="Courier New"/>
          <w:sz w:val="15"/>
          <w:szCs w:val="15"/>
          <w:color w:val="auto"/>
        </w:rPr>
        <w:t>SECTION 1. All meetings of the stockholders shall be held at the principal office of the corporation in the City of Boise, State of Idaho, or at such other place either within or without the State of Delaware as shall be designated in the notice of the meeting or in a duly executed waiver of notice thereof.</w:t>
      </w:r>
    </w:p>
    <w:p>
      <w:pPr>
        <w:spacing w:after="0" w:line="75"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5"/>
          <w:szCs w:val="15"/>
          <w:color w:val="auto"/>
        </w:rPr>
        <w:t>SECTION 2. Annual meetings of stockholders shall be held on such day and such hour as shall be designated from time to time by the Board of Directors and stated in the notice of the meeting. At such meeting, the stockholders shall elect a Board of Directors and transact such other business as may properly be brought before the meeting.</w:t>
      </w:r>
    </w:p>
    <w:p>
      <w:pPr>
        <w:spacing w:after="0" w:line="75"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5"/>
          <w:szCs w:val="15"/>
          <w:color w:val="auto"/>
        </w:rPr>
        <w:t>SECTION 3. Written notice of the annual meeting stating the place, date and hour of the meeting shall be given to each stockholder entitled to vote at such meeting not less than ten nor more than sixty days before the date of the meeting.</w:t>
      </w:r>
    </w:p>
    <w:p>
      <w:pPr>
        <w:spacing w:after="0" w:line="68" w:lineRule="exact"/>
        <w:rPr>
          <w:sz w:val="20"/>
          <w:szCs w:val="20"/>
          <w:color w:val="auto"/>
        </w:rPr>
      </w:pPr>
    </w:p>
    <w:p>
      <w:pPr>
        <w:ind w:right="3499" w:firstLine="437"/>
        <w:spacing w:after="0" w:line="264" w:lineRule="auto"/>
        <w:rPr>
          <w:sz w:val="20"/>
          <w:szCs w:val="20"/>
          <w:color w:val="auto"/>
        </w:rPr>
      </w:pPr>
      <w:r>
        <w:rPr>
          <w:rFonts w:ascii="Courier New" w:cs="Courier New" w:eastAsia="Courier New" w:hAnsi="Courier New"/>
          <w:sz w:val="15"/>
          <w:szCs w:val="15"/>
          <w:color w:val="auto"/>
        </w:rPr>
        <w:t>SECTION 4. The officer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w:t>
      </w:r>
    </w:p>
    <w:p>
      <w:pPr>
        <w:sectPr>
          <w:pgSz w:w="11900" w:h="16838" w:orient="portrait"/>
          <w:cols w:equalWidth="0" w:num="1">
            <w:col w:w="10239"/>
          </w:cols>
          <w:pgMar w:left="220" w:top="452" w:right="1440" w:bottom="1440" w:gutter="0" w:footer="0" w:header="0"/>
        </w:sectPr>
      </w:pPr>
    </w:p>
    <w:bookmarkStart w:id="49" w:name="page50"/>
    <w:bookmarkEnd w:id="49"/>
    <w:p>
      <w:pPr>
        <w:ind w:right="3239"/>
        <w:spacing w:after="0" w:line="252" w:lineRule="auto"/>
        <w:rPr>
          <w:sz w:val="20"/>
          <w:szCs w:val="20"/>
          <w:color w:val="auto"/>
        </w:rPr>
      </w:pPr>
      <w:r>
        <w:rPr>
          <w:rFonts w:ascii="Courier New" w:cs="Courier New" w:eastAsia="Courier New" w:hAnsi="Courier New"/>
          <w:sz w:val="15"/>
          <w:szCs w:val="15"/>
          <w:color w:val="auto"/>
        </w:rPr>
        <w:t>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86"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5"/>
          <w:szCs w:val="15"/>
          <w:color w:val="auto"/>
        </w:rPr>
        <w:t>SECTION 5. Special meetings of the stockholders, for any purpose or purposes, unless otherwise prescribed by statute or by the Certificate of Incorporation, may be called by the Board of Directors, the Chairman of the Board, the president, or by the holders of shares entitled to cast not less than twenty percent (20%) of the votes at the meeting. Such request shall state the purpose or purposes of the proposed meeting.</w:t>
      </w:r>
    </w:p>
    <w:p>
      <w:pPr>
        <w:spacing w:after="0" w:line="81" w:lineRule="exact"/>
        <w:rPr>
          <w:sz w:val="20"/>
          <w:szCs w:val="20"/>
          <w:color w:val="auto"/>
        </w:rPr>
      </w:pPr>
    </w:p>
    <w:p>
      <w:pPr>
        <w:ind w:right="3319" w:firstLine="437"/>
        <w:spacing w:after="0" w:line="273" w:lineRule="auto"/>
        <w:rPr>
          <w:sz w:val="20"/>
          <w:szCs w:val="20"/>
          <w:color w:val="auto"/>
        </w:rPr>
      </w:pPr>
      <w:r>
        <w:rPr>
          <w:rFonts w:ascii="Courier New" w:cs="Courier New" w:eastAsia="Courier New" w:hAnsi="Courier New"/>
          <w:sz w:val="15"/>
          <w:szCs w:val="15"/>
          <w:color w:val="auto"/>
        </w:rPr>
        <w:t>SECTION 6. Written notice of a special meeting stating the place, date and hour of the meeting and the purpose or purposes for which the meeting is called, shall be given to each stockholder entitled to vote at such meeting not less than ten nor more than sixty days before the date of the meeting.</w:t>
      </w:r>
    </w:p>
    <w:p>
      <w:pPr>
        <w:spacing w:after="0" w:line="68" w:lineRule="exact"/>
        <w:rPr>
          <w:sz w:val="20"/>
          <w:szCs w:val="20"/>
          <w:color w:val="auto"/>
        </w:rPr>
      </w:pPr>
    </w:p>
    <w:p>
      <w:pPr>
        <w:ind w:right="3399" w:firstLine="437"/>
        <w:spacing w:after="0" w:line="344" w:lineRule="auto"/>
        <w:rPr>
          <w:sz w:val="20"/>
          <w:szCs w:val="20"/>
          <w:color w:val="auto"/>
        </w:rPr>
      </w:pPr>
      <w:r>
        <w:rPr>
          <w:rFonts w:ascii="Courier New" w:cs="Courier New" w:eastAsia="Courier New" w:hAnsi="Courier New"/>
          <w:sz w:val="15"/>
          <w:szCs w:val="15"/>
          <w:color w:val="auto"/>
        </w:rPr>
        <w:t>SECTION 7. Business transacted at any special meeting of stockholders shall be limited to the purposes stated in the notice.</w:t>
      </w:r>
    </w:p>
    <w:p>
      <w:pPr>
        <w:spacing w:after="0" w:line="17" w:lineRule="exact"/>
        <w:rPr>
          <w:sz w:val="20"/>
          <w:szCs w:val="20"/>
          <w:color w:val="auto"/>
        </w:rPr>
      </w:pPr>
    </w:p>
    <w:p>
      <w:pPr>
        <w:ind w:right="3239" w:firstLine="437"/>
        <w:spacing w:after="0" w:line="245" w:lineRule="auto"/>
        <w:rPr>
          <w:sz w:val="20"/>
          <w:szCs w:val="20"/>
          <w:color w:val="auto"/>
        </w:rPr>
      </w:pPr>
      <w:r>
        <w:rPr>
          <w:rFonts w:ascii="Courier New" w:cs="Courier New" w:eastAsia="Courier New" w:hAnsi="Courier New"/>
          <w:sz w:val="15"/>
          <w:szCs w:val="15"/>
          <w:color w:val="auto"/>
        </w:rPr>
        <w:t>SECTION 8. The holders of a majority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thirty days, or if after the adjournment a new record date is fixed for the adjourned meeting, a notice of the adjourned meeting shall be given to each stockholder of record entitled to vote at the meeting.</w:t>
      </w:r>
    </w:p>
    <w:p>
      <w:pPr>
        <w:spacing w:after="0" w:line="89" w:lineRule="exact"/>
        <w:rPr>
          <w:sz w:val="20"/>
          <w:szCs w:val="20"/>
          <w:color w:val="auto"/>
        </w:rPr>
      </w:pPr>
    </w:p>
    <w:p>
      <w:pPr>
        <w:ind w:right="3579" w:firstLine="437"/>
        <w:spacing w:after="0" w:line="344" w:lineRule="auto"/>
        <w:rPr>
          <w:sz w:val="20"/>
          <w:szCs w:val="20"/>
          <w:color w:val="auto"/>
        </w:rPr>
      </w:pPr>
      <w:r>
        <w:rPr>
          <w:rFonts w:ascii="Courier New" w:cs="Courier New" w:eastAsia="Courier New" w:hAnsi="Courier New"/>
          <w:sz w:val="15"/>
          <w:szCs w:val="15"/>
          <w:color w:val="auto"/>
        </w:rPr>
        <w:t>SECTION 9. When a quorum is present at any meeting, the vote of the holders of a majority of the stock having</w:t>
      </w:r>
    </w:p>
    <w:p>
      <w:pPr>
        <w:sectPr>
          <w:pgSz w:w="11900" w:h="16838" w:orient="portrait"/>
          <w:cols w:equalWidth="0" w:num="1">
            <w:col w:w="10239"/>
          </w:cols>
          <w:pgMar w:left="220" w:top="598" w:right="1440" w:bottom="1440" w:gutter="0" w:footer="0" w:header="0"/>
        </w:sectPr>
      </w:pPr>
    </w:p>
    <w:bookmarkStart w:id="50" w:name="page51"/>
    <w:bookmarkEnd w:id="50"/>
    <w:p>
      <w:pPr>
        <w:ind w:right="3239"/>
        <w:spacing w:after="0" w:line="264" w:lineRule="auto"/>
        <w:rPr>
          <w:sz w:val="20"/>
          <w:szCs w:val="20"/>
          <w:color w:val="auto"/>
        </w:rPr>
      </w:pPr>
      <w:r>
        <w:rPr>
          <w:rFonts w:ascii="Courier New" w:cs="Courier New" w:eastAsia="Courier New" w:hAnsi="Courier New"/>
          <w:sz w:val="15"/>
          <w:szCs w:val="15"/>
          <w:color w:val="auto"/>
        </w:rPr>
        <w:t>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the question.</w:t>
      </w:r>
    </w:p>
    <w:p>
      <w:pPr>
        <w:spacing w:after="0" w:line="75" w:lineRule="exact"/>
        <w:rPr>
          <w:sz w:val="20"/>
          <w:szCs w:val="20"/>
          <w:color w:val="auto"/>
        </w:rPr>
      </w:pPr>
    </w:p>
    <w:p>
      <w:pPr>
        <w:ind w:right="3239" w:firstLine="437"/>
        <w:spacing w:after="0" w:line="252" w:lineRule="auto"/>
        <w:rPr>
          <w:sz w:val="20"/>
          <w:szCs w:val="20"/>
          <w:color w:val="auto"/>
        </w:rPr>
      </w:pPr>
      <w:r>
        <w:rPr>
          <w:rFonts w:ascii="Courier New" w:cs="Courier New" w:eastAsia="Courier New" w:hAnsi="Courier New"/>
          <w:sz w:val="15"/>
          <w:szCs w:val="15"/>
          <w:color w:val="auto"/>
        </w:rPr>
        <w:t>SECTION 10. Unless otherwise provided in the Certificate of Incorporation, each stockholder shall at every meeting of the stockholders be entitled to one vote in person or by proxy for each share of the capital stock having voting power held by such stockholder, regardless of class, but no proxy shall be voted on or after three years from its date, unless the proxy provides for a longer period. Vote may be viva voice or by ballot; provided, however, that elections for directors must be by ballot upon demand by a shareholder at the meeting and before the voting begins.</w:t>
      </w:r>
    </w:p>
    <w:p>
      <w:pPr>
        <w:spacing w:after="0" w:line="86" w:lineRule="exact"/>
        <w:rPr>
          <w:sz w:val="20"/>
          <w:szCs w:val="20"/>
          <w:color w:val="auto"/>
        </w:rPr>
      </w:pPr>
    </w:p>
    <w:p>
      <w:pPr>
        <w:ind w:right="3499" w:firstLine="437"/>
        <w:spacing w:after="0" w:line="290" w:lineRule="auto"/>
        <w:rPr>
          <w:sz w:val="20"/>
          <w:szCs w:val="20"/>
          <w:color w:val="auto"/>
        </w:rPr>
      </w:pPr>
      <w:r>
        <w:rPr>
          <w:rFonts w:ascii="Courier New" w:cs="Courier New" w:eastAsia="Courier New" w:hAnsi="Courier New"/>
          <w:sz w:val="15"/>
          <w:szCs w:val="15"/>
          <w:color w:val="auto"/>
        </w:rPr>
        <w:t>At all elections of directors of the corporation each stockholder having voting power shall be entitled to exercise the right of cumulative voting as provided in the Certificate of Incorporation.</w:t>
      </w:r>
    </w:p>
    <w:p>
      <w:pPr>
        <w:spacing w:after="0" w:line="57" w:lineRule="exact"/>
        <w:rPr>
          <w:sz w:val="20"/>
          <w:szCs w:val="20"/>
          <w:color w:val="auto"/>
        </w:rPr>
      </w:pPr>
    </w:p>
    <w:p>
      <w:pPr>
        <w:ind w:right="3239" w:firstLine="437"/>
        <w:spacing w:after="0" w:line="269" w:lineRule="auto"/>
        <w:rPr>
          <w:sz w:val="20"/>
          <w:szCs w:val="20"/>
          <w:color w:val="auto"/>
        </w:rPr>
      </w:pPr>
      <w:r>
        <w:rPr>
          <w:rFonts w:ascii="Courier New" w:cs="Courier New" w:eastAsia="Courier New" w:hAnsi="Courier New"/>
          <w:sz w:val="14"/>
          <w:szCs w:val="14"/>
          <w:color w:val="auto"/>
        </w:rPr>
        <w:t>SECTION 11. Unless otherwise provided in the Certificate of Incorporation, any action required to be taken at any annual of special meeting of stockholders of the corporation, or any action which may be taken at any annual or special meeting of the stockholders, may be taken without a meeting, without prior notice and without a vote, of a consent in writing, setting forth the action so taken, shall be signed by the holders of outstanding stock having not less than the minimum number of votes that would be necessary to authorize or take such action at a meeting at which notice of the taking of the corporate action without a meeting by less than unanimous written consent shall be given to those stockholders who have not consented in writing.</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66" w:lineRule="exact"/>
        <w:rPr>
          <w:sz w:val="20"/>
          <w:szCs w:val="20"/>
          <w:color w:val="auto"/>
        </w:rPr>
      </w:pPr>
    </w:p>
    <w:p>
      <w:pPr>
        <w:ind w:right="3319" w:firstLine="437"/>
        <w:spacing w:after="0" w:line="298" w:lineRule="auto"/>
        <w:rPr>
          <w:sz w:val="20"/>
          <w:szCs w:val="20"/>
          <w:color w:val="auto"/>
        </w:rPr>
      </w:pPr>
      <w:r>
        <w:rPr>
          <w:rFonts w:ascii="Courier New" w:cs="Courier New" w:eastAsia="Courier New" w:hAnsi="Courier New"/>
          <w:sz w:val="14"/>
          <w:szCs w:val="14"/>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ectPr>
          <w:pgSz w:w="11900" w:h="16838" w:orient="portrait"/>
          <w:cols w:equalWidth="0" w:num="1">
            <w:col w:w="10239"/>
          </w:cols>
          <w:pgMar w:left="220" w:top="598" w:right="1440" w:bottom="1440" w:gutter="0" w:footer="0" w:header="0"/>
        </w:sectPr>
      </w:pPr>
    </w:p>
    <w:bookmarkStart w:id="51" w:name="page52"/>
    <w:bookmarkEnd w:id="51"/>
    <w:p>
      <w:pPr>
        <w:ind w:right="3319" w:firstLine="700"/>
        <w:spacing w:after="0" w:line="255" w:lineRule="auto"/>
        <w:rPr>
          <w:sz w:val="20"/>
          <w:szCs w:val="20"/>
          <w:color w:val="auto"/>
        </w:rPr>
      </w:pPr>
      <w:r>
        <w:rPr>
          <w:rFonts w:ascii="Courier New" w:cs="Courier New" w:eastAsia="Courier New" w:hAnsi="Courier New"/>
          <w:sz w:val="15"/>
          <w:szCs w:val="15"/>
          <w:color w:val="auto"/>
        </w:rPr>
        <w:t>SECTION 2. The directors shall be elected at each annual meeting of shareholders, but if any such annual meeting is not held, or the directors are not elected thereat, the directors may be elected at any special meeting of the shareholders held for that purpose. All directors shall hold office until the expiration of the term for which elected and until their respective successors are elected, except in the case of death, resignation or removal of any director. A director need not be a shareholder.</w:t>
      </w:r>
    </w:p>
    <w:p>
      <w:pPr>
        <w:spacing w:after="0" w:line="82" w:lineRule="exact"/>
        <w:rPr>
          <w:sz w:val="20"/>
          <w:szCs w:val="20"/>
          <w:color w:val="auto"/>
        </w:rPr>
      </w:pPr>
    </w:p>
    <w:p>
      <w:pPr>
        <w:ind w:right="3239" w:firstLine="700"/>
        <w:spacing w:after="0" w:line="258" w:lineRule="auto"/>
        <w:rPr>
          <w:sz w:val="20"/>
          <w:szCs w:val="20"/>
          <w:color w:val="auto"/>
        </w:rPr>
      </w:pPr>
      <w:r>
        <w:rPr>
          <w:rFonts w:ascii="Courier New" w:cs="Courier New" w:eastAsia="Courier New" w:hAnsi="Courier New"/>
          <w:sz w:val="15"/>
          <w:szCs w:val="15"/>
          <w:color w:val="auto"/>
        </w:rPr>
        <w:t>SECTION 3. Any director may resign effective upon giving written notice to the Chairman of the Board, the President, the Secretary of the Board of Directors of the corporation, unless the notice specifies a late time for the effectiveness of such resignation. If the resignation is effective at a future time, a successor may be elected to take office when the resignation becomes effective.</w:t>
      </w:r>
    </w:p>
    <w:p>
      <w:pPr>
        <w:spacing w:after="0" w:line="81" w:lineRule="exact"/>
        <w:rPr>
          <w:sz w:val="20"/>
          <w:szCs w:val="20"/>
          <w:color w:val="auto"/>
        </w:rPr>
      </w:pPr>
    </w:p>
    <w:p>
      <w:pPr>
        <w:ind w:right="3399" w:firstLine="700"/>
        <w:spacing w:after="0" w:line="273" w:lineRule="auto"/>
        <w:rPr>
          <w:sz w:val="20"/>
          <w:szCs w:val="20"/>
          <w:color w:val="auto"/>
        </w:rPr>
      </w:pPr>
      <w:r>
        <w:rPr>
          <w:rFonts w:ascii="Courier New" w:cs="Courier New" w:eastAsia="Courier New" w:hAnsi="Courier New"/>
          <w:sz w:val="15"/>
          <w:szCs w:val="15"/>
          <w:color w:val="auto"/>
        </w:rPr>
        <w:t>SECTION 4. The entire Board of Directors or any individual director may be removed from office, prior to the expiration of their or his term of office only in the manner and within the limitations provided by the General Corporation Law of Delaware.</w:t>
      </w:r>
    </w:p>
    <w:p>
      <w:pPr>
        <w:spacing w:after="0" w:line="68" w:lineRule="exact"/>
        <w:rPr>
          <w:sz w:val="20"/>
          <w:szCs w:val="20"/>
          <w:color w:val="auto"/>
        </w:rPr>
      </w:pPr>
    </w:p>
    <w:p>
      <w:pPr>
        <w:ind w:right="3239" w:firstLine="700"/>
        <w:spacing w:after="0" w:line="290" w:lineRule="auto"/>
        <w:rPr>
          <w:sz w:val="20"/>
          <w:szCs w:val="20"/>
          <w:color w:val="auto"/>
        </w:rPr>
      </w:pPr>
      <w:r>
        <w:rPr>
          <w:rFonts w:ascii="Courier New" w:cs="Courier New" w:eastAsia="Courier New" w:hAnsi="Courier New"/>
          <w:sz w:val="15"/>
          <w:szCs w:val="15"/>
          <w:color w:val="auto"/>
        </w:rPr>
        <w:t>No reduction of the authorized number of directors shall have the effect of removing any director prior to the expiration of such director's term of office.</w:t>
      </w:r>
    </w:p>
    <w:p>
      <w:pPr>
        <w:spacing w:after="0" w:line="57" w:lineRule="exact"/>
        <w:rPr>
          <w:sz w:val="20"/>
          <w:szCs w:val="20"/>
          <w:color w:val="auto"/>
        </w:rPr>
      </w:pPr>
    </w:p>
    <w:p>
      <w:pPr>
        <w:ind w:right="3239" w:firstLine="700"/>
        <w:spacing w:after="0" w:line="258" w:lineRule="auto"/>
        <w:rPr>
          <w:sz w:val="20"/>
          <w:szCs w:val="20"/>
          <w:color w:val="auto"/>
        </w:rPr>
      </w:pPr>
      <w:r>
        <w:rPr>
          <w:rFonts w:ascii="Courier New" w:cs="Courier New" w:eastAsia="Courier New" w:hAnsi="Courier New"/>
          <w:sz w:val="15"/>
          <w:szCs w:val="15"/>
          <w:color w:val="auto"/>
        </w:rPr>
        <w:t>SECTION 5. A vacancy in the Board of Directors shall be deemed to exist in case of the death, resignation or removal of any director, or if the authorized number of directors be increased, or if the shareholders fail at any annual or special meeting of shareholders at which any director or directors are elected to elect the full authorized number of directors to be voted for at that meeting.</w:t>
      </w:r>
    </w:p>
    <w:p>
      <w:pPr>
        <w:spacing w:after="0" w:line="81" w:lineRule="exact"/>
        <w:rPr>
          <w:sz w:val="20"/>
          <w:szCs w:val="20"/>
          <w:color w:val="auto"/>
        </w:rPr>
      </w:pPr>
    </w:p>
    <w:p>
      <w:pPr>
        <w:ind w:right="3399" w:firstLine="700"/>
        <w:spacing w:after="0" w:line="258" w:lineRule="auto"/>
        <w:rPr>
          <w:sz w:val="20"/>
          <w:szCs w:val="20"/>
          <w:color w:val="auto"/>
        </w:rPr>
      </w:pPr>
      <w:r>
        <w:rPr>
          <w:rFonts w:ascii="Courier New" w:cs="Courier New" w:eastAsia="Courier New" w:hAnsi="Courier New"/>
          <w:sz w:val="15"/>
          <w:szCs w:val="15"/>
          <w:color w:val="auto"/>
        </w:rPr>
        <w:t>Vacancies in the Board of Directors may be filled by a majority of the directors then in office, whether or not less than a quorum, or by a sole remaining director. Each director so elected shall hold office until the expiration of the term for which he was elected and until his successor is elected at an annual or a special meeting of the shareholders, or until his death, resignation or removal.</w:t>
      </w:r>
    </w:p>
    <w:p>
      <w:pPr>
        <w:spacing w:after="0" w:line="81" w:lineRule="exact"/>
        <w:rPr>
          <w:sz w:val="20"/>
          <w:szCs w:val="20"/>
          <w:color w:val="auto"/>
        </w:rPr>
      </w:pPr>
    </w:p>
    <w:p>
      <w:pPr>
        <w:ind w:right="3399" w:firstLine="700"/>
        <w:spacing w:after="0" w:line="273" w:lineRule="auto"/>
        <w:rPr>
          <w:sz w:val="20"/>
          <w:szCs w:val="20"/>
          <w:color w:val="auto"/>
        </w:rPr>
      </w:pPr>
      <w:r>
        <w:rPr>
          <w:rFonts w:ascii="Courier New" w:cs="Courier New" w:eastAsia="Courier New" w:hAnsi="Courier New"/>
          <w:sz w:val="15"/>
          <w:szCs w:val="15"/>
          <w:color w:val="auto"/>
        </w:rPr>
        <w:t>The shareholders may elect a director or directors at any time to fill any vacancy or vacancies not filled by the directors. Any such election by written consent shall require the consent of a majority of the outstanding shares</w:t>
      </w:r>
    </w:p>
    <w:p>
      <w:pPr>
        <w:sectPr>
          <w:pgSz w:w="11900" w:h="16838" w:orient="portrait"/>
          <w:cols w:equalWidth="0" w:num="1">
            <w:col w:w="10239"/>
          </w:cols>
          <w:pgMar w:left="220" w:top="598"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entitled to vote.</w:t>
      </w:r>
    </w:p>
    <w:p>
      <w:pPr>
        <w:spacing w:after="0" w:line="166"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5"/>
          <w:szCs w:val="15"/>
          <w:color w:val="auto"/>
        </w:rPr>
        <w:t>SECTION 6. The business of the corporation shall be managed by or under the direction of its Board of Directors which may exercise all such powers of the corporation and do all such lawful acts and things as are not by statute or by the Certificate of Incorporation or these Bylaws directed or required to be exercised or done by the stockholders.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 OF THE BOARD OF DIRECTORS</w:t>
      </w:r>
    </w:p>
    <w:p>
      <w:pPr>
        <w:spacing w:after="0" w:line="166" w:lineRule="exact"/>
        <w:rPr>
          <w:sz w:val="20"/>
          <w:szCs w:val="20"/>
          <w:color w:val="auto"/>
        </w:rPr>
      </w:pPr>
    </w:p>
    <w:p>
      <w:pPr>
        <w:ind w:right="3239" w:firstLine="437"/>
        <w:spacing w:after="0" w:line="344" w:lineRule="auto"/>
        <w:rPr>
          <w:sz w:val="20"/>
          <w:szCs w:val="20"/>
          <w:color w:val="auto"/>
        </w:rPr>
      </w:pPr>
      <w:r>
        <w:rPr>
          <w:rFonts w:ascii="Courier New" w:cs="Courier New" w:eastAsia="Courier New" w:hAnsi="Courier New"/>
          <w:sz w:val="15"/>
          <w:szCs w:val="15"/>
          <w:color w:val="auto"/>
        </w:rPr>
        <w:t>SECTION 7. The Board of Directors of the corporation may hold meetings, both regular and special, either within or without the State of Delaware.</w:t>
      </w:r>
    </w:p>
    <w:p>
      <w:pPr>
        <w:spacing w:after="0" w:line="17" w:lineRule="exact"/>
        <w:rPr>
          <w:sz w:val="20"/>
          <w:szCs w:val="20"/>
          <w:color w:val="auto"/>
        </w:rPr>
      </w:pPr>
    </w:p>
    <w:p>
      <w:pPr>
        <w:ind w:right="3399" w:firstLine="437"/>
        <w:spacing w:after="0" w:line="248" w:lineRule="auto"/>
        <w:rPr>
          <w:sz w:val="20"/>
          <w:szCs w:val="20"/>
          <w:color w:val="auto"/>
        </w:rPr>
      </w:pPr>
      <w:r>
        <w:rPr>
          <w:rFonts w:ascii="Courier New" w:cs="Courier New" w:eastAsia="Courier New" w:hAnsi="Courier New"/>
          <w:sz w:val="15"/>
          <w:szCs w:val="15"/>
          <w:color w:val="auto"/>
        </w:rPr>
        <w:t>SECTION 8. The first meeting of each newly elected Board of Directors shall be held at such time and place as shall be fixed by the vote of the stockholders at the annual meeting and no notice of such meeting shall be necessary to the newly elected directors in order legally to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87" w:lineRule="exact"/>
        <w:rPr>
          <w:sz w:val="20"/>
          <w:szCs w:val="20"/>
          <w:color w:val="auto"/>
        </w:rPr>
      </w:pPr>
    </w:p>
    <w:p>
      <w:pPr>
        <w:jc w:val="both"/>
        <w:ind w:right="3679" w:firstLine="437"/>
        <w:spacing w:after="0" w:line="290" w:lineRule="auto"/>
        <w:rPr>
          <w:sz w:val="20"/>
          <w:szCs w:val="20"/>
          <w:color w:val="auto"/>
        </w:rPr>
      </w:pPr>
      <w:r>
        <w:rPr>
          <w:rFonts w:ascii="Courier New" w:cs="Courier New" w:eastAsia="Courier New" w:hAnsi="Courier New"/>
          <w:sz w:val="15"/>
          <w:szCs w:val="15"/>
          <w:color w:val="auto"/>
        </w:rPr>
        <w:t>SECTION 9. Regular meetings of the Board of Directors may be held without notice at such time and at such place as shall from time to time be determined by the Board.</w:t>
      </w:r>
    </w:p>
    <w:p>
      <w:pPr>
        <w:spacing w:after="0" w:line="57"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5"/>
          <w:szCs w:val="15"/>
          <w:color w:val="auto"/>
        </w:rPr>
        <w:t>SECTION 10. Special meetings of the Board may be called by the president on two days' notice to each director, either personally or by mail or by tele-gram; special meetings shall be called by the president or secretary in like manner and on like notice on the written request of the Chairman of the Board or two directors.</w:t>
      </w:r>
    </w:p>
    <w:p>
      <w:pPr>
        <w:spacing w:after="0" w:line="75"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5"/>
          <w:szCs w:val="15"/>
          <w:color w:val="auto"/>
        </w:rPr>
        <w:t>SECTION 11. At all meetings of the Board a majority of the authorized number of directors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w:t>
      </w:r>
    </w:p>
    <w:p>
      <w:pPr>
        <w:sectPr>
          <w:pgSz w:w="11900" w:h="16838" w:orient="portrait"/>
          <w:cols w:equalWidth="0" w:num="1">
            <w:col w:w="10239"/>
          </w:cols>
          <w:pgMar w:left="220" w:top="598" w:right="1440" w:bottom="1440" w:gutter="0" w:footer="0" w:header="0"/>
        </w:sectPr>
      </w:pPr>
    </w:p>
    <w:bookmarkStart w:id="53" w:name="page54"/>
    <w:bookmarkEnd w:id="53"/>
    <w:p>
      <w:pPr>
        <w:ind w:right="3319"/>
        <w:spacing w:after="0" w:line="320" w:lineRule="auto"/>
        <w:rPr>
          <w:sz w:val="20"/>
          <w:szCs w:val="20"/>
          <w:color w:val="auto"/>
        </w:rPr>
      </w:pPr>
      <w:r>
        <w:rPr>
          <w:rFonts w:ascii="Courier New" w:cs="Courier New" w:eastAsia="Courier New" w:hAnsi="Courier New"/>
          <w:sz w:val="14"/>
          <w:szCs w:val="14"/>
          <w:color w:val="auto"/>
        </w:rPr>
        <w:t>quorum shall not be present at any meeting of the Board of Directors, the directors present thereat may adjourn the meeting from time to time, without notice other than announcement at the meeting, until a quorum shall be present.</w:t>
      </w:r>
    </w:p>
    <w:p>
      <w:pPr>
        <w:spacing w:after="0" w:line="38"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5"/>
          <w:szCs w:val="15"/>
          <w:color w:val="auto"/>
        </w:rPr>
        <w:t>SECTION 12. 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and the writing or writings are filed with the minutes of proceedings of the Board or committee.</w:t>
      </w:r>
    </w:p>
    <w:p>
      <w:pPr>
        <w:spacing w:after="0" w:line="81"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5"/>
          <w:szCs w:val="15"/>
          <w:color w:val="auto"/>
        </w:rPr>
        <w:t>SECTION 13. Unless otherwise restricted by the Certificate of Incorporation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the meeting.</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DIRECTORS</w:t>
      </w:r>
    </w:p>
    <w:p>
      <w:pPr>
        <w:spacing w:after="0" w:line="166" w:lineRule="exact"/>
        <w:rPr>
          <w:sz w:val="20"/>
          <w:szCs w:val="20"/>
          <w:color w:val="auto"/>
        </w:rPr>
      </w:pPr>
    </w:p>
    <w:p>
      <w:pPr>
        <w:ind w:right="3239" w:firstLine="525"/>
        <w:spacing w:after="0" w:line="262" w:lineRule="auto"/>
        <w:rPr>
          <w:sz w:val="20"/>
          <w:szCs w:val="20"/>
          <w:color w:val="auto"/>
        </w:rPr>
      </w:pPr>
      <w:r>
        <w:rPr>
          <w:rFonts w:ascii="Courier New" w:cs="Courier New" w:eastAsia="Courier New" w:hAnsi="Courier New"/>
          <w:sz w:val="14"/>
          <w:szCs w:val="14"/>
          <w:color w:val="auto"/>
        </w:rPr>
        <w:t>SECTION 14. The Board of Directors may, by resolution passed by a majority of the authorized number of directors, appoint an executive committee consisting of two or more of the directors of the corporation. The Board may designate one or more directors as alternate members of any committee, who may replace any absent or disqualified member at any meeting of the committee. The executive committee, to the extent provided in the resolution of the Board of Directors and subject to any limitation by statute, shall have and may exercise all the powers and authority of the Board of Directors in the management of the business and affairs of the corporation, and may authorize the seal of the corporation to be affixed to all papers which may require it; but it shall not have the power or authority in reference to amending the Certificate of Incorporation, adopting an agreement of merger or consolidation, recommending to the stockholders the sale, lease or exchange of all or substantially all the corporation's property and assets, recommending to the stockholders a dissolution of the corporation or a revocation of a dissolution, or amending the Bylaws of the corporation; and, unless the resolution or the Certificate of Incorporation expressly so provide, it shall not have the power or authority to declare a dividend or to authorize the issuance of stock.</w:t>
      </w:r>
    </w:p>
    <w:p>
      <w:pPr>
        <w:spacing w:after="0" w:line="79" w:lineRule="exact"/>
        <w:rPr>
          <w:sz w:val="20"/>
          <w:szCs w:val="20"/>
          <w:color w:val="auto"/>
        </w:rPr>
      </w:pPr>
    </w:p>
    <w:p>
      <w:pPr>
        <w:ind w:left="540"/>
        <w:spacing w:after="0"/>
        <w:tabs>
          <w:tab w:leader="none" w:pos="1820" w:val="left"/>
        </w:tabs>
        <w:rPr>
          <w:sz w:val="20"/>
          <w:szCs w:val="20"/>
          <w:color w:val="auto"/>
        </w:rPr>
      </w:pPr>
      <w:r>
        <w:rPr>
          <w:rFonts w:ascii="Courier New" w:cs="Courier New" w:eastAsia="Courier New" w:hAnsi="Courier New"/>
          <w:sz w:val="15"/>
          <w:szCs w:val="15"/>
          <w:color w:val="auto"/>
        </w:rPr>
        <w:t>SECTION 15.</w:t>
      </w:r>
      <w:r>
        <w:rPr>
          <w:sz w:val="20"/>
          <w:szCs w:val="20"/>
          <w:color w:val="auto"/>
        </w:rPr>
        <w:tab/>
      </w:r>
      <w:r>
        <w:rPr>
          <w:rFonts w:ascii="Courier New" w:cs="Courier New" w:eastAsia="Courier New" w:hAnsi="Courier New"/>
          <w:sz w:val="14"/>
          <w:szCs w:val="14"/>
          <w:color w:val="auto"/>
        </w:rPr>
        <w:t>The Board of Directors may, by</w:t>
      </w:r>
    </w:p>
    <w:p>
      <w:pPr>
        <w:sectPr>
          <w:pgSz w:w="11900" w:h="16838" w:orient="portrait"/>
          <w:cols w:equalWidth="0" w:num="1">
            <w:col w:w="10239"/>
          </w:cols>
          <w:pgMar w:left="220" w:top="598" w:right="1440" w:bottom="1440" w:gutter="0" w:footer="0" w:header="0"/>
        </w:sectPr>
      </w:pPr>
    </w:p>
    <w:bookmarkStart w:id="54" w:name="page55"/>
    <w:bookmarkEnd w:id="54"/>
    <w:p>
      <w:pPr>
        <w:ind w:right="3399"/>
        <w:spacing w:after="0" w:line="252" w:lineRule="auto"/>
        <w:rPr>
          <w:sz w:val="20"/>
          <w:szCs w:val="20"/>
          <w:color w:val="auto"/>
        </w:rPr>
      </w:pPr>
      <w:r>
        <w:rPr>
          <w:rFonts w:ascii="Courier New" w:cs="Courier New" w:eastAsia="Courier New" w:hAnsi="Courier New"/>
          <w:sz w:val="15"/>
          <w:szCs w:val="15"/>
          <w:color w:val="auto"/>
        </w:rPr>
        <w:t>resolution adopted by a majority of the authorized number of directors, designate such other committees, each consisting of 2 or more directors, as it may from time to time deem advisable to perform such general or special duties as may from time to time be delegated to any such committee by the Board of Directors, subject to the limitations imposed by statute or by the Certificate of Incorporation or by these Bylaws. The Board may designate one or more directors as alternate members of any committee, who may replace any absent member at any meeting of the committee.</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66" w:lineRule="exact"/>
        <w:rPr>
          <w:sz w:val="20"/>
          <w:szCs w:val="20"/>
          <w:color w:val="auto"/>
        </w:rPr>
      </w:pPr>
    </w:p>
    <w:p>
      <w:pPr>
        <w:ind w:right="3239" w:firstLine="437"/>
        <w:spacing w:after="0" w:line="250" w:lineRule="auto"/>
        <w:rPr>
          <w:sz w:val="20"/>
          <w:szCs w:val="20"/>
          <w:color w:val="auto"/>
        </w:rPr>
      </w:pPr>
      <w:r>
        <w:rPr>
          <w:rFonts w:ascii="Courier New" w:cs="Courier New" w:eastAsia="Courier New" w:hAnsi="Courier New"/>
          <w:sz w:val="15"/>
          <w:szCs w:val="15"/>
          <w:color w:val="auto"/>
        </w:rPr>
        <w:t>SECTION 17. Unless otherwise restricted by the Certificate of Incorporation or these Bylaws, the Board of Directors shall have the authority to fix the compensation of directors. The directors may be paid their expenses, if any, of attendance of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66" w:lineRule="exact"/>
        <w:rPr>
          <w:sz w:val="20"/>
          <w:szCs w:val="20"/>
          <w:color w:val="auto"/>
        </w:rPr>
      </w:pPr>
    </w:p>
    <w:p>
      <w:pPr>
        <w:ind w:right="3239" w:firstLine="437"/>
        <w:spacing w:after="0" w:line="252" w:lineRule="auto"/>
        <w:rPr>
          <w:sz w:val="20"/>
          <w:szCs w:val="20"/>
          <w:color w:val="auto"/>
        </w:rPr>
      </w:pPr>
      <w:r>
        <w:rPr>
          <w:rFonts w:ascii="Courier New" w:cs="Courier New" w:eastAsia="Courier New" w:hAnsi="Courier New"/>
          <w:sz w:val="15"/>
          <w:szCs w:val="15"/>
          <w:color w:val="auto"/>
        </w:rPr>
        <w:t>SECTION 1.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 Notice to directors may also be given by telegram.</w:t>
      </w:r>
    </w:p>
    <w:p>
      <w:pPr>
        <w:spacing w:after="0" w:line="86"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5"/>
          <w:szCs w:val="15"/>
          <w:color w:val="auto"/>
        </w:rPr>
        <w:t>SECTION 2. Whenever any notice is required to be given under the provisions of the Delaware statutes or of the Certificate of Incorporation or of these Bylaws, a waiver thereof in writing, signed by the person or persons entitled to said notice, whether before or after the time stated therein, shall be deemed equivalent thereto.</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OFFICERS</w:t>
      </w:r>
    </w:p>
    <w:p>
      <w:pPr>
        <w:spacing w:after="0" w:line="166" w:lineRule="exact"/>
        <w:rPr>
          <w:sz w:val="20"/>
          <w:szCs w:val="20"/>
          <w:color w:val="auto"/>
        </w:rPr>
      </w:pPr>
    </w:p>
    <w:p>
      <w:pPr>
        <w:ind w:right="3239" w:firstLine="437"/>
        <w:spacing w:after="0" w:line="344" w:lineRule="auto"/>
        <w:rPr>
          <w:sz w:val="20"/>
          <w:szCs w:val="20"/>
          <w:color w:val="auto"/>
        </w:rPr>
      </w:pPr>
      <w:r>
        <w:rPr>
          <w:rFonts w:ascii="Courier New" w:cs="Courier New" w:eastAsia="Courier New" w:hAnsi="Courier New"/>
          <w:sz w:val="15"/>
          <w:szCs w:val="15"/>
          <w:color w:val="auto"/>
        </w:rPr>
        <w:t>SECTION 1. The officers of the corporation shall be chosen by the Board of Directors, and shall be a president,</w:t>
      </w:r>
    </w:p>
    <w:p>
      <w:pPr>
        <w:sectPr>
          <w:pgSz w:w="11900" w:h="16838" w:orient="portrait"/>
          <w:cols w:equalWidth="0" w:num="1">
            <w:col w:w="10239"/>
          </w:cols>
          <w:pgMar w:left="220" w:top="598" w:right="1440" w:bottom="1440" w:gutter="0" w:footer="0" w:header="0"/>
        </w:sectPr>
      </w:pPr>
    </w:p>
    <w:bookmarkStart w:id="55" w:name="page56"/>
    <w:bookmarkEnd w:id="55"/>
    <w:p>
      <w:pPr>
        <w:ind w:right="3319"/>
        <w:spacing w:after="0" w:line="298" w:lineRule="auto"/>
        <w:rPr>
          <w:sz w:val="20"/>
          <w:szCs w:val="20"/>
          <w:color w:val="auto"/>
        </w:rPr>
      </w:pPr>
      <w:r>
        <w:rPr>
          <w:rFonts w:ascii="Courier New" w:cs="Courier New" w:eastAsia="Courier New" w:hAnsi="Courier New"/>
          <w:sz w:val="14"/>
          <w:szCs w:val="14"/>
          <w:color w:val="auto"/>
        </w:rPr>
        <w:t>a vice-president, a secretary, and a treasurer. The Board of Directors may also choose additional vice-presidents, and one or more assistant secretaries and assistant treasurers. Any number of offices may be held by the same person, unless the Certificate of Incorporation or these Bylaws otherwise provide.</w:t>
      </w:r>
    </w:p>
    <w:p>
      <w:pPr>
        <w:spacing w:after="0" w:line="53" w:lineRule="exact"/>
        <w:rPr>
          <w:sz w:val="20"/>
          <w:szCs w:val="20"/>
          <w:color w:val="auto"/>
        </w:rPr>
      </w:pPr>
    </w:p>
    <w:p>
      <w:pPr>
        <w:jc w:val="both"/>
        <w:ind w:right="3759" w:firstLine="437"/>
        <w:spacing w:after="0" w:line="290" w:lineRule="auto"/>
        <w:rPr>
          <w:sz w:val="20"/>
          <w:szCs w:val="20"/>
          <w:color w:val="auto"/>
        </w:rPr>
      </w:pPr>
      <w:r>
        <w:rPr>
          <w:rFonts w:ascii="Courier New" w:cs="Courier New" w:eastAsia="Courier New" w:hAnsi="Courier New"/>
          <w:sz w:val="15"/>
          <w:szCs w:val="15"/>
          <w:color w:val="auto"/>
        </w:rPr>
        <w:t>SECTION 2. The Board of Directors at its first meeting after each annual meeting of stockholders shall choose a president, one or more vice-presidents, a secretary and a treasurer.</w:t>
      </w:r>
    </w:p>
    <w:p>
      <w:pPr>
        <w:spacing w:after="0" w:line="57" w:lineRule="exact"/>
        <w:rPr>
          <w:sz w:val="20"/>
          <w:szCs w:val="20"/>
          <w:color w:val="auto"/>
        </w:rPr>
      </w:pPr>
    </w:p>
    <w:p>
      <w:pPr>
        <w:jc w:val="both"/>
        <w:ind w:right="3399" w:firstLine="437"/>
        <w:spacing w:after="0" w:line="273" w:lineRule="auto"/>
        <w:rPr>
          <w:sz w:val="20"/>
          <w:szCs w:val="20"/>
          <w:color w:val="auto"/>
        </w:rPr>
      </w:pPr>
      <w:r>
        <w:rPr>
          <w:rFonts w:ascii="Courier New" w:cs="Courier New" w:eastAsia="Courier New" w:hAnsi="Courier New"/>
          <w:sz w:val="15"/>
          <w:szCs w:val="15"/>
          <w:color w:val="auto"/>
        </w:rPr>
        <w:t>SECTION 3. The Board of Directors may appoint such other officers and agents as it shall deem necessary who shall hold their offices for such terms and shall exercise such powers and perform such duties as shall be determined from time to time by the Board.</w:t>
      </w:r>
    </w:p>
    <w:p>
      <w:pPr>
        <w:spacing w:after="0" w:line="68" w:lineRule="exact"/>
        <w:rPr>
          <w:sz w:val="20"/>
          <w:szCs w:val="20"/>
          <w:color w:val="auto"/>
        </w:rPr>
      </w:pPr>
    </w:p>
    <w:p>
      <w:pPr>
        <w:jc w:val="both"/>
        <w:ind w:right="3399" w:firstLine="437"/>
        <w:spacing w:after="0" w:line="344" w:lineRule="auto"/>
        <w:rPr>
          <w:sz w:val="20"/>
          <w:szCs w:val="20"/>
          <w:color w:val="auto"/>
        </w:rPr>
      </w:pPr>
      <w:r>
        <w:rPr>
          <w:rFonts w:ascii="Courier New" w:cs="Courier New" w:eastAsia="Courier New" w:hAnsi="Courier New"/>
          <w:sz w:val="15"/>
          <w:szCs w:val="15"/>
          <w:color w:val="auto"/>
        </w:rPr>
        <w:t>SECTION 4. The salaries of all officers and agents of the corporation shall be fixed by the Board of Directors.</w:t>
      </w:r>
    </w:p>
    <w:p>
      <w:pPr>
        <w:spacing w:after="0" w:line="17"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4"/>
          <w:szCs w:val="14"/>
          <w:color w:val="auto"/>
        </w:rPr>
        <w:t>The officers of the corporation shall hold office until</w:t>
      </w:r>
    </w:p>
    <w:p>
      <w:pPr>
        <w:spacing w:after="0" w:line="24" w:lineRule="exact"/>
        <w:rPr>
          <w:sz w:val="20"/>
          <w:szCs w:val="20"/>
          <w:color w:val="auto"/>
        </w:rPr>
      </w:pPr>
    </w:p>
    <w:p>
      <w:pPr>
        <w:ind w:right="3239"/>
        <w:spacing w:after="0" w:line="260" w:lineRule="auto"/>
        <w:rPr>
          <w:sz w:val="20"/>
          <w:szCs w:val="20"/>
          <w:color w:val="auto"/>
        </w:rPr>
      </w:pPr>
      <w:r>
        <w:rPr>
          <w:rFonts w:ascii="Courier New" w:cs="Courier New" w:eastAsia="Courier New" w:hAnsi="Courier New"/>
          <w:sz w:val="15"/>
          <w:szCs w:val="15"/>
          <w:color w:val="auto"/>
        </w:rPr>
        <w:t>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79" w:lineRule="exact"/>
        <w:rPr>
          <w:sz w:val="20"/>
          <w:szCs w:val="20"/>
          <w:color w:val="auto"/>
        </w:rPr>
      </w:pPr>
    </w:p>
    <w:p>
      <w:pPr>
        <w:ind w:right="3319" w:firstLine="437"/>
        <w:spacing w:after="0" w:line="264" w:lineRule="auto"/>
        <w:rPr>
          <w:sz w:val="20"/>
          <w:szCs w:val="20"/>
          <w:color w:val="auto"/>
        </w:rPr>
      </w:pPr>
      <w:r>
        <w:rPr>
          <w:rFonts w:ascii="Courier New" w:cs="Courier New" w:eastAsia="Courier New" w:hAnsi="Courier New"/>
          <w:sz w:val="15"/>
          <w:szCs w:val="15"/>
          <w:color w:val="auto"/>
        </w:rPr>
        <w:t>Any officer may resign at any time by giving 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CHAIRMAN OF THE BOARD</w:t>
      </w:r>
    </w:p>
    <w:p>
      <w:pPr>
        <w:spacing w:after="0" w:line="166" w:lineRule="exact"/>
        <w:rPr>
          <w:sz w:val="20"/>
          <w:szCs w:val="20"/>
          <w:color w:val="auto"/>
        </w:rPr>
      </w:pPr>
    </w:p>
    <w:p>
      <w:pPr>
        <w:ind w:right="3399" w:firstLine="437"/>
        <w:spacing w:after="0" w:line="298" w:lineRule="auto"/>
        <w:rPr>
          <w:sz w:val="20"/>
          <w:szCs w:val="20"/>
          <w:color w:val="auto"/>
        </w:rPr>
      </w:pPr>
      <w:r>
        <w:rPr>
          <w:rFonts w:ascii="Courier New" w:cs="Courier New" w:eastAsia="Courier New" w:hAnsi="Courier New"/>
          <w:sz w:val="14"/>
          <w:szCs w:val="14"/>
          <w:color w:val="auto"/>
        </w:rPr>
        <w:t>SECTION 6. The Chairman of the Board, if there shall be such an officer, shall, if present, preside at all meetings of the Board of Directors, and exercise and perform such other powers and duties as may be from time to time assigned to him by the Board of Directors or prescribed by these Bylaws.</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PRESIDENT</w:t>
      </w:r>
    </w:p>
    <w:p>
      <w:pPr>
        <w:spacing w:after="0" w:line="166" w:lineRule="exact"/>
        <w:rPr>
          <w:sz w:val="20"/>
          <w:szCs w:val="20"/>
          <w:color w:val="auto"/>
        </w:rPr>
      </w:pPr>
    </w:p>
    <w:p>
      <w:pPr>
        <w:ind w:right="3399" w:firstLine="350"/>
        <w:spacing w:after="0" w:line="258" w:lineRule="auto"/>
        <w:rPr>
          <w:sz w:val="20"/>
          <w:szCs w:val="20"/>
          <w:color w:val="auto"/>
        </w:rPr>
      </w:pPr>
      <w:r>
        <w:rPr>
          <w:rFonts w:ascii="Courier New" w:cs="Courier New" w:eastAsia="Courier New" w:hAnsi="Courier New"/>
          <w:sz w:val="15"/>
          <w:szCs w:val="15"/>
          <w:color w:val="auto"/>
        </w:rPr>
        <w:t>SECTION 7. Subject to such supervisory powers, if any, as may be given by the Board of Directors to the Chairman of the Board, if there be such an officer, the President shall be the general manager of the corporation and shall, subject to the control of the Board of Directors, have general supervision, direction, and control of the business and officers of the corporation. He shall preside</w:t>
      </w:r>
    </w:p>
    <w:p>
      <w:pPr>
        <w:sectPr>
          <w:pgSz w:w="11900" w:h="16838" w:orient="portrait"/>
          <w:cols w:equalWidth="0" w:num="1">
            <w:col w:w="10239"/>
          </w:cols>
          <w:pgMar w:left="220" w:top="598" w:right="1440" w:bottom="1440" w:gutter="0" w:footer="0" w:header="0"/>
        </w:sectPr>
      </w:pPr>
    </w:p>
    <w:bookmarkStart w:id="56" w:name="page57"/>
    <w:bookmarkEnd w:id="56"/>
    <w:p>
      <w:pPr>
        <w:ind w:right="3319"/>
        <w:spacing w:after="0" w:line="255" w:lineRule="auto"/>
        <w:rPr>
          <w:sz w:val="20"/>
          <w:szCs w:val="20"/>
          <w:color w:val="auto"/>
        </w:rPr>
      </w:pPr>
      <w:r>
        <w:rPr>
          <w:rFonts w:ascii="Courier New" w:cs="Courier New" w:eastAsia="Courier New" w:hAnsi="Courier New"/>
          <w:sz w:val="15"/>
          <w:szCs w:val="15"/>
          <w:color w:val="auto"/>
        </w:rPr>
        <w:t>at all meetings of the shareholders and in the absence of the Chairman of the Board or if there be none, at all meetings of the Board of Directors. He shall be ex officio a member of all the standing committees, including the executive committee, if any, and shall have the general powers and duties of management usually vested in the office of president of a corporation, and shall have such other powers and duties as may be prescribed by the Board of Directors or by these Bylaws.</w:t>
      </w:r>
    </w:p>
    <w:p>
      <w:pPr>
        <w:spacing w:after="0" w:line="82" w:lineRule="exact"/>
        <w:rPr>
          <w:sz w:val="20"/>
          <w:szCs w:val="20"/>
          <w:color w:val="auto"/>
        </w:rPr>
      </w:pPr>
    </w:p>
    <w:p>
      <w:pPr>
        <w:ind w:right="3499" w:firstLine="437"/>
        <w:spacing w:after="0" w:line="264" w:lineRule="auto"/>
        <w:rPr>
          <w:sz w:val="20"/>
          <w:szCs w:val="20"/>
          <w:color w:val="auto"/>
        </w:rPr>
      </w:pPr>
      <w:r>
        <w:rPr>
          <w:rFonts w:ascii="Courier New" w:cs="Courier New" w:eastAsia="Courier New" w:hAnsi="Courier New"/>
          <w:sz w:val="15"/>
          <w:szCs w:val="15"/>
          <w:color w:val="auto"/>
        </w:rPr>
        <w:t>SECTION 8. 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VICE-PRESIDENTS</w:t>
      </w:r>
    </w:p>
    <w:p>
      <w:pPr>
        <w:spacing w:after="0" w:line="166" w:lineRule="exact"/>
        <w:rPr>
          <w:sz w:val="20"/>
          <w:szCs w:val="20"/>
          <w:color w:val="auto"/>
        </w:rPr>
      </w:pPr>
    </w:p>
    <w:p>
      <w:pPr>
        <w:ind w:right="3399" w:firstLine="350"/>
        <w:spacing w:after="0" w:line="273" w:lineRule="auto"/>
        <w:rPr>
          <w:sz w:val="20"/>
          <w:szCs w:val="20"/>
          <w:color w:val="auto"/>
        </w:rPr>
      </w:pPr>
      <w:r>
        <w:rPr>
          <w:rFonts w:ascii="Courier New" w:cs="Courier New" w:eastAsia="Courier New" w:hAnsi="Courier New"/>
          <w:sz w:val="14"/>
          <w:szCs w:val="14"/>
          <w:color w:val="auto"/>
        </w:rPr>
        <w:t>SECTION 9. In the absence of the president or in the event of his inability or refusal to act, the vice president (or in the event there be more than one vice president, the vice-presidents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SECRETARY AND ASSISTANT SECRETARY</w:t>
      </w:r>
    </w:p>
    <w:p>
      <w:pPr>
        <w:spacing w:after="0" w:line="166" w:lineRule="exact"/>
        <w:rPr>
          <w:sz w:val="20"/>
          <w:szCs w:val="20"/>
          <w:color w:val="auto"/>
        </w:rPr>
      </w:pPr>
    </w:p>
    <w:p>
      <w:pPr>
        <w:ind w:right="3239" w:firstLine="437"/>
        <w:spacing w:after="0" w:line="245" w:lineRule="auto"/>
        <w:rPr>
          <w:sz w:val="20"/>
          <w:szCs w:val="20"/>
          <w:color w:val="auto"/>
        </w:rPr>
      </w:pPr>
      <w:r>
        <w:rPr>
          <w:rFonts w:ascii="Courier New" w:cs="Courier New" w:eastAsia="Courier New" w:hAnsi="Courier New"/>
          <w:sz w:val="15"/>
          <w:szCs w:val="15"/>
          <w:color w:val="auto"/>
        </w:rPr>
        <w:t>SECTION 10.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or president, under whose supervision he shall be placed.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ectPr>
          <w:pgSz w:w="11900" w:h="16838" w:orient="portrait"/>
          <w:cols w:equalWidth="0" w:num="1">
            <w:col w:w="10239"/>
          </w:cols>
          <w:pgMar w:left="220" w:top="598" w:right="1440" w:bottom="1440" w:gutter="0" w:footer="0" w:header="0"/>
        </w:sectPr>
      </w:pPr>
    </w:p>
    <w:bookmarkStart w:id="57" w:name="page58"/>
    <w:bookmarkEnd w:id="57"/>
    <w:p>
      <w:pPr>
        <w:ind w:right="3239" w:firstLine="437"/>
        <w:spacing w:after="0" w:line="255" w:lineRule="auto"/>
        <w:rPr>
          <w:sz w:val="20"/>
          <w:szCs w:val="20"/>
          <w:color w:val="auto"/>
        </w:rPr>
      </w:pPr>
      <w:r>
        <w:rPr>
          <w:rFonts w:ascii="Courier New" w:cs="Courier New" w:eastAsia="Courier New" w:hAnsi="Courier New"/>
          <w:sz w:val="15"/>
          <w:szCs w:val="15"/>
          <w:color w:val="auto"/>
        </w:rPr>
        <w:t>SECTION 11.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TREASURER AND ASSISTANT TREASURERS</w:t>
      </w:r>
    </w:p>
    <w:p>
      <w:pPr>
        <w:spacing w:after="0" w:line="166" w:lineRule="exact"/>
        <w:rPr>
          <w:sz w:val="20"/>
          <w:szCs w:val="20"/>
          <w:color w:val="auto"/>
        </w:rPr>
      </w:pPr>
    </w:p>
    <w:p>
      <w:pPr>
        <w:ind w:right="3239" w:firstLine="437"/>
        <w:spacing w:after="0" w:line="287" w:lineRule="auto"/>
        <w:rPr>
          <w:sz w:val="20"/>
          <w:szCs w:val="20"/>
          <w:color w:val="auto"/>
        </w:rPr>
      </w:pPr>
      <w:r>
        <w:rPr>
          <w:rFonts w:ascii="Courier New" w:cs="Courier New" w:eastAsia="Courier New" w:hAnsi="Courier New"/>
          <w:sz w:val="14"/>
          <w:szCs w:val="14"/>
          <w:color w:val="auto"/>
        </w:rPr>
        <w:t>SECTION 12.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61"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5"/>
          <w:szCs w:val="15"/>
          <w:color w:val="auto"/>
        </w:rPr>
        <w:t>SECTION 13. 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81" w:lineRule="exact"/>
        <w:rPr>
          <w:sz w:val="20"/>
          <w:szCs w:val="20"/>
          <w:color w:val="auto"/>
        </w:rPr>
      </w:pPr>
    </w:p>
    <w:p>
      <w:pPr>
        <w:ind w:right="3239" w:firstLine="437"/>
        <w:spacing w:after="0" w:line="276" w:lineRule="auto"/>
        <w:rPr>
          <w:sz w:val="20"/>
          <w:szCs w:val="20"/>
          <w:color w:val="auto"/>
        </w:rPr>
      </w:pPr>
      <w:r>
        <w:rPr>
          <w:rFonts w:ascii="Courier New" w:cs="Courier New" w:eastAsia="Courier New" w:hAnsi="Courier New"/>
          <w:sz w:val="14"/>
          <w:szCs w:val="14"/>
          <w:color w:val="auto"/>
        </w:rPr>
        <w:t>SECTION 14. If required by the Board of Directors, he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69"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5"/>
          <w:szCs w:val="15"/>
          <w:color w:val="auto"/>
        </w:rPr>
        <w:t>SECTION 15. If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Board of Directors may from time to time prescribe.</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VI</w:t>
      </w:r>
    </w:p>
    <w:p>
      <w:pPr>
        <w:sectPr>
          <w:pgSz w:w="11900" w:h="16838" w:orient="portrait"/>
          <w:cols w:equalWidth="0" w:num="1">
            <w:col w:w="10239"/>
          </w:cols>
          <w:pgMar w:left="220" w:top="598"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CERTIFICATE OF STOCK</w:t>
      </w:r>
    </w:p>
    <w:p>
      <w:pPr>
        <w:spacing w:after="0" w:line="166"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5"/>
          <w:szCs w:val="15"/>
          <w:color w:val="auto"/>
        </w:rPr>
        <w:t>SECTION 1. Every holder of stock in the corporation shall be entitled to have a certificate, signed by, or in the name of the corporation by, the chairman or vicechairman of the Board of Directors, or the president or a vice president and the treasurer or an assistant treasurer, or the secretary or an assistant secretary of the corporation, certifying the number of shares owned by him in the corporation.</w:t>
      </w:r>
    </w:p>
    <w:p>
      <w:pPr>
        <w:spacing w:after="0" w:line="81"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5"/>
          <w:szCs w:val="15"/>
          <w:color w:val="auto"/>
        </w:rPr>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68" w:lineRule="exact"/>
        <w:rPr>
          <w:sz w:val="20"/>
          <w:szCs w:val="20"/>
          <w:color w:val="auto"/>
        </w:rPr>
      </w:pPr>
    </w:p>
    <w:p>
      <w:pPr>
        <w:ind w:right="3239" w:firstLine="350"/>
        <w:spacing w:after="0" w:line="245" w:lineRule="auto"/>
        <w:rPr>
          <w:sz w:val="20"/>
          <w:szCs w:val="20"/>
          <w:color w:val="auto"/>
        </w:rPr>
      </w:pPr>
      <w:r>
        <w:rPr>
          <w:rFonts w:ascii="Courier New" w:cs="Courier New" w:eastAsia="Courier New" w:hAnsi="Courier New"/>
          <w:sz w:val="15"/>
          <w:szCs w:val="15"/>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Delaware, in lieu of the foregoing requirements, there may be set forth on the face of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89" w:lineRule="exact"/>
        <w:rPr>
          <w:sz w:val="20"/>
          <w:szCs w:val="20"/>
          <w:color w:val="auto"/>
        </w:rPr>
      </w:pPr>
    </w:p>
    <w:p>
      <w:pPr>
        <w:ind w:right="3319" w:firstLine="437"/>
        <w:spacing w:after="0" w:line="280" w:lineRule="auto"/>
        <w:rPr>
          <w:sz w:val="20"/>
          <w:szCs w:val="20"/>
          <w:color w:val="auto"/>
        </w:rPr>
      </w:pPr>
      <w:r>
        <w:rPr>
          <w:rFonts w:ascii="Courier New" w:cs="Courier New" w:eastAsia="Courier New" w:hAnsi="Courier New"/>
          <w:sz w:val="14"/>
          <w:szCs w:val="14"/>
          <w:color w:val="auto"/>
        </w:rPr>
        <w:t>SECTION 2. Any or all of the signatures on the certificate may be facsimile. In case any officer, transfer agent or registrar who has signed or whose facsimile signature have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LOST CERTIFICATES</w:t>
      </w:r>
    </w:p>
    <w:p>
      <w:pPr>
        <w:spacing w:after="0" w:line="166" w:lineRule="exact"/>
        <w:rPr>
          <w:sz w:val="20"/>
          <w:szCs w:val="20"/>
          <w:color w:val="auto"/>
        </w:rPr>
      </w:pPr>
    </w:p>
    <w:p>
      <w:pPr>
        <w:ind w:right="3759" w:firstLine="437"/>
        <w:spacing w:after="0" w:line="298" w:lineRule="auto"/>
        <w:rPr>
          <w:sz w:val="20"/>
          <w:szCs w:val="20"/>
          <w:color w:val="auto"/>
        </w:rPr>
      </w:pPr>
      <w:r>
        <w:rPr>
          <w:rFonts w:ascii="Courier New" w:cs="Courier New" w:eastAsia="Courier New" w:hAnsi="Courier New"/>
          <w:sz w:val="14"/>
          <w:szCs w:val="14"/>
          <w:color w:val="auto"/>
        </w:rPr>
        <w:t>SECTION 3. The Board of Directors may direct a new certificate or certificates to be issued in place of any certificate or certificates theretofore issues by the corporation alleged to have been lost, stolen or destroyed, upon the making of an affidavit to that fact by the person</w:t>
      </w:r>
    </w:p>
    <w:p>
      <w:pPr>
        <w:sectPr>
          <w:pgSz w:w="11900" w:h="16838" w:orient="portrait"/>
          <w:cols w:equalWidth="0" w:num="1">
            <w:col w:w="10239"/>
          </w:cols>
          <w:pgMar w:left="220" w:top="598" w:right="1440" w:bottom="1440" w:gutter="0" w:footer="0" w:header="0"/>
        </w:sectPr>
      </w:pPr>
    </w:p>
    <w:bookmarkStart w:id="59" w:name="page60"/>
    <w:bookmarkEnd w:id="59"/>
    <w:p>
      <w:pPr>
        <w:ind w:right="3319"/>
        <w:spacing w:after="0" w:line="273" w:lineRule="auto"/>
        <w:rPr>
          <w:sz w:val="20"/>
          <w:szCs w:val="20"/>
          <w:color w:val="auto"/>
        </w:rPr>
      </w:pPr>
      <w:r>
        <w:rPr>
          <w:rFonts w:ascii="Courier New" w:cs="Courier New" w:eastAsia="Courier New" w:hAnsi="Courier New"/>
          <w:sz w:val="14"/>
          <w:szCs w:val="14"/>
          <w:color w:val="auto"/>
        </w:rPr>
        <w:t>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OF STOCK</w:t>
      </w:r>
    </w:p>
    <w:p>
      <w:pPr>
        <w:spacing w:after="0" w:line="166" w:lineRule="exact"/>
        <w:rPr>
          <w:sz w:val="20"/>
          <w:szCs w:val="20"/>
          <w:color w:val="auto"/>
        </w:rPr>
      </w:pPr>
    </w:p>
    <w:p>
      <w:pPr>
        <w:ind w:right="3239" w:firstLine="437"/>
        <w:spacing w:after="0" w:line="287" w:lineRule="auto"/>
        <w:rPr>
          <w:sz w:val="20"/>
          <w:szCs w:val="20"/>
          <w:color w:val="auto"/>
        </w:rPr>
      </w:pPr>
      <w:r>
        <w:rPr>
          <w:rFonts w:ascii="Courier New" w:cs="Courier New" w:eastAsia="Courier New" w:hAnsi="Courier New"/>
          <w:sz w:val="14"/>
          <w:szCs w:val="14"/>
          <w:color w:val="auto"/>
        </w:rPr>
        <w:t>SECTION 4.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FIXING RECORD DATE</w:t>
      </w:r>
    </w:p>
    <w:p>
      <w:pPr>
        <w:spacing w:after="0" w:line="166" w:lineRule="exact"/>
        <w:rPr>
          <w:sz w:val="20"/>
          <w:szCs w:val="20"/>
          <w:color w:val="auto"/>
        </w:rPr>
      </w:pPr>
    </w:p>
    <w:p>
      <w:pPr>
        <w:ind w:right="3239" w:firstLine="437"/>
        <w:spacing w:after="0" w:line="246" w:lineRule="auto"/>
        <w:rPr>
          <w:sz w:val="20"/>
          <w:szCs w:val="20"/>
          <w:color w:val="auto"/>
        </w:rPr>
      </w:pPr>
      <w:r>
        <w:rPr>
          <w:rFonts w:ascii="Courier New" w:cs="Courier New" w:eastAsia="Courier New" w:hAnsi="Courier New"/>
          <w:sz w:val="15"/>
          <w:szCs w:val="15"/>
          <w:color w:val="auto"/>
        </w:rPr>
        <w:t>SECTION 5.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such other action. A determination of shareholders of record entitled to notice of or to vote at a meeting of stockholders shall apply to any adjournment of the meeting; provided, however, that the Board of Directors may fix a new record date for the adjourned meeting.</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REGISTERED STOCKHOLDERS</w:t>
      </w:r>
    </w:p>
    <w:p>
      <w:pPr>
        <w:spacing w:after="0" w:line="166" w:lineRule="exact"/>
        <w:rPr>
          <w:sz w:val="20"/>
          <w:szCs w:val="20"/>
          <w:color w:val="auto"/>
        </w:rPr>
      </w:pPr>
    </w:p>
    <w:p>
      <w:pPr>
        <w:ind w:right="3239" w:firstLine="437"/>
        <w:spacing w:after="0" w:line="252" w:lineRule="auto"/>
        <w:rPr>
          <w:sz w:val="20"/>
          <w:szCs w:val="20"/>
          <w:color w:val="auto"/>
        </w:rPr>
      </w:pPr>
      <w:r>
        <w:rPr>
          <w:rFonts w:ascii="Courier New" w:cs="Courier New" w:eastAsia="Courier New" w:hAnsi="Courier New"/>
          <w:sz w:val="15"/>
          <w:szCs w:val="15"/>
          <w:color w:val="auto"/>
        </w:rPr>
        <w:t>SECTION 6.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86"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7.</w:t>
      </w:r>
      <w:r>
        <w:rPr>
          <w:sz w:val="20"/>
          <w:szCs w:val="20"/>
          <w:color w:val="auto"/>
        </w:rPr>
        <w:tab/>
      </w:r>
      <w:r>
        <w:rPr>
          <w:rFonts w:ascii="Courier New" w:cs="Courier New" w:eastAsia="Courier New" w:hAnsi="Courier New"/>
          <w:sz w:val="14"/>
          <w:szCs w:val="14"/>
          <w:color w:val="auto"/>
        </w:rPr>
        <w:t>The accounting books and records, and</w:t>
      </w:r>
    </w:p>
    <w:p>
      <w:pPr>
        <w:sectPr>
          <w:pgSz w:w="11900" w:h="16838" w:orient="portrait"/>
          <w:cols w:equalWidth="0" w:num="1">
            <w:col w:w="10239"/>
          </w:cols>
          <w:pgMar w:left="220" w:top="598" w:right="1440" w:bottom="1440" w:gutter="0" w:footer="0" w:header="0"/>
        </w:sectPr>
      </w:pPr>
    </w:p>
    <w:bookmarkStart w:id="60" w:name="page61"/>
    <w:bookmarkEnd w:id="60"/>
    <w:p>
      <w:pPr>
        <w:ind w:right="3319"/>
        <w:spacing w:after="0" w:line="267" w:lineRule="auto"/>
        <w:rPr>
          <w:sz w:val="20"/>
          <w:szCs w:val="20"/>
          <w:color w:val="auto"/>
        </w:rPr>
      </w:pPr>
      <w:r>
        <w:rPr>
          <w:rFonts w:ascii="Courier New" w:cs="Courier New" w:eastAsia="Courier New" w:hAnsi="Courier New"/>
          <w:sz w:val="14"/>
          <w:szCs w:val="14"/>
          <w:color w:val="auto"/>
        </w:rPr>
        <w:t>minutes of proceedings of the shareholders and the Board of Directors and committees of the Board shall be open to inspection upon written demand made upon the corporation by any shareholder or the holder of a voting trust certificate, at any reasonable time during usual business hours, for a purpose reasonably related to his interest as a shareholder, or as the holder of such voting trust certificate. The record of shareholders shall also be open to inspection by any shareholder or holder of a voting trust certificate at any time during usual business hours upon written demand on the corporation, for a purpose reasonably related to such holder's interest as a shareholder or holder of a voting trust certificate. Such inspection may be made in person or by an agent or attorney, and shall include the right to copy and to make extracts.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PROVISIONS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66" w:lineRule="exact"/>
        <w:rPr>
          <w:sz w:val="20"/>
          <w:szCs w:val="20"/>
          <w:color w:val="auto"/>
        </w:rPr>
      </w:pPr>
    </w:p>
    <w:p>
      <w:pPr>
        <w:jc w:val="both"/>
        <w:ind w:right="3239" w:firstLine="437"/>
        <w:spacing w:after="0" w:line="249" w:lineRule="auto"/>
        <w:rPr>
          <w:sz w:val="20"/>
          <w:szCs w:val="20"/>
          <w:color w:val="auto"/>
        </w:rPr>
      </w:pPr>
      <w:r>
        <w:rPr>
          <w:rFonts w:ascii="Courier New" w:cs="Courier New" w:eastAsia="Courier New" w:hAnsi="Courier New"/>
          <w:sz w:val="15"/>
          <w:szCs w:val="15"/>
          <w:color w:val="auto"/>
        </w:rPr>
        <w:t>SECTION 1. Dividends upon the capital stock of the corporation, subject to the provision of the Certificate of Incorporation, if any, may be declared by the Board of Directors at any regular or special meeting, pursuant to law.</w:t>
      </w:r>
    </w:p>
    <w:p>
      <w:pPr>
        <w:spacing w:after="0" w:line="2" w:lineRule="exact"/>
        <w:rPr>
          <w:sz w:val="20"/>
          <w:szCs w:val="20"/>
          <w:color w:val="auto"/>
        </w:rPr>
      </w:pPr>
    </w:p>
    <w:p>
      <w:pPr>
        <w:ind w:right="3399"/>
        <w:spacing w:after="0" w:line="307" w:lineRule="auto"/>
        <w:rPr>
          <w:sz w:val="20"/>
          <w:szCs w:val="20"/>
          <w:color w:val="auto"/>
        </w:rPr>
      </w:pPr>
      <w:r>
        <w:rPr>
          <w:rFonts w:ascii="Courier New" w:cs="Courier New" w:eastAsia="Courier New" w:hAnsi="Courier New"/>
          <w:sz w:val="15"/>
          <w:szCs w:val="15"/>
          <w:color w:val="auto"/>
        </w:rPr>
        <w:t>Dividends may be paid in cash, in property, or in shares of the capital stock, subject to the provisions of the Certificate of Incorporation.</w:t>
      </w:r>
    </w:p>
    <w:p>
      <w:pPr>
        <w:spacing w:after="0" w:line="44" w:lineRule="exact"/>
        <w:rPr>
          <w:sz w:val="20"/>
          <w:szCs w:val="20"/>
          <w:color w:val="auto"/>
        </w:rPr>
      </w:pPr>
    </w:p>
    <w:p>
      <w:pPr>
        <w:ind w:right="3399" w:firstLine="437"/>
        <w:spacing w:after="0" w:line="252" w:lineRule="auto"/>
        <w:rPr>
          <w:sz w:val="20"/>
          <w:szCs w:val="20"/>
          <w:color w:val="auto"/>
        </w:rPr>
      </w:pPr>
      <w:r>
        <w:rPr>
          <w:rFonts w:ascii="Courier New" w:cs="Courier New" w:eastAsia="Courier New" w:hAnsi="Courier New"/>
          <w:sz w:val="15"/>
          <w:szCs w:val="15"/>
          <w:color w:val="auto"/>
        </w:rPr>
        <w:t>SECTION 2. Before payment of any dividend, there may be set aside out of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CHECKS</w:t>
      </w:r>
    </w:p>
    <w:p>
      <w:pPr>
        <w:spacing w:after="0" w:line="166" w:lineRule="exact"/>
        <w:rPr>
          <w:sz w:val="20"/>
          <w:szCs w:val="20"/>
          <w:color w:val="auto"/>
        </w:rPr>
      </w:pPr>
    </w:p>
    <w:p>
      <w:pPr>
        <w:ind w:right="3239" w:firstLine="437"/>
        <w:spacing w:after="0" w:line="290" w:lineRule="auto"/>
        <w:rPr>
          <w:sz w:val="20"/>
          <w:szCs w:val="20"/>
          <w:color w:val="auto"/>
        </w:rPr>
      </w:pPr>
      <w:r>
        <w:rPr>
          <w:rFonts w:ascii="Courier New" w:cs="Courier New" w:eastAsia="Courier New" w:hAnsi="Courier New"/>
          <w:sz w:val="15"/>
          <w:szCs w:val="15"/>
          <w:color w:val="auto"/>
        </w:rPr>
        <w:t>SECTION 3. All checks or demands for money and notes of the corporation shall be signed by such officer or officers or such other person or persons as the Board of Directors may from time to time designate.</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w:t>
      </w:r>
    </w:p>
    <w:p>
      <w:pPr>
        <w:spacing w:after="0" w:line="166"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4.</w:t>
      </w:r>
      <w:r>
        <w:rPr>
          <w:sz w:val="20"/>
          <w:szCs w:val="20"/>
          <w:color w:val="auto"/>
        </w:rPr>
        <w:tab/>
      </w:r>
      <w:r>
        <w:rPr>
          <w:rFonts w:ascii="Courier New" w:cs="Courier New" w:eastAsia="Courier New" w:hAnsi="Courier New"/>
          <w:sz w:val="14"/>
          <w:szCs w:val="14"/>
          <w:color w:val="auto"/>
        </w:rPr>
        <w:t>The fiscal year of the corporation shall</w:t>
      </w:r>
    </w:p>
    <w:p>
      <w:pPr>
        <w:sectPr>
          <w:pgSz w:w="11900" w:h="16838" w:orient="portrait"/>
          <w:cols w:equalWidth="0" w:num="1">
            <w:col w:w="10239"/>
          </w:cols>
          <w:pgMar w:left="220" w:top="598"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5"/>
          <w:szCs w:val="15"/>
          <w:color w:val="auto"/>
        </w:rPr>
        <w:t>be fixed by resolution of the Board of Directors.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pacing w:after="0" w:line="166" w:lineRule="exact"/>
        <w:rPr>
          <w:sz w:val="20"/>
          <w:szCs w:val="20"/>
          <w:color w:val="auto"/>
        </w:rPr>
      </w:pPr>
    </w:p>
    <w:p>
      <w:pPr>
        <w:ind w:right="3319" w:firstLine="437"/>
        <w:spacing w:after="0" w:line="273" w:lineRule="auto"/>
        <w:rPr>
          <w:sz w:val="20"/>
          <w:szCs w:val="20"/>
          <w:color w:val="auto"/>
        </w:rPr>
      </w:pPr>
      <w:r>
        <w:rPr>
          <w:rFonts w:ascii="Courier New" w:cs="Courier New" w:eastAsia="Courier New" w:hAnsi="Courier New"/>
          <w:sz w:val="15"/>
          <w:szCs w:val="15"/>
          <w:color w:val="auto"/>
        </w:rPr>
        <w:t>SECTION 5.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w:t>
      </w:r>
    </w:p>
    <w:p>
      <w:pPr>
        <w:spacing w:after="0" w:line="166" w:lineRule="exact"/>
        <w:rPr>
          <w:sz w:val="20"/>
          <w:szCs w:val="20"/>
          <w:color w:val="auto"/>
        </w:rPr>
      </w:pPr>
    </w:p>
    <w:p>
      <w:pPr>
        <w:ind w:right="3399" w:firstLine="437"/>
        <w:spacing w:after="0" w:line="290" w:lineRule="auto"/>
        <w:rPr>
          <w:sz w:val="20"/>
          <w:szCs w:val="20"/>
          <w:color w:val="auto"/>
        </w:rPr>
      </w:pPr>
      <w:r>
        <w:rPr>
          <w:rFonts w:ascii="Courier New" w:cs="Courier New" w:eastAsia="Courier New" w:hAnsi="Courier New"/>
          <w:sz w:val="15"/>
          <w:szCs w:val="15"/>
          <w:color w:val="auto"/>
        </w:rPr>
        <w:t>SECTION 6. The corporation shall indemnify its officers, directors, employees and agents to the extent permitted by the General Corporation Law of Delaware.</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AMENDMENTS</w:t>
      </w:r>
    </w:p>
    <w:p>
      <w:pPr>
        <w:spacing w:after="0" w:line="166" w:lineRule="exact"/>
        <w:rPr>
          <w:sz w:val="20"/>
          <w:szCs w:val="20"/>
          <w:color w:val="auto"/>
        </w:rPr>
      </w:pPr>
    </w:p>
    <w:p>
      <w:pPr>
        <w:ind w:right="3239" w:firstLine="437"/>
        <w:spacing w:after="0" w:line="250" w:lineRule="auto"/>
        <w:rPr>
          <w:sz w:val="20"/>
          <w:szCs w:val="20"/>
          <w:color w:val="auto"/>
        </w:rPr>
      </w:pPr>
      <w:r>
        <w:rPr>
          <w:rFonts w:ascii="Courier New" w:cs="Courier New" w:eastAsia="Courier New" w:hAnsi="Courier New"/>
          <w:sz w:val="15"/>
          <w:szCs w:val="15"/>
          <w:color w:val="auto"/>
        </w:rPr>
        <w:t>SECTION 1. These Bylaws may be altered, amended or repealed or new Bylaws may be adopted by the stockholders or by the Board of Directors at any regular meeting of the stockholders or of the Board of Directors or at any special meeting of the stockholders or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89" w:lineRule="exact"/>
        <w:rPr>
          <w:sz w:val="20"/>
          <w:szCs w:val="20"/>
          <w:color w:val="auto"/>
        </w:rPr>
      </w:pPr>
    </w:p>
    <w:p>
      <w:pPr>
        <w:ind w:right="3399" w:firstLine="437"/>
        <w:spacing w:after="0" w:line="344" w:lineRule="auto"/>
        <w:rPr>
          <w:sz w:val="20"/>
          <w:szCs w:val="20"/>
          <w:color w:val="auto"/>
        </w:rPr>
      </w:pPr>
      <w:r>
        <w:rPr>
          <w:rFonts w:ascii="Courier New" w:cs="Courier New" w:eastAsia="Courier New" w:hAnsi="Courier New"/>
          <w:sz w:val="15"/>
          <w:szCs w:val="15"/>
          <w:color w:val="auto"/>
        </w:rPr>
        <w:t>I, Nancy A. Stanger, the secretary of Micron Technology, Inc., a Delaware corporation, hereby certify:</w:t>
      </w:r>
    </w:p>
    <w:p>
      <w:pPr>
        <w:spacing w:after="0" w:line="17" w:lineRule="exact"/>
        <w:rPr>
          <w:sz w:val="20"/>
          <w:szCs w:val="20"/>
          <w:color w:val="auto"/>
        </w:rPr>
      </w:pPr>
    </w:p>
    <w:p>
      <w:pPr>
        <w:ind w:right="3499" w:firstLine="437"/>
        <w:spacing w:after="0" w:line="344" w:lineRule="auto"/>
        <w:rPr>
          <w:sz w:val="20"/>
          <w:szCs w:val="20"/>
          <w:color w:val="auto"/>
        </w:rPr>
      </w:pPr>
      <w:r>
        <w:rPr>
          <w:rFonts w:ascii="Courier New" w:cs="Courier New" w:eastAsia="Courier New" w:hAnsi="Courier New"/>
          <w:sz w:val="15"/>
          <w:szCs w:val="15"/>
          <w:color w:val="auto"/>
        </w:rPr>
        <w:t>The foregoing bylaws, comprising 14 pages, were adopted as the bylaws of Micron Technology on May 21, 1984.</w:t>
      </w:r>
    </w:p>
    <w:p>
      <w:pPr>
        <w:spacing w:after="0" w:line="16"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DATED:</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May 25</w:t>
            </w:r>
          </w:p>
        </w:tc>
        <w:tc>
          <w:tcPr>
            <w:tcW w:w="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w:t>
            </w:r>
          </w:p>
        </w:tc>
        <w:tc>
          <w:tcPr>
            <w:tcW w:w="3680" w:type="dxa"/>
            <w:vAlign w:val="bottom"/>
          </w:tcPr>
          <w:p>
            <w:pPr>
              <w:jc w:val="right"/>
              <w:ind w:right="2987"/>
              <w:spacing w:after="0"/>
              <w:rPr>
                <w:sz w:val="20"/>
                <w:szCs w:val="20"/>
                <w:color w:val="auto"/>
              </w:rPr>
            </w:pPr>
            <w:r>
              <w:rPr>
                <w:rFonts w:ascii="Courier New" w:cs="Courier New" w:eastAsia="Courier New" w:hAnsi="Courier New"/>
                <w:sz w:val="15"/>
                <w:szCs w:val="15"/>
                <w:color w:val="auto"/>
                <w:w w:val="95"/>
              </w:rPr>
              <w:t>, 19 84</w:t>
            </w:r>
          </w:p>
        </w:tc>
        <w:tc>
          <w:tcPr>
            <w:tcW w:w="0" w:type="dxa"/>
            <w:vAlign w:val="bottom"/>
          </w:tcPr>
          <w:p>
            <w:pPr>
              <w:spacing w:after="0"/>
              <w:rPr>
                <w:sz w:val="1"/>
                <w:szCs w:val="1"/>
                <w:color w:val="auto"/>
              </w:rPr>
            </w:pPr>
          </w:p>
        </w:tc>
      </w:tr>
      <w:tr>
        <w:trPr>
          <w:trHeight w:val="245"/>
        </w:trPr>
        <w:tc>
          <w:tcPr>
            <w:tcW w:w="540" w:type="dxa"/>
            <w:vAlign w:val="bottom"/>
          </w:tcPr>
          <w:p>
            <w:pPr>
              <w:spacing w:after="0"/>
              <w:rPr>
                <w:sz w:val="21"/>
                <w:szCs w:val="21"/>
                <w:color w:val="auto"/>
              </w:rPr>
            </w:pPr>
          </w:p>
        </w:tc>
        <w:tc>
          <w:tcPr>
            <w:tcW w:w="9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88"/>
              </w:rPr>
              <w:t>---</w:t>
            </w:r>
          </w:p>
        </w:tc>
        <w:tc>
          <w:tcPr>
            <w:tcW w:w="380" w:type="dxa"/>
            <w:vAlign w:val="bottom"/>
            <w:vMerge w:val="continue"/>
          </w:tcPr>
          <w:p>
            <w:pPr>
              <w:spacing w:after="0"/>
              <w:rPr>
                <w:sz w:val="21"/>
                <w:szCs w:val="21"/>
                <w:color w:val="auto"/>
              </w:rPr>
            </w:pPr>
          </w:p>
        </w:tc>
        <w:tc>
          <w:tcPr>
            <w:tcW w:w="368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96"/>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80" w:type="dxa"/>
            <w:vAlign w:val="bottom"/>
          </w:tcPr>
          <w:p>
            <w:pPr>
              <w:ind w:left="1500"/>
              <w:spacing w:after="0"/>
              <w:rPr>
                <w:sz w:val="20"/>
                <w:szCs w:val="20"/>
                <w:color w:val="auto"/>
              </w:rPr>
            </w:pPr>
            <w:r>
              <w:rPr>
                <w:rFonts w:ascii="Courier New" w:cs="Courier New" w:eastAsia="Courier New" w:hAnsi="Courier New"/>
                <w:sz w:val="15"/>
                <w:szCs w:val="15"/>
                <w:color w:val="auto"/>
              </w:rPr>
              <w:t>/s/ Nancy A. Stanger</w:t>
            </w:r>
          </w:p>
        </w:tc>
        <w:tc>
          <w:tcPr>
            <w:tcW w:w="0" w:type="dxa"/>
            <w:vAlign w:val="bottom"/>
          </w:tcPr>
          <w:p>
            <w:pPr>
              <w:spacing w:after="0"/>
              <w:rPr>
                <w:sz w:val="1"/>
                <w:szCs w:val="1"/>
                <w:color w:val="auto"/>
              </w:rPr>
            </w:pPr>
          </w:p>
        </w:tc>
      </w:tr>
      <w:tr>
        <w:trPr>
          <w:trHeight w:val="168"/>
        </w:trPr>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8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194"/>
        </w:trPr>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80" w:type="dxa"/>
            <w:vAlign w:val="bottom"/>
          </w:tcPr>
          <w:p>
            <w:pPr>
              <w:ind w:left="1500"/>
              <w:spacing w:after="0"/>
              <w:rPr>
                <w:sz w:val="20"/>
                <w:szCs w:val="20"/>
                <w:color w:val="auto"/>
              </w:rPr>
            </w:pPr>
            <w:r>
              <w:rPr>
                <w:rFonts w:ascii="Courier New" w:cs="Courier New" w:eastAsia="Courier New" w:hAnsi="Courier New"/>
                <w:sz w:val="15"/>
                <w:szCs w:val="15"/>
                <w:color w:val="auto"/>
              </w:rPr>
              <w:t>Nancy A. Stanger</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SEAL</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 FIRST AMENDMENT</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BYLAWS OF</w:t>
      </w: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140" w:lineRule="exact"/>
        <w:rPr>
          <w:sz w:val="20"/>
          <w:szCs w:val="20"/>
          <w:color w:val="auto"/>
        </w:rPr>
      </w:pPr>
    </w:p>
    <w:p>
      <w:pPr>
        <w:ind w:right="3319" w:firstLine="437"/>
        <w:spacing w:after="0" w:line="264" w:lineRule="auto"/>
        <w:rPr>
          <w:sz w:val="20"/>
          <w:szCs w:val="20"/>
          <w:color w:val="auto"/>
        </w:rPr>
      </w:pPr>
      <w:r>
        <w:rPr>
          <w:rFonts w:ascii="Courier New" w:cs="Courier New" w:eastAsia="Courier New" w:hAnsi="Courier New"/>
          <w:sz w:val="15"/>
          <w:szCs w:val="15"/>
          <w:color w:val="auto"/>
        </w:rPr>
        <w:t>We, the undersigned, being the President and Secretary, respectively, of MICRON TECHNOLOGY, INC., a corporation organized and existing under the laws of the State of Delaware, do hereby certify that a meeting of the Board of Directors of this Corporation was held on December 17, 1984 and an amendment to the Bylaws of MICRON TECHNOLOGY, INC. was unanimously adopted.</w:t>
      </w:r>
    </w:p>
    <w:p>
      <w:pPr>
        <w:spacing w:after="0" w:line="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amendment adopted was pursuant to a Resolution reading as follows:</w:t>
      </w:r>
    </w:p>
    <w:p>
      <w:pPr>
        <w:sectPr>
          <w:pgSz w:w="11900" w:h="16838" w:orient="portrait"/>
          <w:cols w:equalWidth="0" w:num="1">
            <w:col w:w="10239"/>
          </w:cols>
          <w:pgMar w:left="220" w:top="598" w:right="1440" w:bottom="1440" w:gutter="0" w:footer="0" w:header="0"/>
        </w:sectPr>
      </w:pPr>
    </w:p>
    <w:bookmarkStart w:id="62" w:name="page63"/>
    <w:bookmarkEnd w:id="62"/>
    <w:p>
      <w:pPr>
        <w:ind w:right="3399" w:firstLine="437"/>
        <w:spacing w:after="0" w:line="381" w:lineRule="auto"/>
        <w:rPr>
          <w:sz w:val="20"/>
          <w:szCs w:val="20"/>
          <w:color w:val="auto"/>
        </w:rPr>
      </w:pPr>
      <w:r>
        <w:rPr>
          <w:rFonts w:ascii="Courier New" w:cs="Courier New" w:eastAsia="Courier New" w:hAnsi="Courier New"/>
          <w:sz w:val="14"/>
          <w:szCs w:val="14"/>
          <w:color w:val="auto"/>
        </w:rPr>
        <w:t>RESOLVED: The Board hereby approves that the second paragraph of Article II Section 10 of the Bylaws of the Company be amended to read as follows:</w:t>
      </w:r>
    </w:p>
    <w:p>
      <w:pPr>
        <w:spacing w:after="0" w:line="1"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4"/>
          <w:szCs w:val="14"/>
          <w:color w:val="auto"/>
        </w:rPr>
        <w:t>"At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notice at the meeting prior to the voting of the stockholder's intention to cumulate votes. If any stockholder has given such notice, all stockholders may cumulate their votes for candidates in nomination."</w:t>
      </w:r>
    </w:p>
    <w:p>
      <w:pPr>
        <w:spacing w:after="0" w:line="71" w:lineRule="exact"/>
        <w:rPr>
          <w:sz w:val="20"/>
          <w:szCs w:val="20"/>
          <w:color w:val="auto"/>
        </w:rPr>
      </w:pPr>
    </w:p>
    <w:p>
      <w:pPr>
        <w:ind w:right="3679" w:firstLine="437"/>
        <w:spacing w:after="0" w:line="344" w:lineRule="auto"/>
        <w:rPr>
          <w:sz w:val="20"/>
          <w:szCs w:val="20"/>
          <w:color w:val="auto"/>
        </w:rPr>
      </w:pPr>
      <w:r>
        <w:rPr>
          <w:rFonts w:ascii="Courier New" w:cs="Courier New" w:eastAsia="Courier New" w:hAnsi="Courier New"/>
          <w:sz w:val="15"/>
          <w:szCs w:val="15"/>
          <w:color w:val="auto"/>
        </w:rPr>
        <w:t>IN WITNESS WHEREOF, we have hereunto set our hands and the seal of the Corporation this 5th day of ____ July, 1985.</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Joseph L. Parkinson</w:t>
      </w:r>
    </w:p>
    <w:p>
      <w:pPr>
        <w:spacing w:after="0" w:line="23" w:lineRule="exact"/>
        <w:rPr>
          <w:sz w:val="20"/>
          <w:szCs w:val="20"/>
          <w:color w:val="auto"/>
        </w:rPr>
      </w:pPr>
    </w:p>
    <w:p>
      <w:pPr>
        <w:ind w:left="180" w:hanging="170"/>
        <w:spacing w:after="0"/>
        <w:tabs>
          <w:tab w:leader="none" w:pos="1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Joseph L. Parkinson, President</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Cathy L. Smith</w:t>
      </w:r>
    </w:p>
    <w:p>
      <w:pPr>
        <w:spacing w:after="0" w:line="23" w:lineRule="exact"/>
        <w:rPr>
          <w:sz w:val="20"/>
          <w:szCs w:val="20"/>
          <w:color w:val="auto"/>
        </w:rPr>
      </w:pPr>
    </w:p>
    <w:p>
      <w:pPr>
        <w:ind w:left="180" w:hanging="170"/>
        <w:spacing w:after="0"/>
        <w:tabs>
          <w:tab w:leader="none" w:pos="1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Cathy L. Smith, Secretary</w:t>
      </w:r>
    </w:p>
    <w:p>
      <w:pPr>
        <w:spacing w:after="0" w:line="309"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5"/>
          <w:szCs w:val="15"/>
          <w:color w:val="auto"/>
        </w:rPr>
        <w:t>STATE OF IDAHO</w:t>
      </w:r>
      <w:r>
        <w:rPr>
          <w:sz w:val="20"/>
          <w:szCs w:val="20"/>
          <w:color w:val="auto"/>
        </w:rPr>
        <w:tab/>
      </w:r>
      <w:r>
        <w:rPr>
          <w:rFonts w:ascii="Courier New" w:cs="Courier New" w:eastAsia="Courier New" w:hAnsi="Courier New"/>
          <w:sz w:val="12"/>
          <w:szCs w:val="12"/>
          <w:color w:val="auto"/>
        </w:rPr>
        <w:t>)</w:t>
      </w:r>
    </w:p>
    <w:p>
      <w:pPr>
        <w:spacing w:after="0" w:line="23" w:lineRule="exact"/>
        <w:rPr>
          <w:sz w:val="20"/>
          <w:szCs w:val="20"/>
          <w:color w:val="auto"/>
        </w:rPr>
      </w:pPr>
    </w:p>
    <w:p>
      <w:pPr>
        <w:ind w:left="2020" w:hanging="349"/>
        <w:spacing w:after="0"/>
        <w:tabs>
          <w:tab w:leader="none" w:pos="20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ss.</w:t>
      </w:r>
    </w:p>
    <w:p>
      <w:pPr>
        <w:spacing w:after="0"/>
        <w:tabs>
          <w:tab w:leader="none" w:pos="1660" w:val="left"/>
        </w:tabs>
        <w:rPr>
          <w:sz w:val="20"/>
          <w:szCs w:val="20"/>
          <w:color w:val="auto"/>
        </w:rPr>
      </w:pPr>
      <w:r>
        <w:rPr>
          <w:rFonts w:ascii="Courier New" w:cs="Courier New" w:eastAsia="Courier New" w:hAnsi="Courier New"/>
          <w:sz w:val="15"/>
          <w:szCs w:val="15"/>
          <w:color w:val="auto"/>
        </w:rPr>
        <w:t>County of Ada</w:t>
      </w:r>
      <w:r>
        <w:rPr>
          <w:sz w:val="20"/>
          <w:szCs w:val="20"/>
          <w:color w:val="auto"/>
        </w:rPr>
        <w:tab/>
      </w:r>
      <w:r>
        <w:rPr>
          <w:rFonts w:ascii="Courier New" w:cs="Courier New" w:eastAsia="Courier New" w:hAnsi="Courier New"/>
          <w:sz w:val="12"/>
          <w:szCs w:val="12"/>
          <w:color w:val="auto"/>
        </w:rPr>
        <w:t>)</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this 5th day of July, 1985, before me, the undersigned, personally appeared</w:t>
      </w:r>
    </w:p>
    <w:p>
      <w:pPr>
        <w:spacing w:after="0" w:line="34" w:lineRule="exact"/>
        <w:rPr>
          <w:sz w:val="20"/>
          <w:szCs w:val="20"/>
          <w:color w:val="auto"/>
        </w:rPr>
      </w:pPr>
    </w:p>
    <w:p>
      <w:pPr>
        <w:ind w:left="1940" w:hanging="1231"/>
        <w:spacing w:after="0"/>
        <w:tabs>
          <w:tab w:leader="none" w:pos="19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319"/>
        <w:spacing w:after="0" w:line="255" w:lineRule="auto"/>
        <w:rPr>
          <w:sz w:val="20"/>
          <w:szCs w:val="20"/>
          <w:color w:val="auto"/>
        </w:rPr>
      </w:pPr>
      <w:r>
        <w:rPr>
          <w:rFonts w:ascii="Courier New" w:cs="Courier New" w:eastAsia="Courier New" w:hAnsi="Courier New"/>
          <w:sz w:val="15"/>
          <w:szCs w:val="15"/>
          <w:color w:val="auto"/>
        </w:rPr>
        <w:t>JOSEPH L. PARKINSON and CATHY L. SMITH, known to me to be the President and Secretary, respectively, of MICRON TECHNOLOGY, INC., the corporation that executed the instrument or the persons who executed the instrument on behalf of said corporation, and acknowledged to me that such corporation executed the same.</w:t>
      </w:r>
    </w:p>
    <w:p>
      <w:pPr>
        <w:spacing w:after="0" w:line="80"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IN WITNESS WHEREOF, I have hereunto set my hand</w:t>
      </w:r>
    </w:p>
    <w:p>
      <w:pPr>
        <w:sectPr>
          <w:pgSz w:w="11900" w:h="16838" w:orient="portrait"/>
          <w:cols w:equalWidth="0" w:num="1">
            <w:col w:w="10239"/>
          </w:cols>
          <w:pgMar w:left="220" w:top="598" w:right="1440" w:bottom="1440" w:gutter="0" w:footer="0" w:header="0"/>
        </w:sectPr>
      </w:pPr>
    </w:p>
    <w:bookmarkStart w:id="63" w:name="page64"/>
    <w:bookmarkEnd w:id="63"/>
    <w:p>
      <w:pPr>
        <w:ind w:right="3939"/>
        <w:spacing w:after="0" w:line="344" w:lineRule="auto"/>
        <w:rPr>
          <w:sz w:val="20"/>
          <w:szCs w:val="20"/>
          <w:color w:val="auto"/>
        </w:rPr>
      </w:pPr>
      <w:r>
        <w:rPr>
          <w:rFonts w:ascii="Courier New" w:cs="Courier New" w:eastAsia="Courier New" w:hAnsi="Courier New"/>
          <w:sz w:val="15"/>
          <w:szCs w:val="15"/>
          <w:color w:val="auto"/>
        </w:rPr>
        <w:t>and affixed my official seal in said County the day and year first above written.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Jill L. Henson</w:t>
      </w:r>
    </w:p>
    <w:p>
      <w:pPr>
        <w:spacing w:after="0" w:line="23" w:lineRule="exact"/>
        <w:rPr>
          <w:sz w:val="20"/>
          <w:szCs w:val="20"/>
          <w:color w:val="auto"/>
        </w:rPr>
      </w:pPr>
    </w:p>
    <w:p>
      <w:pPr>
        <w:ind w:left="180" w:hanging="170"/>
        <w:spacing w:after="0"/>
        <w:tabs>
          <w:tab w:leader="none" w:pos="1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Notary Public</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Idaho Residing at Boise</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 SECOND AMENDMENT</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BYLAWS OF</w:t>
      </w: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309" w:lineRule="exact"/>
        <w:rPr>
          <w:sz w:val="20"/>
          <w:szCs w:val="20"/>
          <w:color w:val="auto"/>
        </w:rPr>
      </w:pPr>
    </w:p>
    <w:p>
      <w:pPr>
        <w:ind w:right="3239" w:firstLine="262"/>
        <w:spacing w:after="0" w:line="290"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 adopted by the Board of Directors on March 3, 1986:</w:t>
      </w:r>
    </w:p>
    <w:p>
      <w:pPr>
        <w:spacing w:after="0" w:line="57" w:lineRule="exact"/>
        <w:rPr>
          <w:sz w:val="20"/>
          <w:szCs w:val="20"/>
          <w:color w:val="auto"/>
        </w:rPr>
      </w:pPr>
    </w:p>
    <w:p>
      <w:pPr>
        <w:ind w:right="3759" w:firstLine="437"/>
        <w:spacing w:after="0" w:line="255" w:lineRule="auto"/>
        <w:rPr>
          <w:sz w:val="20"/>
          <w:szCs w:val="20"/>
          <w:color w:val="auto"/>
        </w:rPr>
      </w:pPr>
      <w:r>
        <w:rPr>
          <w:rFonts w:ascii="Courier New" w:cs="Courier New" w:eastAsia="Courier New" w:hAnsi="Courier New"/>
          <w:sz w:val="15"/>
          <w:szCs w:val="15"/>
          <w:color w:val="auto"/>
        </w:rPr>
        <w:t>RESOLVED: Article III Section 1 of the Bylaws of this corporation are hereby amended to read as follows:</w:t>
      </w:r>
    </w:p>
    <w:p>
      <w:pPr>
        <w:spacing w:after="0" w:line="1" w:lineRule="exact"/>
        <w:rPr>
          <w:sz w:val="20"/>
          <w:szCs w:val="20"/>
          <w:color w:val="auto"/>
        </w:rPr>
      </w:pPr>
    </w:p>
    <w:p>
      <w:pPr>
        <w:ind w:right="3239" w:firstLine="1487"/>
        <w:spacing w:after="0" w:line="255" w:lineRule="auto"/>
        <w:rPr>
          <w:sz w:val="20"/>
          <w:szCs w:val="20"/>
          <w:color w:val="auto"/>
        </w:rPr>
      </w:pPr>
      <w:r>
        <w:rPr>
          <w:rFonts w:ascii="Courier New" w:cs="Courier New" w:eastAsia="Courier New" w:hAnsi="Courier New"/>
          <w:sz w:val="15"/>
          <w:szCs w:val="15"/>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80" w:lineRule="exact"/>
        <w:rPr>
          <w:sz w:val="20"/>
          <w:szCs w:val="20"/>
          <w:color w:val="auto"/>
        </w:rPr>
      </w:pPr>
    </w:p>
    <w:p>
      <w:pPr>
        <w:ind w:right="3239" w:firstLine="1487"/>
        <w:spacing w:after="0" w:line="274" w:lineRule="auto"/>
        <w:rPr>
          <w:sz w:val="20"/>
          <w:szCs w:val="20"/>
          <w:color w:val="auto"/>
        </w:rPr>
      </w:pPr>
      <w:r>
        <w:rPr>
          <w:rFonts w:ascii="Courier New" w:cs="Courier New" w:eastAsia="Courier New" w:hAnsi="Courier New"/>
          <w:sz w:val="14"/>
          <w:szCs w:val="14"/>
          <w:color w:val="auto"/>
        </w:rPr>
        <w:t>IN WITNESS WHEREOF, I have hereunto set my hand and affixed the corporate seal of said corporation effective as of the 3rd day of March, 1986.</w:t>
      </w:r>
    </w:p>
    <w:p>
      <w:pPr>
        <w:ind w:left="4820"/>
        <w:spacing w:after="0"/>
        <w:tabs>
          <w:tab w:leader="none" w:pos="57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Cathy L. Smith</w:t>
      </w:r>
    </w:p>
    <w:p>
      <w:pPr>
        <w:spacing w:after="0" w:line="23" w:lineRule="exact"/>
        <w:rPr>
          <w:sz w:val="20"/>
          <w:szCs w:val="20"/>
          <w:color w:val="auto"/>
        </w:rPr>
      </w:pPr>
    </w:p>
    <w:p>
      <w:pPr>
        <w:ind w:left="180" w:hanging="170"/>
        <w:spacing w:after="0"/>
        <w:tabs>
          <w:tab w:leader="none" w:pos="1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Secretary</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THIRD AMENDMENT</w:t>
      </w:r>
    </w:p>
    <w:p>
      <w:pPr>
        <w:spacing w:after="0" w:line="237" w:lineRule="auto"/>
        <w:rPr>
          <w:sz w:val="20"/>
          <w:szCs w:val="20"/>
          <w:color w:val="auto"/>
        </w:rPr>
      </w:pPr>
      <w:r>
        <w:rPr>
          <w:rFonts w:ascii="Courier New" w:cs="Courier New" w:eastAsia="Courier New" w:hAnsi="Courier New"/>
          <w:sz w:val="15"/>
          <w:szCs w:val="15"/>
          <w:color w:val="auto"/>
        </w:rPr>
        <w:t>TO THE BYLAWS</w:t>
      </w:r>
    </w:p>
    <w:p>
      <w:pPr>
        <w:spacing w:after="0" w:line="238" w:lineRule="auto"/>
        <w:rPr>
          <w:sz w:val="20"/>
          <w:szCs w:val="20"/>
          <w:color w:val="auto"/>
        </w:rPr>
      </w:pPr>
      <w:r>
        <w:rPr>
          <w:rFonts w:ascii="Courier New" w:cs="Courier New" w:eastAsia="Courier New" w:hAnsi="Courier New"/>
          <w:sz w:val="15"/>
          <w:szCs w:val="15"/>
          <w:color w:val="auto"/>
        </w:rPr>
        <w:t>OF</w:t>
      </w: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309" w:lineRule="exact"/>
        <w:rPr>
          <w:sz w:val="20"/>
          <w:szCs w:val="20"/>
          <w:color w:val="auto"/>
        </w:rPr>
      </w:pPr>
    </w:p>
    <w:p>
      <w:pPr>
        <w:ind w:right="3399" w:firstLine="437"/>
        <w:spacing w:after="0" w:line="290"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 adopted by the Board of Directors on November 24, 1986:</w:t>
      </w:r>
    </w:p>
    <w:p>
      <w:pPr>
        <w:sectPr>
          <w:pgSz w:w="11900" w:h="16838" w:orient="portrait"/>
          <w:cols w:equalWidth="0" w:num="1">
            <w:col w:w="10239"/>
          </w:cols>
          <w:pgMar w:left="220" w:top="598" w:right="1440" w:bottom="1440" w:gutter="0" w:footer="0" w:header="0"/>
        </w:sectPr>
      </w:pPr>
    </w:p>
    <w:bookmarkStart w:id="64" w:name="page65"/>
    <w:bookmarkEnd w:id="64"/>
    <w:p>
      <w:pPr>
        <w:ind w:left="1680"/>
        <w:spacing w:after="0"/>
        <w:tabs>
          <w:tab w:leader="none" w:pos="2620" w:val="left"/>
        </w:tabs>
        <w:rPr>
          <w:sz w:val="20"/>
          <w:szCs w:val="20"/>
          <w:color w:val="auto"/>
        </w:rPr>
      </w:pPr>
      <w:r>
        <w:rPr>
          <w:rFonts w:ascii="Courier New" w:cs="Courier New" w:eastAsia="Courier New" w:hAnsi="Courier New"/>
          <w:sz w:val="15"/>
          <w:szCs w:val="15"/>
          <w:color w:val="auto"/>
        </w:rPr>
        <w:t>RESOLVED:</w:t>
        <w:tab/>
        <w:t>Article III</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w:t>
      </w:r>
    </w:p>
    <w:p>
      <w:pPr>
        <w:spacing w:after="0"/>
        <w:rPr>
          <w:sz w:val="20"/>
          <w:szCs w:val="20"/>
          <w:color w:val="auto"/>
        </w:rPr>
      </w:pPr>
      <w:r>
        <w:rPr>
          <w:rFonts w:ascii="Courier New" w:cs="Courier New" w:eastAsia="Courier New" w:hAnsi="Courier New"/>
          <w:sz w:val="15"/>
          <w:szCs w:val="15"/>
          <w:color w:val="auto"/>
        </w:rPr>
        <w:t>1 of the Bylaws of this corporation are hereby amended to read as follows:</w:t>
      </w:r>
    </w:p>
    <w:p>
      <w:pPr>
        <w:spacing w:after="0" w:line="140" w:lineRule="exact"/>
        <w:rPr>
          <w:sz w:val="20"/>
          <w:szCs w:val="20"/>
          <w:color w:val="auto"/>
        </w:rPr>
      </w:pPr>
    </w:p>
    <w:p>
      <w:pPr>
        <w:ind w:right="3319" w:firstLine="1487"/>
        <w:spacing w:after="0" w:line="264" w:lineRule="auto"/>
        <w:rPr>
          <w:sz w:val="20"/>
          <w:szCs w:val="20"/>
          <w:color w:val="auto"/>
        </w:rPr>
      </w:pPr>
      <w:r>
        <w:rPr>
          <w:rFonts w:ascii="Courier New" w:cs="Courier New" w:eastAsia="Courier New" w:hAnsi="Courier New"/>
          <w:sz w:val="15"/>
          <w:szCs w:val="15"/>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75"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24th day of November, 1986.</w:t>
      </w:r>
    </w:p>
    <w:p>
      <w:pPr>
        <w:spacing w:after="0" w:line="1" w:lineRule="exact"/>
        <w:rPr>
          <w:sz w:val="20"/>
          <w:szCs w:val="20"/>
          <w:color w:val="auto"/>
        </w:rPr>
      </w:pPr>
    </w:p>
    <w:p>
      <w:pPr>
        <w:ind w:left="3500"/>
        <w:spacing w:after="0"/>
        <w:tabs>
          <w:tab w:leader="none" w:pos="45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Cathy L. Smith</w:t>
      </w:r>
    </w:p>
    <w:p>
      <w:pPr>
        <w:spacing w:after="0" w:line="23" w:lineRule="exact"/>
        <w:rPr>
          <w:sz w:val="20"/>
          <w:szCs w:val="20"/>
          <w:color w:val="auto"/>
        </w:rPr>
      </w:pPr>
    </w:p>
    <w:p>
      <w:pPr>
        <w:ind w:left="180" w:hanging="170"/>
        <w:spacing w:after="0"/>
        <w:tabs>
          <w:tab w:leader="none" w:pos="1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Secretary</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 FOURTH AMENDMENT</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BYLAWS OF</w:t>
      </w: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309" w:lineRule="exact"/>
        <w:rPr>
          <w:sz w:val="20"/>
          <w:szCs w:val="20"/>
          <w:color w:val="auto"/>
        </w:rPr>
      </w:pPr>
    </w:p>
    <w:p>
      <w:pPr>
        <w:ind w:right="3399" w:firstLine="437"/>
        <w:spacing w:after="0" w:line="290"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 adopted by the Board of Directors on September 28, 1987:</w:t>
      </w:r>
    </w:p>
    <w:p>
      <w:pPr>
        <w:spacing w:after="0" w:line="57" w:lineRule="exact"/>
        <w:rPr>
          <w:sz w:val="20"/>
          <w:szCs w:val="20"/>
          <w:color w:val="auto"/>
        </w:rPr>
      </w:pPr>
    </w:p>
    <w:p>
      <w:pPr>
        <w:ind w:right="3579"/>
        <w:spacing w:after="0" w:line="344" w:lineRule="auto"/>
        <w:rPr>
          <w:sz w:val="20"/>
          <w:szCs w:val="20"/>
          <w:color w:val="auto"/>
        </w:rPr>
      </w:pPr>
      <w:r>
        <w:rPr>
          <w:rFonts w:ascii="Courier New" w:cs="Courier New" w:eastAsia="Courier New" w:hAnsi="Courier New"/>
          <w:sz w:val="15"/>
          <w:szCs w:val="15"/>
          <w:color w:val="auto"/>
        </w:rPr>
        <w:t>RESOLVED: Article III Section 1 of the Bylaws of this corporation are hereby amended to read as follows:</w:t>
      </w:r>
    </w:p>
    <w:p>
      <w:pPr>
        <w:spacing w:after="0" w:line="17" w:lineRule="exact"/>
        <w:rPr>
          <w:sz w:val="20"/>
          <w:szCs w:val="20"/>
          <w:color w:val="auto"/>
        </w:rPr>
      </w:pPr>
    </w:p>
    <w:p>
      <w:pPr>
        <w:ind w:right="3319" w:firstLine="1487"/>
        <w:spacing w:after="0" w:line="264" w:lineRule="auto"/>
        <w:rPr>
          <w:sz w:val="20"/>
          <w:szCs w:val="20"/>
          <w:color w:val="auto"/>
        </w:rPr>
      </w:pPr>
      <w:r>
        <w:rPr>
          <w:rFonts w:ascii="Courier New" w:cs="Courier New" w:eastAsia="Courier New" w:hAnsi="Courier New"/>
          <w:sz w:val="15"/>
          <w:szCs w:val="15"/>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75"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28th day of September, 1987.</w:t>
      </w:r>
    </w:p>
    <w:p>
      <w:pPr>
        <w:spacing w:after="0" w:line="1" w:lineRule="exact"/>
        <w:rPr>
          <w:sz w:val="20"/>
          <w:szCs w:val="20"/>
          <w:color w:val="auto"/>
        </w:rPr>
      </w:pPr>
    </w:p>
    <w:p>
      <w:pPr>
        <w:ind w:left="3500"/>
        <w:spacing w:after="0"/>
        <w:tabs>
          <w:tab w:leader="none" w:pos="45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39"/>
          </w:cols>
          <w:pgMar w:left="220" w:top="598"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/s/ Cathy L. Smith</w:t>
      </w:r>
    </w:p>
    <w:p>
      <w:pPr>
        <w:spacing w:after="0" w:line="23" w:lineRule="exact"/>
        <w:rPr>
          <w:sz w:val="20"/>
          <w:szCs w:val="20"/>
          <w:color w:val="auto"/>
        </w:rPr>
      </w:pPr>
    </w:p>
    <w:p>
      <w:pPr>
        <w:ind w:left="180" w:hanging="170"/>
        <w:spacing w:after="0"/>
        <w:tabs>
          <w:tab w:leader="none" w:pos="1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8559"/>
        <w:spacing w:after="0" w:line="34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Cathy L. Smith Corporate Secretary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 FIFTH AMENDMENT</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BYLAWS OF</w:t>
      </w: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309" w:lineRule="exact"/>
        <w:rPr>
          <w:sz w:val="20"/>
          <w:szCs w:val="20"/>
          <w:color w:val="auto"/>
        </w:rPr>
      </w:pPr>
    </w:p>
    <w:p>
      <w:pPr>
        <w:ind w:right="3499"/>
        <w:spacing w:after="0" w:line="290"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 adopted by the Board of Directors on March 28, 1988:</w:t>
      </w:r>
    </w:p>
    <w:p>
      <w:pPr>
        <w:spacing w:after="0" w:line="57" w:lineRule="exact"/>
        <w:rPr>
          <w:sz w:val="20"/>
          <w:szCs w:val="20"/>
          <w:color w:val="auto"/>
        </w:rPr>
      </w:pPr>
    </w:p>
    <w:p>
      <w:pPr>
        <w:ind w:right="3759" w:firstLine="437"/>
        <w:spacing w:after="0" w:line="344" w:lineRule="auto"/>
        <w:rPr>
          <w:sz w:val="20"/>
          <w:szCs w:val="20"/>
          <w:color w:val="auto"/>
        </w:rPr>
      </w:pPr>
      <w:r>
        <w:rPr>
          <w:rFonts w:ascii="Courier New" w:cs="Courier New" w:eastAsia="Courier New" w:hAnsi="Courier New"/>
          <w:sz w:val="15"/>
          <w:szCs w:val="15"/>
          <w:color w:val="auto"/>
        </w:rPr>
        <w:t>RESOLVED: Article III Section 1 of the Bylaws of this corporation are hereby amended to read as follows:</w:t>
      </w:r>
    </w:p>
    <w:p>
      <w:pPr>
        <w:spacing w:after="0" w:line="17" w:lineRule="exact"/>
        <w:rPr>
          <w:sz w:val="20"/>
          <w:szCs w:val="20"/>
          <w:color w:val="auto"/>
        </w:rPr>
      </w:pPr>
    </w:p>
    <w:p>
      <w:pPr>
        <w:ind w:right="3319" w:firstLine="1487"/>
        <w:spacing w:after="0" w:line="264" w:lineRule="auto"/>
        <w:rPr>
          <w:sz w:val="20"/>
          <w:szCs w:val="20"/>
          <w:color w:val="auto"/>
        </w:rPr>
      </w:pPr>
      <w:r>
        <w:rPr>
          <w:rFonts w:ascii="Courier New" w:cs="Courier New" w:eastAsia="Courier New" w:hAnsi="Courier New"/>
          <w:sz w:val="15"/>
          <w:szCs w:val="15"/>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75"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28th day of March, 1988.</w:t>
      </w:r>
    </w:p>
    <w:p>
      <w:pPr>
        <w:spacing w:after="0" w:line="1" w:lineRule="exact"/>
        <w:rPr>
          <w:sz w:val="20"/>
          <w:szCs w:val="20"/>
          <w:color w:val="auto"/>
        </w:rPr>
      </w:pPr>
    </w:p>
    <w:p>
      <w:pPr>
        <w:ind w:left="3500"/>
        <w:spacing w:after="0"/>
        <w:tabs>
          <w:tab w:leader="none" w:pos="45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/s/Cathy L. Smith</w:t>
      </w:r>
    </w:p>
    <w:p>
      <w:pPr>
        <w:spacing w:after="0" w:line="23" w:lineRule="exact"/>
        <w:rPr>
          <w:sz w:val="20"/>
          <w:szCs w:val="20"/>
          <w:color w:val="auto"/>
        </w:rPr>
      </w:pPr>
    </w:p>
    <w:p>
      <w:pPr>
        <w:ind w:left="180" w:hanging="170"/>
        <w:spacing w:after="0"/>
        <w:tabs>
          <w:tab w:leader="none" w:pos="1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Secretary</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 SIXTH AMENDMENT</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BYLAWS OF</w:t>
      </w: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309" w:lineRule="exact"/>
        <w:rPr>
          <w:sz w:val="20"/>
          <w:szCs w:val="20"/>
          <w:color w:val="auto"/>
        </w:rPr>
      </w:pPr>
    </w:p>
    <w:p>
      <w:pPr>
        <w:ind w:right="3499"/>
        <w:spacing w:after="0" w:line="344"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w:t>
      </w:r>
    </w:p>
    <w:p>
      <w:pPr>
        <w:sectPr>
          <w:pgSz w:w="11900" w:h="16838" w:orient="portrait"/>
          <w:cols w:equalWidth="0" w:num="1">
            <w:col w:w="10239"/>
          </w:cols>
          <w:pgMar w:left="220" w:top="598"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5"/>
          <w:szCs w:val="15"/>
          <w:color w:val="auto"/>
        </w:rPr>
        <w:t>adopted by the Board of Directors on October 3, 1988:</w:t>
      </w:r>
    </w:p>
    <w:p>
      <w:pPr>
        <w:spacing w:after="0" w:line="166" w:lineRule="exact"/>
        <w:rPr>
          <w:sz w:val="20"/>
          <w:szCs w:val="20"/>
          <w:color w:val="auto"/>
        </w:rPr>
      </w:pPr>
    </w:p>
    <w:p>
      <w:pPr>
        <w:ind w:right="3759" w:firstLine="437"/>
        <w:spacing w:after="0" w:line="344" w:lineRule="auto"/>
        <w:rPr>
          <w:sz w:val="20"/>
          <w:szCs w:val="20"/>
          <w:color w:val="auto"/>
        </w:rPr>
      </w:pPr>
      <w:r>
        <w:rPr>
          <w:rFonts w:ascii="Courier New" w:cs="Courier New" w:eastAsia="Courier New" w:hAnsi="Courier New"/>
          <w:sz w:val="15"/>
          <w:szCs w:val="15"/>
          <w:color w:val="auto"/>
        </w:rPr>
        <w:t>RESOLVED: Article III Section 1 of the Bylaws of this corporation are hereby amended to read as follows:</w:t>
      </w:r>
    </w:p>
    <w:p>
      <w:pPr>
        <w:spacing w:after="0" w:line="17" w:lineRule="exact"/>
        <w:rPr>
          <w:sz w:val="20"/>
          <w:szCs w:val="20"/>
          <w:color w:val="auto"/>
        </w:rPr>
      </w:pPr>
    </w:p>
    <w:p>
      <w:pPr>
        <w:ind w:right="3239" w:firstLine="1487"/>
        <w:spacing w:after="0" w:line="264" w:lineRule="auto"/>
        <w:rPr>
          <w:sz w:val="20"/>
          <w:szCs w:val="20"/>
          <w:color w:val="auto"/>
        </w:rPr>
      </w:pPr>
      <w:r>
        <w:rPr>
          <w:rFonts w:ascii="Courier New" w:cs="Courier New" w:eastAsia="Courier New" w:hAnsi="Courier New"/>
          <w:sz w:val="15"/>
          <w:szCs w:val="15"/>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75" w:lineRule="exact"/>
        <w:rPr>
          <w:sz w:val="20"/>
          <w:szCs w:val="20"/>
          <w:color w:val="auto"/>
        </w:rPr>
      </w:pPr>
    </w:p>
    <w:p>
      <w:pPr>
        <w:ind w:right="3399" w:firstLine="437"/>
        <w:spacing w:after="0" w:line="344"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17th day of October, 1988.</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Cathy L. Smith</w:t>
      </w:r>
    </w:p>
    <w:p>
      <w:pPr>
        <w:spacing w:after="0" w:line="23" w:lineRule="exact"/>
        <w:rPr>
          <w:sz w:val="20"/>
          <w:szCs w:val="20"/>
          <w:color w:val="auto"/>
        </w:rPr>
      </w:pPr>
    </w:p>
    <w:p>
      <w:pPr>
        <w:ind w:left="180" w:hanging="170"/>
        <w:spacing w:after="0"/>
        <w:tabs>
          <w:tab w:leader="none" w:pos="1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Secretary</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 SEVENTH AMENDMENT TO THE BYLAWS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w:t>
      </w: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309" w:lineRule="exact"/>
        <w:rPr>
          <w:sz w:val="20"/>
          <w:szCs w:val="20"/>
          <w:color w:val="auto"/>
        </w:rPr>
      </w:pPr>
    </w:p>
    <w:p>
      <w:pPr>
        <w:ind w:right="3499"/>
        <w:spacing w:after="0" w:line="290"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 adopted by the Board of Directors on September 25, 1989:</w:t>
      </w:r>
    </w:p>
    <w:p>
      <w:pPr>
        <w:spacing w:after="0" w:line="57" w:lineRule="exact"/>
        <w:rPr>
          <w:sz w:val="20"/>
          <w:szCs w:val="20"/>
          <w:color w:val="auto"/>
        </w:rPr>
      </w:pPr>
    </w:p>
    <w:p>
      <w:pPr>
        <w:ind w:right="3759" w:firstLine="437"/>
        <w:spacing w:after="0" w:line="344" w:lineRule="auto"/>
        <w:rPr>
          <w:sz w:val="20"/>
          <w:szCs w:val="20"/>
          <w:color w:val="auto"/>
        </w:rPr>
      </w:pPr>
      <w:r>
        <w:rPr>
          <w:rFonts w:ascii="Courier New" w:cs="Courier New" w:eastAsia="Courier New" w:hAnsi="Courier New"/>
          <w:sz w:val="15"/>
          <w:szCs w:val="15"/>
          <w:color w:val="auto"/>
        </w:rPr>
        <w:t>RESOLVED: Article III Section 1 of the Bylaws of this corporation are hereby amended to read as follows:</w:t>
      </w:r>
    </w:p>
    <w:p>
      <w:pPr>
        <w:spacing w:after="0" w:line="17" w:lineRule="exact"/>
        <w:rPr>
          <w:sz w:val="20"/>
          <w:szCs w:val="20"/>
          <w:color w:val="auto"/>
        </w:rPr>
      </w:pPr>
    </w:p>
    <w:p>
      <w:pPr>
        <w:ind w:right="3319" w:firstLine="1487"/>
        <w:spacing w:after="0" w:line="264" w:lineRule="auto"/>
        <w:rPr>
          <w:sz w:val="20"/>
          <w:szCs w:val="20"/>
          <w:color w:val="auto"/>
        </w:rPr>
      </w:pPr>
      <w:r>
        <w:rPr>
          <w:rFonts w:ascii="Courier New" w:cs="Courier New" w:eastAsia="Courier New" w:hAnsi="Courier New"/>
          <w:sz w:val="15"/>
          <w:szCs w:val="15"/>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75" w:lineRule="exact"/>
        <w:rPr>
          <w:sz w:val="20"/>
          <w:szCs w:val="20"/>
          <w:color w:val="auto"/>
        </w:rPr>
      </w:pPr>
    </w:p>
    <w:p>
      <w:pPr>
        <w:ind w:right="3399" w:firstLine="437"/>
        <w:spacing w:after="0" w:line="344"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28th day September, 1989.</w:t>
      </w:r>
    </w:p>
    <w:p>
      <w:pPr>
        <w:sectPr>
          <w:pgSz w:w="11900" w:h="16838" w:orient="portrait"/>
          <w:cols w:equalWidth="0" w:num="1">
            <w:col w:w="10239"/>
          </w:cols>
          <w:pgMar w:left="220" w:top="598"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Cathy L. Smith ------------Corporate</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Secretary</w:t>
      </w:r>
    </w:p>
    <w:p>
      <w:pPr>
        <w:spacing w:after="0"/>
        <w:rPr>
          <w:sz w:val="20"/>
          <w:szCs w:val="20"/>
          <w:color w:val="auto"/>
        </w:rPr>
      </w:pPr>
      <w:r>
        <w:rPr>
          <w:rFonts w:ascii="Courier New" w:cs="Courier New" w:eastAsia="Courier New" w:hAnsi="Courier New"/>
          <w:sz w:val="15"/>
          <w:szCs w:val="15"/>
          <w:color w:val="auto"/>
        </w:rPr>
        <w:t>(SEAL)</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 EIGHTH AMENDMENT TO THE BYLAWS OF MICRON TECHNOLOGY, INC.</w:t>
      </w:r>
    </w:p>
    <w:p>
      <w:pPr>
        <w:spacing w:after="0" w:line="335" w:lineRule="exact"/>
        <w:rPr>
          <w:sz w:val="20"/>
          <w:szCs w:val="20"/>
          <w:color w:val="auto"/>
        </w:rPr>
      </w:pPr>
    </w:p>
    <w:p>
      <w:pPr>
        <w:ind w:right="3399" w:firstLine="437"/>
        <w:spacing w:after="0" w:line="264" w:lineRule="auto"/>
        <w:rPr>
          <w:sz w:val="20"/>
          <w:szCs w:val="20"/>
          <w:color w:val="auto"/>
        </w:rPr>
      </w:pPr>
      <w:r>
        <w:rPr>
          <w:rFonts w:ascii="Courier New" w:cs="Courier New" w:eastAsia="Courier New" w:hAnsi="Courier New"/>
          <w:sz w:val="14"/>
          <w:szCs w:val="14"/>
          <w:color w:val="auto"/>
        </w:rPr>
        <w:t>I, Cathy L. Smith, Corporate Secretary of Micron Technology, Inc., a Delaware corporation, hereby certify that the following resolution was adopted by the Board of Directors on October 30, 1989: RESOLVED: Article III Section 1 of the Bylaws of this corporation are hereby amended to read as follows:</w:t>
      </w:r>
    </w:p>
    <w:p>
      <w:pPr>
        <w:spacing w:after="0" w:line="1"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 w:lineRule="exact"/>
        <w:rPr>
          <w:sz w:val="20"/>
          <w:szCs w:val="20"/>
          <w:color w:val="auto"/>
        </w:rPr>
      </w:pPr>
    </w:p>
    <w:p>
      <w:pPr>
        <w:ind w:right="3399" w:firstLine="437"/>
        <w:spacing w:after="0" w:line="307"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30th day of October, 1989.</w:t>
      </w:r>
    </w:p>
    <w:p>
      <w:pPr>
        <w:spacing w:after="0" w:line="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Cathy L. Smith -------------</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Secretary</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 NINTH AMENDMENT TO THE BYLAWS OF MICRON TECHNOLOGY, INC.</w:t>
      </w:r>
    </w:p>
    <w:p>
      <w:pPr>
        <w:spacing w:after="0" w:line="335" w:lineRule="exact"/>
        <w:rPr>
          <w:sz w:val="20"/>
          <w:szCs w:val="20"/>
          <w:color w:val="auto"/>
        </w:rPr>
      </w:pPr>
    </w:p>
    <w:p>
      <w:pPr>
        <w:ind w:right="3499"/>
        <w:spacing w:after="0" w:line="290"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 adopted by the Board of Directors on August 27, 1990:</w:t>
      </w:r>
    </w:p>
    <w:p>
      <w:pPr>
        <w:spacing w:after="0" w:line="57" w:lineRule="exact"/>
        <w:rPr>
          <w:sz w:val="20"/>
          <w:szCs w:val="20"/>
          <w:color w:val="auto"/>
        </w:rPr>
      </w:pPr>
    </w:p>
    <w:p>
      <w:pPr>
        <w:ind w:left="440"/>
        <w:spacing w:after="0"/>
        <w:tabs>
          <w:tab w:leader="none" w:pos="1380" w:val="left"/>
        </w:tabs>
        <w:rPr>
          <w:sz w:val="20"/>
          <w:szCs w:val="20"/>
          <w:color w:val="auto"/>
        </w:rPr>
      </w:pPr>
      <w:r>
        <w:rPr>
          <w:rFonts w:ascii="Courier New" w:cs="Courier New" w:eastAsia="Courier New" w:hAnsi="Courier New"/>
          <w:sz w:val="15"/>
          <w:szCs w:val="15"/>
          <w:color w:val="auto"/>
        </w:rPr>
        <w:t>RESOLVED:</w:t>
        <w:tab/>
        <w:t>Article III Section 1 of the</w:t>
      </w:r>
    </w:p>
    <w:p>
      <w:pPr>
        <w:sectPr>
          <w:pgSz w:w="11900" w:h="16838" w:orient="portrait"/>
          <w:cols w:equalWidth="0" w:num="1">
            <w:col w:w="10239"/>
          </w:cols>
          <w:pgMar w:left="220" w:top="598"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5"/>
          <w:szCs w:val="15"/>
          <w:color w:val="auto"/>
        </w:rPr>
        <w:t>Bylaws of this corporation are hereby amended to read as follows:</w:t>
      </w:r>
    </w:p>
    <w:p>
      <w:pPr>
        <w:spacing w:after="0" w:line="24"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 he Board of Directors.</w:t>
      </w:r>
    </w:p>
    <w:p>
      <w:pPr>
        <w:spacing w:after="0" w:line="2" w:lineRule="exact"/>
        <w:rPr>
          <w:sz w:val="20"/>
          <w:szCs w:val="20"/>
          <w:color w:val="auto"/>
        </w:rPr>
      </w:pPr>
    </w:p>
    <w:p>
      <w:pPr>
        <w:ind w:right="3399" w:firstLine="437"/>
        <w:spacing w:after="0" w:line="237"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27th day of August, 1990.</w:t>
      </w:r>
    </w:p>
    <w:p>
      <w:pPr>
        <w:spacing w:after="0"/>
        <w:rPr>
          <w:sz w:val="20"/>
          <w:szCs w:val="20"/>
          <w:color w:val="auto"/>
        </w:rPr>
      </w:pPr>
      <w:r>
        <w:rPr>
          <w:rFonts w:ascii="Courier New" w:cs="Courier New" w:eastAsia="Courier New" w:hAnsi="Courier New"/>
          <w:sz w:val="15"/>
          <w:szCs w:val="15"/>
          <w:color w:val="auto"/>
        </w:rPr>
        <w:t>Cathy L. Smith ------------Corporate</w:t>
      </w:r>
    </w:p>
    <w:p>
      <w:pPr>
        <w:spacing w:after="0" w:line="237" w:lineRule="auto"/>
        <w:rPr>
          <w:sz w:val="20"/>
          <w:szCs w:val="20"/>
          <w:color w:val="auto"/>
        </w:rPr>
      </w:pPr>
      <w:r>
        <w:rPr>
          <w:rFonts w:ascii="Courier New" w:cs="Courier New" w:eastAsia="Courier New" w:hAnsi="Courier New"/>
          <w:sz w:val="15"/>
          <w:szCs w:val="15"/>
          <w:color w:val="auto"/>
        </w:rPr>
        <w:t>Secretary</w:t>
      </w:r>
    </w:p>
    <w:p>
      <w:pPr>
        <w:spacing w:after="0"/>
        <w:rPr>
          <w:sz w:val="20"/>
          <w:szCs w:val="20"/>
          <w:color w:val="auto"/>
        </w:rPr>
      </w:pPr>
      <w:r>
        <w:rPr>
          <w:rFonts w:ascii="Courier New" w:cs="Courier New" w:eastAsia="Courier New" w:hAnsi="Courier New"/>
          <w:sz w:val="15"/>
          <w:szCs w:val="15"/>
          <w:color w:val="auto"/>
        </w:rPr>
        <w:t>(SEAL)</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 TENTH AMENDMENT TO THE BYLAWS OF MICRON TECHNOLOGY, INC.</w:t>
      </w:r>
    </w:p>
    <w:p>
      <w:pPr>
        <w:spacing w:after="0" w:line="335" w:lineRule="exact"/>
        <w:rPr>
          <w:sz w:val="20"/>
          <w:szCs w:val="20"/>
          <w:color w:val="auto"/>
        </w:rPr>
      </w:pPr>
    </w:p>
    <w:p>
      <w:pPr>
        <w:ind w:right="3499"/>
        <w:spacing w:after="0" w:line="290"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 adopted by the Board of Directors on September 24, 1990:</w:t>
      </w:r>
    </w:p>
    <w:p>
      <w:pPr>
        <w:spacing w:after="0" w:line="57" w:lineRule="exact"/>
        <w:rPr>
          <w:sz w:val="20"/>
          <w:szCs w:val="20"/>
          <w:color w:val="auto"/>
        </w:rPr>
      </w:pPr>
    </w:p>
    <w:p>
      <w:pPr>
        <w:ind w:right="3679" w:firstLine="437"/>
        <w:spacing w:after="0" w:line="255" w:lineRule="auto"/>
        <w:rPr>
          <w:sz w:val="20"/>
          <w:szCs w:val="20"/>
          <w:color w:val="auto"/>
        </w:rPr>
      </w:pPr>
      <w:r>
        <w:rPr>
          <w:rFonts w:ascii="Courier New" w:cs="Courier New" w:eastAsia="Courier New" w:hAnsi="Courier New"/>
          <w:sz w:val="15"/>
          <w:szCs w:val="15"/>
          <w:color w:val="auto"/>
        </w:rPr>
        <w:t>RESOLVED: Article III, Section 1 of the Bylaws of this corporation are hereby amended to read as follows:</w:t>
      </w:r>
    </w:p>
    <w:p>
      <w:pPr>
        <w:spacing w:after="0" w:line="1" w:lineRule="exact"/>
        <w:rPr>
          <w:sz w:val="20"/>
          <w:szCs w:val="20"/>
          <w:color w:val="auto"/>
        </w:rPr>
      </w:pPr>
    </w:p>
    <w:p>
      <w:pPr>
        <w:ind w:right="3239" w:firstLine="1487"/>
        <w:spacing w:after="0" w:line="237" w:lineRule="auto"/>
        <w:rPr>
          <w:sz w:val="20"/>
          <w:szCs w:val="20"/>
          <w:color w:val="auto"/>
        </w:rPr>
      </w:pPr>
      <w:r>
        <w:rPr>
          <w:rFonts w:ascii="Courier New" w:cs="Courier New" w:eastAsia="Courier New" w:hAnsi="Courier New"/>
          <w:sz w:val="15"/>
          <w:szCs w:val="15"/>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2" w:lineRule="exact"/>
        <w:rPr>
          <w:sz w:val="20"/>
          <w:szCs w:val="20"/>
          <w:color w:val="auto"/>
        </w:rPr>
      </w:pPr>
    </w:p>
    <w:p>
      <w:pPr>
        <w:ind w:right="3399" w:firstLine="437"/>
        <w:spacing w:after="0" w:line="237"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24th day of September, 1990.</w:t>
      </w:r>
    </w:p>
    <w:p>
      <w:pPr>
        <w:spacing w:after="0"/>
        <w:rPr>
          <w:sz w:val="20"/>
          <w:szCs w:val="20"/>
          <w:color w:val="auto"/>
        </w:rPr>
      </w:pPr>
      <w:r>
        <w:rPr>
          <w:rFonts w:ascii="Courier New" w:cs="Courier New" w:eastAsia="Courier New" w:hAnsi="Courier New"/>
          <w:sz w:val="15"/>
          <w:szCs w:val="15"/>
          <w:color w:val="auto"/>
        </w:rPr>
        <w:t>Cathy L. Smith -----------Corporate</w:t>
      </w:r>
    </w:p>
    <w:p>
      <w:pPr>
        <w:spacing w:after="0" w:line="237" w:lineRule="auto"/>
        <w:rPr>
          <w:sz w:val="20"/>
          <w:szCs w:val="20"/>
          <w:color w:val="auto"/>
        </w:rPr>
      </w:pPr>
      <w:r>
        <w:rPr>
          <w:rFonts w:ascii="Courier New" w:cs="Courier New" w:eastAsia="Courier New" w:hAnsi="Courier New"/>
          <w:sz w:val="15"/>
          <w:szCs w:val="15"/>
          <w:color w:val="auto"/>
        </w:rPr>
        <w:t>Secretary</w:t>
      </w: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39"/>
          </w:cols>
          <w:pgMar w:left="220" w:top="598"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5"/>
          <w:szCs w:val="15"/>
          <w:color w:val="auto"/>
        </w:rPr>
        <w:t>CERTIFICATE OF ELEVENTH AMENDMENT TO THE BYLAWS OF MICRON TECHNOLOGY, INC.</w:t>
      </w:r>
    </w:p>
    <w:p>
      <w:pPr>
        <w:spacing w:after="0" w:line="335" w:lineRule="exact"/>
        <w:rPr>
          <w:sz w:val="20"/>
          <w:szCs w:val="20"/>
          <w:color w:val="auto"/>
        </w:rPr>
      </w:pPr>
    </w:p>
    <w:p>
      <w:pPr>
        <w:ind w:right="3399" w:firstLine="437"/>
        <w:spacing w:after="0" w:line="290"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 adopted by the Board of Directors on July 27, 1992:</w:t>
      </w:r>
    </w:p>
    <w:p>
      <w:pPr>
        <w:spacing w:after="0" w:line="57" w:lineRule="exact"/>
        <w:rPr>
          <w:sz w:val="20"/>
          <w:szCs w:val="20"/>
          <w:color w:val="auto"/>
        </w:rPr>
      </w:pPr>
    </w:p>
    <w:p>
      <w:pPr>
        <w:ind w:right="3759" w:firstLine="437"/>
        <w:spacing w:after="0" w:line="255" w:lineRule="auto"/>
        <w:rPr>
          <w:sz w:val="20"/>
          <w:szCs w:val="20"/>
          <w:color w:val="auto"/>
        </w:rPr>
      </w:pPr>
      <w:r>
        <w:rPr>
          <w:rFonts w:ascii="Courier New" w:cs="Courier New" w:eastAsia="Courier New" w:hAnsi="Courier New"/>
          <w:sz w:val="15"/>
          <w:szCs w:val="15"/>
          <w:color w:val="auto"/>
        </w:rPr>
        <w:t>RESOLVED: Article III Section 1 of the Bylaws of this corporation are hereby amended to read as follows:</w:t>
      </w:r>
    </w:p>
    <w:p>
      <w:pPr>
        <w:spacing w:after="0" w:line="1" w:lineRule="exact"/>
        <w:rPr>
          <w:sz w:val="20"/>
          <w:szCs w:val="20"/>
          <w:color w:val="auto"/>
        </w:rPr>
      </w:pPr>
    </w:p>
    <w:p>
      <w:pPr>
        <w:ind w:right="3499" w:firstLine="87"/>
        <w:spacing w:after="0" w:line="285" w:lineRule="auto"/>
        <w:rPr>
          <w:sz w:val="20"/>
          <w:szCs w:val="20"/>
          <w:color w:val="auto"/>
        </w:rPr>
      </w:pPr>
      <w:r>
        <w:rPr>
          <w:rFonts w:ascii="Courier New" w:cs="Courier New" w:eastAsia="Courier New" w:hAnsi="Courier New"/>
          <w:sz w:val="14"/>
          <w:szCs w:val="14"/>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62"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27th day of July, 1992.</w:t>
      </w:r>
    </w:p>
    <w:p>
      <w:pPr>
        <w:spacing w:after="0"/>
        <w:rPr>
          <w:sz w:val="20"/>
          <w:szCs w:val="20"/>
          <w:color w:val="auto"/>
        </w:rPr>
      </w:pPr>
      <w:r>
        <w:rPr>
          <w:rFonts w:ascii="Courier New" w:cs="Courier New" w:eastAsia="Courier New" w:hAnsi="Courier New"/>
          <w:sz w:val="15"/>
          <w:szCs w:val="15"/>
          <w:color w:val="auto"/>
        </w:rPr>
        <w:t>Cathy L. Smith -----------Corporate</w:t>
      </w:r>
    </w:p>
    <w:p>
      <w:pPr>
        <w:spacing w:after="0"/>
        <w:rPr>
          <w:sz w:val="20"/>
          <w:szCs w:val="20"/>
          <w:color w:val="auto"/>
        </w:rPr>
      </w:pPr>
      <w:r>
        <w:rPr>
          <w:rFonts w:ascii="Courier New" w:cs="Courier New" w:eastAsia="Courier New" w:hAnsi="Courier New"/>
          <w:sz w:val="15"/>
          <w:szCs w:val="15"/>
          <w:color w:val="auto"/>
        </w:rPr>
        <w:t>Secretary</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 TWELFTH AMENDMENT TO THE BYLAWS OF MICRON TECHNOLOGY, INC.</w:t>
      </w:r>
    </w:p>
    <w:p>
      <w:pPr>
        <w:spacing w:after="0" w:line="335" w:lineRule="exact"/>
        <w:rPr>
          <w:sz w:val="20"/>
          <w:szCs w:val="20"/>
          <w:color w:val="auto"/>
        </w:rPr>
      </w:pPr>
    </w:p>
    <w:p>
      <w:pPr>
        <w:jc w:val="both"/>
        <w:ind w:right="3579"/>
        <w:spacing w:after="0" w:line="249"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 adopted by the Board of Directors on May 23, 1994:</w:t>
      </w:r>
    </w:p>
    <w:p>
      <w:pPr>
        <w:spacing w:after="0" w:line="2" w:lineRule="exact"/>
        <w:rPr>
          <w:sz w:val="20"/>
          <w:szCs w:val="20"/>
          <w:color w:val="auto"/>
        </w:rPr>
      </w:pPr>
    </w:p>
    <w:p>
      <w:pPr>
        <w:ind w:right="3679" w:firstLine="437"/>
        <w:spacing w:after="0" w:line="237" w:lineRule="auto"/>
        <w:rPr>
          <w:sz w:val="20"/>
          <w:szCs w:val="20"/>
          <w:color w:val="auto"/>
        </w:rPr>
      </w:pPr>
      <w:r>
        <w:rPr>
          <w:rFonts w:ascii="Courier New" w:cs="Courier New" w:eastAsia="Courier New" w:hAnsi="Courier New"/>
          <w:sz w:val="15"/>
          <w:szCs w:val="15"/>
          <w:color w:val="auto"/>
        </w:rPr>
        <w:t>RESOLVED: Article III, Section I of the Bylaws of this corporation are hereby amended to read as follows:</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SECTION I. The authorized number of directors of the Corporation shall be ten.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number of directors provided in this Section</w:t>
      </w:r>
    </w:p>
    <w:p>
      <w:pPr>
        <w:sectPr>
          <w:pgSz w:w="11900" w:h="16838" w:orient="portrait"/>
          <w:cols w:equalWidth="0" w:num="1">
            <w:col w:w="10239"/>
          </w:cols>
          <w:pgMar w:left="220" w:top="598" w:right="1440" w:bottom="1440" w:gutter="0" w:footer="0" w:header="0"/>
        </w:sectPr>
      </w:pPr>
    </w:p>
    <w:bookmarkStart w:id="70" w:name="page71"/>
    <w:bookmarkEnd w:id="70"/>
    <w:p>
      <w:pPr>
        <w:jc w:val="both"/>
        <w:ind w:right="3399"/>
        <w:spacing w:after="0" w:line="290" w:lineRule="auto"/>
        <w:rPr>
          <w:sz w:val="20"/>
          <w:szCs w:val="20"/>
          <w:color w:val="auto"/>
        </w:rPr>
      </w:pPr>
      <w:r>
        <w:rPr>
          <w:rFonts w:ascii="Courier New" w:cs="Courier New" w:eastAsia="Courier New" w:hAnsi="Courier New"/>
          <w:sz w:val="15"/>
          <w:szCs w:val="15"/>
          <w:color w:val="auto"/>
        </w:rPr>
        <w:t>I may be changed by a Bylaw duly adopted by the affirmative vote of a majority of the outstanding shares entitled to vote or by a resolution of the Board of Directors.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8"/>
              </w:rPr>
              <w:t>IN WITNESS WHEREOF, I hereunto</w:t>
            </w:r>
          </w:p>
        </w:tc>
        <w:tc>
          <w:tcPr>
            <w:tcW w:w="3720" w:type="dxa"/>
            <w:vAlign w:val="bottom"/>
          </w:tcPr>
          <w:p>
            <w:pPr>
              <w:ind w:left="40"/>
              <w:spacing w:after="0"/>
              <w:rPr>
                <w:sz w:val="20"/>
                <w:szCs w:val="20"/>
                <w:color w:val="auto"/>
              </w:rPr>
            </w:pPr>
            <w:r>
              <w:rPr>
                <w:rFonts w:ascii="Courier New" w:cs="Courier New" w:eastAsia="Courier New" w:hAnsi="Courier New"/>
                <w:sz w:val="15"/>
                <w:szCs w:val="15"/>
                <w:color w:val="auto"/>
                <w:w w:val="96"/>
              </w:rPr>
              <w:t>set my hand and affixed the corporate seal</w:t>
            </w:r>
          </w:p>
        </w:tc>
      </w:tr>
      <w:tr>
        <w:trPr>
          <w:trHeight w:val="168"/>
        </w:trPr>
        <w:tc>
          <w:tcPr>
            <w:tcW w:w="3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of said corporation effective as of</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23rd day of May, 1994.</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Cathy L. Smith -----------------</w:t>
            </w:r>
          </w:p>
        </w:tc>
        <w:tc>
          <w:tcPr>
            <w:tcW w:w="4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Corporate</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Secretary</w:t>
            </w:r>
          </w:p>
        </w:tc>
        <w:tc>
          <w:tcPr>
            <w:tcW w:w="320" w:type="dxa"/>
            <w:vAlign w:val="bottom"/>
          </w:tcPr>
          <w:p>
            <w:pPr>
              <w:spacing w:after="0"/>
              <w:rPr>
                <w:sz w:val="14"/>
                <w:szCs w:val="14"/>
                <w:color w:val="auto"/>
              </w:rPr>
            </w:pPr>
          </w:p>
        </w:tc>
        <w:tc>
          <w:tcPr>
            <w:tcW w:w="3720" w:type="dxa"/>
            <w:vAlign w:val="bottom"/>
          </w:tcPr>
          <w:p>
            <w:pPr>
              <w:spacing w:after="0"/>
              <w:rPr>
                <w:sz w:val="14"/>
                <w:szCs w:val="14"/>
                <w:color w:val="auto"/>
              </w:rPr>
            </w:pPr>
          </w:p>
        </w:tc>
      </w:tr>
      <w:tr>
        <w:trPr>
          <w:trHeight w:val="245"/>
        </w:trPr>
        <w:tc>
          <w:tcPr>
            <w:tcW w:w="2800" w:type="dxa"/>
            <w:vAlign w:val="bottom"/>
          </w:tcPr>
          <w:p>
            <w:pPr>
              <w:spacing w:after="0"/>
              <w:rPr>
                <w:sz w:val="20"/>
                <w:szCs w:val="20"/>
                <w:color w:val="auto"/>
              </w:rPr>
            </w:pPr>
            <w:r>
              <w:rPr>
                <w:rFonts w:ascii="Courier New" w:cs="Courier New" w:eastAsia="Courier New" w:hAnsi="Courier New"/>
                <w:sz w:val="15"/>
                <w:szCs w:val="15"/>
                <w:color w:val="auto"/>
              </w:rPr>
              <w:t>(SEAL)</w:t>
            </w:r>
          </w:p>
        </w:tc>
        <w:tc>
          <w:tcPr>
            <w:tcW w:w="320" w:type="dxa"/>
            <w:vAlign w:val="bottom"/>
          </w:tcPr>
          <w:p>
            <w:pPr>
              <w:spacing w:after="0"/>
              <w:rPr>
                <w:sz w:val="21"/>
                <w:szCs w:val="21"/>
                <w:color w:val="auto"/>
              </w:rPr>
            </w:pPr>
          </w:p>
        </w:tc>
        <w:tc>
          <w:tcPr>
            <w:tcW w:w="3720" w:type="dxa"/>
            <w:vAlign w:val="bottom"/>
          </w:tcPr>
          <w:p>
            <w:pPr>
              <w:spacing w:after="0"/>
              <w:rPr>
                <w:sz w:val="21"/>
                <w:szCs w:val="21"/>
                <w:color w:val="auto"/>
              </w:rPr>
            </w:pPr>
          </w:p>
        </w:tc>
      </w:tr>
      <w:tr>
        <w:trPr>
          <w:trHeight w:val="505"/>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w w:val="98"/>
              </w:rPr>
              <w:t>CERTIFICATE OF THIRTEENTH AMENDMENT</w:t>
            </w:r>
          </w:p>
        </w:tc>
        <w:tc>
          <w:tcPr>
            <w:tcW w:w="3720" w:type="dxa"/>
            <w:vAlign w:val="bottom"/>
          </w:tcPr>
          <w:p>
            <w:pPr>
              <w:ind w:left="40"/>
              <w:spacing w:after="0"/>
              <w:rPr>
                <w:sz w:val="20"/>
                <w:szCs w:val="20"/>
                <w:color w:val="auto"/>
              </w:rPr>
            </w:pPr>
            <w:r>
              <w:rPr>
                <w:rFonts w:ascii="Courier New" w:cs="Courier New" w:eastAsia="Courier New" w:hAnsi="Courier New"/>
                <w:sz w:val="15"/>
                <w:szCs w:val="15"/>
                <w:color w:val="auto"/>
              </w:rPr>
              <w:t>TO THE BYLAWS OF MICRON TECHNOLOGY, INC.</w:t>
            </w:r>
          </w:p>
        </w:tc>
      </w:tr>
    </w:tbl>
    <w:p>
      <w:pPr>
        <w:spacing w:after="0" w:line="259" w:lineRule="exact"/>
        <w:rPr>
          <w:sz w:val="20"/>
          <w:szCs w:val="20"/>
          <w:color w:val="auto"/>
        </w:rPr>
      </w:pPr>
    </w:p>
    <w:p>
      <w:pPr>
        <w:ind w:right="3319" w:firstLine="262"/>
        <w:spacing w:after="0" w:line="290"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 adopted by the Board of Directors on September 1, 1994:</w:t>
      </w:r>
    </w:p>
    <w:p>
      <w:pPr>
        <w:spacing w:after="0" w:line="57" w:lineRule="exact"/>
        <w:rPr>
          <w:sz w:val="20"/>
          <w:szCs w:val="20"/>
          <w:color w:val="auto"/>
        </w:rPr>
      </w:pPr>
    </w:p>
    <w:p>
      <w:pPr>
        <w:ind w:right="3679" w:firstLine="437"/>
        <w:spacing w:after="0" w:line="255" w:lineRule="auto"/>
        <w:rPr>
          <w:sz w:val="20"/>
          <w:szCs w:val="20"/>
          <w:color w:val="auto"/>
        </w:rPr>
      </w:pPr>
      <w:r>
        <w:rPr>
          <w:rFonts w:ascii="Courier New" w:cs="Courier New" w:eastAsia="Courier New" w:hAnsi="Courier New"/>
          <w:sz w:val="15"/>
          <w:szCs w:val="15"/>
          <w:color w:val="auto"/>
        </w:rPr>
        <w:t>RESOLVED: Article III, Section I of the Bylaws of this corporation are hereby amended to read as follows:</w:t>
      </w:r>
    </w:p>
    <w:p>
      <w:pPr>
        <w:spacing w:after="0" w:line="1" w:lineRule="exact"/>
        <w:rPr>
          <w:sz w:val="20"/>
          <w:szCs w:val="20"/>
          <w:color w:val="auto"/>
        </w:rPr>
      </w:pPr>
    </w:p>
    <w:p>
      <w:pPr>
        <w:ind w:right="3399" w:firstLine="87"/>
        <w:spacing w:after="0" w:line="285" w:lineRule="auto"/>
        <w:rPr>
          <w:sz w:val="20"/>
          <w:szCs w:val="20"/>
          <w:color w:val="auto"/>
        </w:rPr>
      </w:pPr>
      <w:r>
        <w:rPr>
          <w:rFonts w:ascii="Courier New" w:cs="Courier New" w:eastAsia="Courier New" w:hAnsi="Courier New"/>
          <w:sz w:val="14"/>
          <w:szCs w:val="14"/>
          <w:color w:val="auto"/>
        </w:rPr>
        <w:t>SECTION I. The authorized number of directors of the Corporation shall be eleven. The number of directors provided in this Section I may be changed by a Bylaw duly adopted by the affirmative vote of a majority of the outstanding shares entitled to vote or by a resolution of the Board of Directors.</w:t>
      </w:r>
    </w:p>
    <w:p>
      <w:pPr>
        <w:spacing w:after="0" w:line="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WITNESS WHEREOF, I hereunto set my hand and affixed the corporate seal</w:t>
      </w:r>
    </w:p>
    <w:p>
      <w:pPr>
        <w:spacing w:after="0" w:line="34" w:lineRule="exact"/>
        <w:rPr>
          <w:sz w:val="20"/>
          <w:szCs w:val="20"/>
          <w:color w:val="auto"/>
        </w:rPr>
      </w:pPr>
    </w:p>
    <w:p>
      <w:pPr>
        <w:spacing w:after="0"/>
        <w:tabs>
          <w:tab w:leader="none" w:pos="5940" w:val="left"/>
        </w:tabs>
        <w:rPr>
          <w:sz w:val="20"/>
          <w:szCs w:val="20"/>
          <w:color w:val="auto"/>
        </w:rPr>
      </w:pPr>
      <w:r>
        <w:rPr>
          <w:rFonts w:ascii="Courier New" w:cs="Courier New" w:eastAsia="Courier New" w:hAnsi="Courier New"/>
          <w:sz w:val="15"/>
          <w:szCs w:val="15"/>
          <w:color w:val="auto"/>
        </w:rPr>
        <w:t>of said corporation effective as of the 1st day of September</w:t>
      </w:r>
      <w:r>
        <w:rPr>
          <w:sz w:val="20"/>
          <w:szCs w:val="20"/>
          <w:color w:val="auto"/>
        </w:rPr>
        <w:tab/>
      </w:r>
      <w:r>
        <w:rPr>
          <w:rFonts w:ascii="Courier New" w:cs="Courier New" w:eastAsia="Courier New" w:hAnsi="Courier New"/>
          <w:sz w:val="14"/>
          <w:szCs w:val="14"/>
          <w:color w:val="auto"/>
        </w:rPr>
        <w:t>, 1994.</w:t>
      </w:r>
    </w:p>
    <w:p>
      <w:pPr>
        <w:spacing w:after="0" w:line="237" w:lineRule="auto"/>
        <w:rPr>
          <w:sz w:val="20"/>
          <w:szCs w:val="20"/>
          <w:color w:val="auto"/>
        </w:rPr>
      </w:pPr>
      <w:r>
        <w:rPr>
          <w:rFonts w:ascii="Courier New" w:cs="Courier New" w:eastAsia="Courier New" w:hAnsi="Courier New"/>
          <w:sz w:val="15"/>
          <w:szCs w:val="15"/>
          <w:color w:val="auto"/>
        </w:rPr>
        <w:t>Cathy L. Smith -----------------Corporate</w:t>
      </w:r>
    </w:p>
    <w:p>
      <w:pPr>
        <w:spacing w:after="0" w:line="238" w:lineRule="auto"/>
        <w:rPr>
          <w:sz w:val="20"/>
          <w:szCs w:val="20"/>
          <w:color w:val="auto"/>
        </w:rPr>
      </w:pPr>
      <w:r>
        <w:rPr>
          <w:rFonts w:ascii="Courier New" w:cs="Courier New" w:eastAsia="Courier New" w:hAnsi="Courier New"/>
          <w:sz w:val="15"/>
          <w:szCs w:val="15"/>
          <w:color w:val="auto"/>
        </w:rPr>
        <w:t>Secretary</w:t>
      </w:r>
    </w:p>
    <w:p>
      <w:pPr>
        <w:spacing w:after="0"/>
        <w:rPr>
          <w:sz w:val="20"/>
          <w:szCs w:val="20"/>
          <w:color w:val="auto"/>
        </w:rPr>
      </w:pPr>
      <w:r>
        <w:rPr>
          <w:rFonts w:ascii="Courier New" w:cs="Courier New" w:eastAsia="Courier New" w:hAnsi="Courier New"/>
          <w:sz w:val="15"/>
          <w:szCs w:val="15"/>
          <w:color w:val="auto"/>
        </w:rPr>
        <w:t>(SEAL)</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 FOURTEENTH AMENDMENT TO THE BYLAWS OF MICRON TECHNOLOGY, INC.</w:t>
      </w:r>
    </w:p>
    <w:p>
      <w:pPr>
        <w:sectPr>
          <w:pgSz w:w="11900" w:h="16838" w:orient="portrait"/>
          <w:cols w:equalWidth="0" w:num="1">
            <w:col w:w="10239"/>
          </w:cols>
          <w:pgMar w:left="220" w:top="598" w:right="1440" w:bottom="1440" w:gutter="0" w:footer="0" w:header="0"/>
        </w:sectPr>
      </w:pPr>
    </w:p>
    <w:bookmarkStart w:id="71" w:name="page72"/>
    <w:bookmarkEnd w:id="71"/>
    <w:p>
      <w:pPr>
        <w:ind w:right="3399" w:firstLine="437"/>
        <w:spacing w:after="0" w:line="290"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 adopted by the Board of Directors on October 27, 1994:</w:t>
      </w:r>
    </w:p>
    <w:p>
      <w:pPr>
        <w:spacing w:after="0" w:line="57" w:lineRule="exact"/>
        <w:rPr>
          <w:sz w:val="20"/>
          <w:szCs w:val="20"/>
          <w:color w:val="auto"/>
        </w:rPr>
      </w:pPr>
    </w:p>
    <w:p>
      <w:pPr>
        <w:ind w:right="3399" w:firstLine="87"/>
        <w:spacing w:after="0" w:line="255" w:lineRule="auto"/>
        <w:rPr>
          <w:sz w:val="20"/>
          <w:szCs w:val="20"/>
          <w:color w:val="auto"/>
        </w:rPr>
      </w:pPr>
      <w:r>
        <w:rPr>
          <w:rFonts w:ascii="Courier New" w:cs="Courier New" w:eastAsia="Courier New" w:hAnsi="Courier New"/>
          <w:sz w:val="15"/>
          <w:szCs w:val="15"/>
          <w:color w:val="auto"/>
        </w:rPr>
        <w:t>RESOLVED: Article III, Section I of the Bylaws of this corporation are hereby amended to read as follows:</w:t>
      </w:r>
    </w:p>
    <w:p>
      <w:pPr>
        <w:spacing w:after="0" w:line="1"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SECTION I. The authorized number of directors of the Corporation shall be ten. The number of directors provided in this Section I may be changed by a Bylaw duly adopted by the affirmative vote of a majority of the outstanding shares entitled to vote or by a resolution of the Board of Directors.</w:t>
      </w:r>
    </w:p>
    <w:p>
      <w:pPr>
        <w:spacing w:after="0" w:line="1" w:lineRule="exact"/>
        <w:rPr>
          <w:sz w:val="20"/>
          <w:szCs w:val="20"/>
          <w:color w:val="auto"/>
        </w:rPr>
      </w:pPr>
    </w:p>
    <w:p>
      <w:pPr>
        <w:ind w:right="3399" w:firstLine="437"/>
        <w:spacing w:after="0" w:line="237"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27th day of October, 1994.</w:t>
      </w:r>
    </w:p>
    <w:p>
      <w:pPr>
        <w:spacing w:after="0"/>
        <w:rPr>
          <w:sz w:val="20"/>
          <w:szCs w:val="20"/>
          <w:color w:val="auto"/>
        </w:rPr>
      </w:pPr>
      <w:r>
        <w:rPr>
          <w:rFonts w:ascii="Courier New" w:cs="Courier New" w:eastAsia="Courier New" w:hAnsi="Courier New"/>
          <w:sz w:val="15"/>
          <w:szCs w:val="15"/>
          <w:color w:val="auto"/>
        </w:rPr>
        <w:t>Cathy L. Smith -----------------Corporate</w:t>
      </w:r>
    </w:p>
    <w:p>
      <w:pPr>
        <w:spacing w:after="0" w:line="237" w:lineRule="auto"/>
        <w:rPr>
          <w:sz w:val="20"/>
          <w:szCs w:val="20"/>
          <w:color w:val="auto"/>
        </w:rPr>
      </w:pPr>
      <w:r>
        <w:rPr>
          <w:rFonts w:ascii="Courier New" w:cs="Courier New" w:eastAsia="Courier New" w:hAnsi="Courier New"/>
          <w:sz w:val="15"/>
          <w:szCs w:val="15"/>
          <w:color w:val="auto"/>
        </w:rPr>
        <w:t>Secretary</w:t>
      </w:r>
    </w:p>
    <w:p>
      <w:pPr>
        <w:spacing w:after="0"/>
        <w:rPr>
          <w:sz w:val="20"/>
          <w:szCs w:val="20"/>
          <w:color w:val="auto"/>
        </w:rPr>
      </w:pPr>
      <w:r>
        <w:rPr>
          <w:rFonts w:ascii="Courier New" w:cs="Courier New" w:eastAsia="Courier New" w:hAnsi="Courier New"/>
          <w:sz w:val="15"/>
          <w:szCs w:val="15"/>
          <w:color w:val="auto"/>
        </w:rPr>
        <w:t>(SEAL)</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 FIFTEENTH AMENDMENT TO THE BYLAWS OF MICRON TECHNOLOGY, INC.</w:t>
      </w:r>
    </w:p>
    <w:p>
      <w:pPr>
        <w:spacing w:after="0" w:line="166" w:lineRule="exact"/>
        <w:rPr>
          <w:sz w:val="20"/>
          <w:szCs w:val="20"/>
          <w:color w:val="auto"/>
        </w:rPr>
      </w:pPr>
    </w:p>
    <w:p>
      <w:pPr>
        <w:jc w:val="both"/>
        <w:ind w:right="3579"/>
        <w:spacing w:after="0" w:line="249" w:lineRule="auto"/>
        <w:rPr>
          <w:sz w:val="20"/>
          <w:szCs w:val="20"/>
          <w:color w:val="auto"/>
        </w:rPr>
      </w:pPr>
      <w:r>
        <w:rPr>
          <w:rFonts w:ascii="Courier New" w:cs="Courier New" w:eastAsia="Courier New" w:hAnsi="Courier New"/>
          <w:sz w:val="15"/>
          <w:szCs w:val="15"/>
          <w:color w:val="auto"/>
        </w:rPr>
        <w:t>I, Jan R. Reimer, Assistant Secretary of Micron Technology, Inc., a Delaware corporation, hereby certify that the following resolution was adopted by the Board of Directors on February 5, 1996:</w:t>
      </w:r>
    </w:p>
    <w:p>
      <w:pPr>
        <w:spacing w:after="0" w:line="2" w:lineRule="exact"/>
        <w:rPr>
          <w:sz w:val="20"/>
          <w:szCs w:val="20"/>
          <w:color w:val="auto"/>
        </w:rPr>
      </w:pPr>
    </w:p>
    <w:p>
      <w:pPr>
        <w:ind w:left="880" w:right="3319"/>
        <w:spacing w:after="0" w:line="237" w:lineRule="auto"/>
        <w:rPr>
          <w:sz w:val="20"/>
          <w:szCs w:val="20"/>
          <w:color w:val="auto"/>
        </w:rPr>
      </w:pPr>
      <w:r>
        <w:rPr>
          <w:rFonts w:ascii="Courier New" w:cs="Courier New" w:eastAsia="Courier New" w:hAnsi="Courier New"/>
          <w:sz w:val="15"/>
          <w:szCs w:val="15"/>
          <w:color w:val="auto"/>
        </w:rPr>
        <w:t>RESOLVED, that pursuant to Article VIII, Section 1 of the Company's Bylaws, the Board hereby amends Article V, Section 1 of the Bylaws to read in its entirety as follows:</w:t>
      </w:r>
    </w:p>
    <w:p>
      <w:pPr>
        <w:spacing w:after="0" w:line="1"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The officers of the corporation shall be chosen by the Board of Directors, and shall be a president or chief executive officer, a secretary, and a treasurer. The Board of Directors may also choose additional officers, including a president, vice president(s), and one or more assistant secretaries and assistant treasurers. Any number of offices may be held by the same person, unless the Certificate of Incorporation or these Bylaws otherwise provide.</w:t>
      </w:r>
    </w:p>
    <w:p>
      <w:pPr>
        <w:spacing w:after="0" w:line="2" w:lineRule="exact"/>
        <w:rPr>
          <w:sz w:val="20"/>
          <w:szCs w:val="20"/>
          <w:color w:val="auto"/>
        </w:rPr>
      </w:pPr>
    </w:p>
    <w:p>
      <w:pPr>
        <w:ind w:left="440"/>
        <w:spacing w:after="0"/>
        <w:tabs>
          <w:tab w:leader="none" w:pos="2260" w:val="left"/>
        </w:tabs>
        <w:rPr>
          <w:sz w:val="20"/>
          <w:szCs w:val="20"/>
          <w:color w:val="auto"/>
        </w:rPr>
      </w:pPr>
      <w:r>
        <w:rPr>
          <w:rFonts w:ascii="Courier New" w:cs="Courier New" w:eastAsia="Courier New" w:hAnsi="Courier New"/>
          <w:sz w:val="15"/>
          <w:szCs w:val="15"/>
          <w:color w:val="auto"/>
        </w:rPr>
        <w:t>IN WITNESS WHEREOF,</w:t>
      </w:r>
      <w:r>
        <w:rPr>
          <w:sz w:val="20"/>
          <w:szCs w:val="20"/>
          <w:color w:val="auto"/>
        </w:rPr>
        <w:tab/>
      </w:r>
      <w:r>
        <w:rPr>
          <w:rFonts w:ascii="Courier New" w:cs="Courier New" w:eastAsia="Courier New" w:hAnsi="Courier New"/>
          <w:sz w:val="14"/>
          <w:szCs w:val="14"/>
          <w:color w:val="auto"/>
        </w:rPr>
        <w:t>I hereunto set my hand</w:t>
      </w:r>
    </w:p>
    <w:p>
      <w:pPr>
        <w:sectPr>
          <w:pgSz w:w="11900" w:h="16838" w:orient="portrait"/>
          <w:cols w:equalWidth="0" w:num="1">
            <w:col w:w="10239"/>
          </w:cols>
          <w:pgMar w:left="220" w:top="598" w:right="1440" w:bottom="1440" w:gutter="0" w:footer="0" w:header="0"/>
        </w:sectPr>
      </w:pPr>
    </w:p>
    <w:bookmarkStart w:id="72" w:name="page73"/>
    <w:bookmarkEnd w:id="72"/>
    <w:p>
      <w:pPr>
        <w:jc w:val="both"/>
        <w:ind w:right="3399"/>
        <w:spacing w:after="0" w:line="255" w:lineRule="auto"/>
        <w:rPr>
          <w:sz w:val="20"/>
          <w:szCs w:val="20"/>
          <w:color w:val="auto"/>
        </w:rPr>
      </w:pPr>
      <w:r>
        <w:rPr>
          <w:rFonts w:ascii="Courier New" w:cs="Courier New" w:eastAsia="Courier New" w:hAnsi="Courier New"/>
          <w:sz w:val="15"/>
          <w:szCs w:val="15"/>
          <w:color w:val="auto"/>
        </w:rPr>
        <w:t>and affixed the corporate seal of said corporation effective as of the 7th day of February, 1996.</w:t>
      </w:r>
    </w:p>
    <w:p>
      <w:pPr>
        <w:spacing w:after="0"/>
        <w:rPr>
          <w:sz w:val="20"/>
          <w:szCs w:val="20"/>
          <w:color w:val="auto"/>
        </w:rPr>
      </w:pPr>
      <w:r>
        <w:rPr>
          <w:rFonts w:ascii="Courier New" w:cs="Courier New" w:eastAsia="Courier New" w:hAnsi="Courier New"/>
          <w:sz w:val="15"/>
          <w:szCs w:val="15"/>
          <w:color w:val="auto"/>
        </w:rPr>
        <w:t>Jan R. Reimer ---------------------Assistant</w:t>
      </w:r>
    </w:p>
    <w:p>
      <w:pPr>
        <w:spacing w:after="0"/>
        <w:rPr>
          <w:sz w:val="20"/>
          <w:szCs w:val="20"/>
          <w:color w:val="auto"/>
        </w:rPr>
      </w:pPr>
      <w:r>
        <w:rPr>
          <w:rFonts w:ascii="Courier New" w:cs="Courier New" w:eastAsia="Courier New" w:hAnsi="Courier New"/>
          <w:sz w:val="15"/>
          <w:szCs w:val="15"/>
          <w:color w:val="auto"/>
        </w:rPr>
        <w:t>Secretary (SEAL)</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 SIXTEENTH AMENDMENT TO THE BYLAWS OF MICRON TECHNOLOGY, INC.</w:t>
      </w:r>
    </w:p>
    <w:p>
      <w:pPr>
        <w:spacing w:after="0" w:line="166" w:lineRule="exact"/>
        <w:rPr>
          <w:sz w:val="20"/>
          <w:szCs w:val="20"/>
          <w:color w:val="auto"/>
        </w:rPr>
      </w:pPr>
    </w:p>
    <w:p>
      <w:pPr>
        <w:jc w:val="both"/>
        <w:ind w:right="3399" w:firstLine="175"/>
        <w:spacing w:after="0" w:line="249" w:lineRule="auto"/>
        <w:rPr>
          <w:sz w:val="20"/>
          <w:szCs w:val="20"/>
          <w:color w:val="auto"/>
        </w:rPr>
      </w:pPr>
      <w:r>
        <w:rPr>
          <w:rFonts w:ascii="Courier New" w:cs="Courier New" w:eastAsia="Courier New" w:hAnsi="Courier New"/>
          <w:sz w:val="15"/>
          <w:szCs w:val="15"/>
          <w:color w:val="auto"/>
        </w:rPr>
        <w:t>I, Jan R. Reimer, Assistant Secretary of Micron Technology, Inc., a Delaware corporation, hereby certify that the following resolutions were adopted by the Board of Directors on September 30, 1996:</w:t>
      </w:r>
    </w:p>
    <w:p>
      <w:pPr>
        <w:spacing w:after="0" w:line="2" w:lineRule="exact"/>
        <w:rPr>
          <w:sz w:val="20"/>
          <w:szCs w:val="20"/>
          <w:color w:val="auto"/>
        </w:rPr>
      </w:pPr>
    </w:p>
    <w:p>
      <w:pPr>
        <w:ind w:right="3319" w:firstLine="1049"/>
        <w:spacing w:after="0" w:line="237" w:lineRule="auto"/>
        <w:rPr>
          <w:sz w:val="20"/>
          <w:szCs w:val="20"/>
          <w:color w:val="auto"/>
        </w:rPr>
      </w:pPr>
      <w:r>
        <w:rPr>
          <w:rFonts w:ascii="Courier New" w:cs="Courier New" w:eastAsia="Courier New" w:hAnsi="Courier New"/>
          <w:sz w:val="15"/>
          <w:szCs w:val="15"/>
          <w:color w:val="auto"/>
        </w:rPr>
        <w:t>RESOLVED, that Article II, Section 10 of the Bylaws of this Company be amended to read as follows:</w:t>
      </w:r>
    </w:p>
    <w:p>
      <w:pPr>
        <w:spacing w:after="0" w:line="1" w:lineRule="exact"/>
        <w:rPr>
          <w:sz w:val="20"/>
          <w:szCs w:val="20"/>
          <w:color w:val="auto"/>
        </w:rPr>
      </w:pPr>
    </w:p>
    <w:p>
      <w:pPr>
        <w:ind w:right="3239" w:firstLine="962"/>
        <w:spacing w:after="0" w:line="254" w:lineRule="auto"/>
        <w:rPr>
          <w:sz w:val="20"/>
          <w:szCs w:val="20"/>
          <w:color w:val="auto"/>
        </w:rPr>
      </w:pPr>
      <w:r>
        <w:rPr>
          <w:rFonts w:ascii="Courier New" w:cs="Courier New" w:eastAsia="Courier New" w:hAnsi="Courier New"/>
          <w:sz w:val="14"/>
          <w:szCs w:val="14"/>
          <w:color w:val="auto"/>
        </w:rPr>
        <w:t>SECTION 10. 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written notice to Secretary of the corporation of the stockholder's intention to cumulate votes at least 15 days prior to the date of the meeting. If any stockholder has given such notice, all stockholders may cumulate their votes for candidates in nomination.</w:t>
      </w:r>
    </w:p>
    <w:p>
      <w:pPr>
        <w:spacing w:after="0" w:line="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RESOLVED FURTHER, that Article II of the Bylaws of this Company be amended to add Section 12, which will read in its entirety as follows:</w:t>
      </w:r>
    </w:p>
    <w:p>
      <w:pPr>
        <w:spacing w:after="0" w:line="1" w:lineRule="exact"/>
        <w:rPr>
          <w:sz w:val="20"/>
          <w:szCs w:val="20"/>
          <w:color w:val="auto"/>
        </w:rPr>
      </w:pPr>
    </w:p>
    <w:p>
      <w:pPr>
        <w:ind w:left="540" w:right="3939"/>
        <w:spacing w:after="0" w:line="237" w:lineRule="auto"/>
        <w:rPr>
          <w:sz w:val="20"/>
          <w:szCs w:val="20"/>
          <w:color w:val="auto"/>
        </w:rPr>
      </w:pPr>
      <w:r>
        <w:rPr>
          <w:rFonts w:ascii="Courier New" w:cs="Courier New" w:eastAsia="Courier New" w:hAnsi="Courier New"/>
          <w:sz w:val="15"/>
          <w:szCs w:val="15"/>
          <w:color w:val="auto"/>
        </w:rPr>
        <w:t>SECTION 12. Advance Notice of Stockholder Nominees and Stockholder Business</w:t>
      </w:r>
    </w:p>
    <w:p>
      <w:pPr>
        <w:spacing w:after="0" w:line="1" w:lineRule="exact"/>
        <w:rPr>
          <w:sz w:val="20"/>
          <w:szCs w:val="20"/>
          <w:color w:val="auto"/>
        </w:rPr>
      </w:pPr>
    </w:p>
    <w:p>
      <w:pPr>
        <w:ind w:left="540" w:right="3499" w:firstLine="782"/>
        <w:spacing w:after="0" w:line="307" w:lineRule="auto"/>
        <w:tabs>
          <w:tab w:leader="none" w:pos="167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properly brought before an annual meeting or special meeting, nominations for the election of directors</w:t>
      </w:r>
    </w:p>
    <w:p>
      <w:pPr>
        <w:sectPr>
          <w:pgSz w:w="11900" w:h="16838" w:orient="portrait"/>
          <w:cols w:equalWidth="0" w:num="1">
            <w:col w:w="10239"/>
          </w:cols>
          <w:pgMar w:left="220" w:top="598" w:right="1440" w:bottom="1440" w:gutter="0" w:footer="0" w:header="0"/>
        </w:sectPr>
      </w:pPr>
    </w:p>
    <w:bookmarkStart w:id="73" w:name="page74"/>
    <w:bookmarkEnd w:id="73"/>
    <w:p>
      <w:pPr>
        <w:ind w:right="3239"/>
        <w:spacing w:after="0" w:line="244" w:lineRule="auto"/>
        <w:rPr>
          <w:sz w:val="20"/>
          <w:szCs w:val="20"/>
          <w:color w:val="auto"/>
        </w:rPr>
      </w:pPr>
      <w:r>
        <w:rPr>
          <w:rFonts w:ascii="Courier New" w:cs="Courier New" w:eastAsia="Courier New" w:hAnsi="Courier New"/>
          <w:sz w:val="15"/>
          <w:szCs w:val="15"/>
          <w:color w:val="auto"/>
        </w:rPr>
        <w:t>or other business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w:t>
      </w:r>
    </w:p>
    <w:p>
      <w:pPr>
        <w:spacing w:after="0" w:line="3" w:lineRule="exact"/>
        <w:rPr>
          <w:sz w:val="20"/>
          <w:szCs w:val="20"/>
          <w:color w:val="auto"/>
        </w:rPr>
      </w:pPr>
    </w:p>
    <w:p>
      <w:pPr>
        <w:ind w:left="-540" w:right="3319" w:firstLine="1322"/>
        <w:spacing w:after="0" w:line="258" w:lineRule="auto"/>
        <w:tabs>
          <w:tab w:leader="none" w:pos="1122"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 of the corporation not less than one hundred twenty (120) calendar days in advance of the date specified in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address, as they appear on the corporation's books, of the stockholder proposing such business, (iii) the class and number of shares of the corporation which are beneficially owned by the stockholder, (iv) any material interest of the stockholder in such business and (v) any other information that is required to be provided by the stockholder pursuant to Regulation 14A under the securities Exchange Act of 1934, as amended (the "Exchange Act"), in his capacity as a proponent to a stockholder proposal. Notwithstanding the foregoing, in order to</w:t>
      </w:r>
    </w:p>
    <w:p>
      <w:pPr>
        <w:sectPr>
          <w:pgSz w:w="11900" w:h="16838" w:orient="portrait"/>
          <w:cols w:equalWidth="0" w:num="1">
            <w:col w:w="9699"/>
          </w:cols>
          <w:pgMar w:left="760" w:top="598" w:right="1440" w:bottom="1440" w:gutter="0" w:footer="0" w:header="0"/>
        </w:sectPr>
      </w:pPr>
    </w:p>
    <w:bookmarkStart w:id="74" w:name="page75"/>
    <w:bookmarkEnd w:id="74"/>
    <w:p>
      <w:pPr>
        <w:ind w:right="3239"/>
        <w:spacing w:after="0" w:line="258" w:lineRule="auto"/>
        <w:rPr>
          <w:sz w:val="20"/>
          <w:szCs w:val="20"/>
          <w:color w:val="auto"/>
        </w:rPr>
      </w:pPr>
      <w:r>
        <w:rPr>
          <w:rFonts w:ascii="Courier New" w:cs="Courier New" w:eastAsia="Courier New" w:hAnsi="Courier New"/>
          <w:sz w:val="14"/>
          <w:szCs w:val="14"/>
          <w:color w:val="auto"/>
        </w:rPr>
        <w:t>include information with respect to a stockholder proposal in the proxy statement and form of proxy for a stockholders' meeting, stockholders must provide notice as required by the regulations promulgated under the Exchange Act. Notwithstanding anything in these bylaws to the contrary, no business shall be conducted at any annual meeting except in accordance with the procedures set forth in this Section 12. The chairman of the annual meeting shall, if the facts warrant, determine and declare at the meeting that business was not properly brought before the meeting and in accordance with the provisions of this Section 12, and, if he should so determine, he shall so declare at the meeting that any such business not properly brought before the meeting shall not be transacted.</w:t>
      </w:r>
    </w:p>
    <w:p>
      <w:pPr>
        <w:spacing w:after="0" w:line="3" w:lineRule="exact"/>
        <w:rPr>
          <w:sz w:val="20"/>
          <w:szCs w:val="20"/>
          <w:color w:val="auto"/>
        </w:rPr>
      </w:pPr>
    </w:p>
    <w:p>
      <w:pPr>
        <w:ind w:right="3239" w:firstLine="972"/>
        <w:spacing w:after="0" w:line="254" w:lineRule="auto"/>
        <w:tabs>
          <w:tab w:leader="none" w:pos="1312"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Only persons who are nominated in accordance with the procedures set forth in this paragraph (c) shall be eligible for election as directors. Nominations of persons for election to the Board of Directors of the corporation may be made at a meeting of stockholders by or at the direction of the Board of Directors or by any stockholder of the corporation entitled to vote in the election of directors at the meeting who complies with the notice procedures set forth in this paragraph (c). Such nominations, other than those made by or at the direction of the Board of Directors, shall be made pursuant to timely notice in writing to the Secretary of the corporation in accordance with the provisions of paragraph (b) of this Section 12. Such stockholder's notice shall set forth</w:t>
      </w:r>
    </w:p>
    <w:p>
      <w:pPr>
        <w:spacing w:after="0" w:line="3" w:lineRule="exact"/>
        <w:rPr>
          <w:rFonts w:ascii="Courier New" w:cs="Courier New" w:eastAsia="Courier New" w:hAnsi="Courier New"/>
          <w:sz w:val="14"/>
          <w:szCs w:val="14"/>
          <w:color w:val="auto"/>
        </w:rPr>
      </w:pPr>
    </w:p>
    <w:p>
      <w:pPr>
        <w:ind w:right="3319" w:firstLine="10"/>
        <w:spacing w:after="0" w:line="249" w:lineRule="auto"/>
        <w:tabs>
          <w:tab w:leader="none" w:pos="35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each person, if any, whom the stockholder proposes to nominate for election or re-election as a director: (A) the name, age, business address and residence address of such person, (B) the principal occupation or employment of such person, (C) the class and number of shares of the corporation which are beneficially owned by such person, (D) a description of all arrangements or understandings between the stockholder and each nominee and any other person or persons</w:t>
      </w:r>
    </w:p>
    <w:p>
      <w:pPr>
        <w:sectPr>
          <w:pgSz w:w="11900" w:h="16838" w:orient="portrait"/>
          <w:cols w:equalWidth="0" w:num="1">
            <w:col w:w="10239"/>
          </w:cols>
          <w:pgMar w:left="220" w:top="598" w:right="1440" w:bottom="1440" w:gutter="0" w:footer="0" w:header="0"/>
        </w:sectPr>
      </w:pPr>
    </w:p>
    <w:bookmarkStart w:id="75" w:name="page76"/>
    <w:bookmarkEnd w:id="75"/>
    <w:p>
      <w:pPr>
        <w:ind w:right="3239"/>
        <w:spacing w:after="0" w:line="259" w:lineRule="auto"/>
        <w:rPr>
          <w:sz w:val="20"/>
          <w:szCs w:val="20"/>
          <w:color w:val="auto"/>
        </w:rPr>
      </w:pPr>
      <w:r>
        <w:rPr>
          <w:rFonts w:ascii="Courier New" w:cs="Courier New" w:eastAsia="Courier New" w:hAnsi="Courier New"/>
          <w:sz w:val="14"/>
          <w:szCs w:val="14"/>
          <w:color w:val="auto"/>
        </w:rPr>
        <w:t>(naming such person or persons) pursuant to which the nominations are to be made by the stockholder and (E) any other information relating to such person that is required to be disclosed in solicitations of proxies for elections of directors, or is otherwise required, in each case pursuant to Regulation 14A under the Exchange Act (including without limitation such person's written consent to being named in the proxy statement, if any, as a nominee and to serving as a director if elected); and (ii) as to such stockholder giving notice, the information required to be provided pursuant to paragraph (b) of this Section</w:t>
      </w:r>
    </w:p>
    <w:p>
      <w:pPr>
        <w:spacing w:after="0" w:line="2" w:lineRule="exact"/>
        <w:rPr>
          <w:sz w:val="20"/>
          <w:szCs w:val="20"/>
          <w:color w:val="auto"/>
        </w:rPr>
      </w:pPr>
    </w:p>
    <w:p>
      <w:pPr>
        <w:ind w:right="3239" w:firstLine="10"/>
        <w:spacing w:after="0" w:line="237" w:lineRule="auto"/>
        <w:tabs>
          <w:tab w:leader="none" w:pos="35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request of the Board of Directors, any person nominated by a stockholder for election as a director shall furnish to the Secretary of the corporation that information required to be set forth in the stockholder's notice of nomination which pertains to the nominee. No person shall be eligible for election as a director of the corporation unless nominated in accordance with the procedures set forth in this paragraph (c). The chairman of the meeting shall, if the facts warrant, determine and declare at the meeting that a nomination was not made in accordance with the procedures prescribed by these bylaws; and if he should so determine, he shall so declare at the meeting, and the defective nomination shall be disregarded.</w:t>
      </w:r>
    </w:p>
    <w:p>
      <w:pPr>
        <w:spacing w:after="0" w:line="4" w:lineRule="exact"/>
        <w:rPr>
          <w:rFonts w:ascii="Courier New" w:cs="Courier New" w:eastAsia="Courier New" w:hAnsi="Courier New"/>
          <w:sz w:val="15"/>
          <w:szCs w:val="15"/>
          <w:color w:val="auto"/>
        </w:rPr>
      </w:pPr>
    </w:p>
    <w:p>
      <w:pPr>
        <w:ind w:right="3839" w:firstLine="525"/>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RESOLVED FURTHER, that Article III, Section 1 of the Bylaws of this Company be amended to read as follows:</w:t>
      </w:r>
    </w:p>
    <w:p>
      <w:pPr>
        <w:spacing w:after="0" w:line="1" w:lineRule="exact"/>
        <w:rPr>
          <w:sz w:val="20"/>
          <w:szCs w:val="20"/>
          <w:color w:val="auto"/>
        </w:rPr>
      </w:pPr>
    </w:p>
    <w:p>
      <w:pPr>
        <w:ind w:right="3239" w:firstLine="1399"/>
        <w:spacing w:after="0" w:line="237" w:lineRule="auto"/>
        <w:rPr>
          <w:sz w:val="20"/>
          <w:szCs w:val="20"/>
          <w:color w:val="auto"/>
        </w:rPr>
      </w:pPr>
      <w:r>
        <w:rPr>
          <w:rFonts w:ascii="Courier New" w:cs="Courier New" w:eastAsia="Courier New" w:hAnsi="Courier New"/>
          <w:sz w:val="15"/>
          <w:szCs w:val="15"/>
          <w:color w:val="auto"/>
        </w:rPr>
        <w:t>SECTION 1. The authorized number of directors of the Corporation shall be seven. The number of directors provided in this Section 1 may be changed by a Bylaw duly adopted by the affirmative vote of a majority of the outstanding shares entitled to vote or by a resolution of the Board of Directors.</w:t>
      </w:r>
    </w:p>
    <w:p>
      <w:pPr>
        <w:spacing w:after="0" w:line="2" w:lineRule="exact"/>
        <w:rPr>
          <w:sz w:val="20"/>
          <w:szCs w:val="20"/>
          <w:color w:val="auto"/>
        </w:rPr>
      </w:pPr>
    </w:p>
    <w:p>
      <w:pPr>
        <w:ind w:right="3579"/>
        <w:spacing w:after="0" w:line="307"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w:t>
      </w:r>
    </w:p>
    <w:p>
      <w:pPr>
        <w:sectPr>
          <w:pgSz w:w="11900" w:h="16838" w:orient="portrait"/>
          <w:cols w:equalWidth="0" w:num="1">
            <w:col w:w="10239"/>
          </w:cols>
          <w:pgMar w:left="220" w:top="598"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4"/>
          <w:szCs w:val="14"/>
          <w:color w:val="auto"/>
        </w:rPr>
        <w:t>corporation effective as of the 30th day of September, 1996.</w:t>
      </w:r>
    </w:p>
    <w:p>
      <w:pPr>
        <w:spacing w:after="0" w:line="3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 Jan R. Reimer --------------------</w:t>
      </w:r>
    </w:p>
    <w:p>
      <w:pPr>
        <w:spacing w:after="0" w:line="1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Assistant Secretary</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39"/>
          </w:cols>
          <w:pgMar w:left="220" w:top="597" w:right="1440" w:bottom="1440" w:gutter="0" w:footer="0" w:header="0"/>
        </w:sectPr>
      </w:pPr>
    </w:p>
    <w:bookmarkStart w:id="77" w:name="page78"/>
    <w:bookmarkEnd w:id="77"/>
    <w:p>
      <w:pPr>
        <w:ind w:left="5600"/>
        <w:spacing w:after="0"/>
        <w:rPr>
          <w:sz w:val="20"/>
          <w:szCs w:val="20"/>
          <w:color w:val="auto"/>
        </w:rPr>
      </w:pPr>
      <w:r>
        <w:rPr>
          <w:rFonts w:ascii="Courier New" w:cs="Courier New" w:eastAsia="Courier New" w:hAnsi="Courier New"/>
          <w:sz w:val="15"/>
          <w:szCs w:val="15"/>
          <w:color w:val="auto"/>
        </w:rPr>
        <w:t>Exhibit 10.115</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FIRST AMENDMENT TO REVOLVING CREDIT AGREEMENT</w:t>
      </w:r>
    </w:p>
    <w:p>
      <w:pPr>
        <w:spacing w:after="0" w:line="24"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09"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THIS FIRST AMENDMENT TO REVOLVING CREDIT AGREEMENT (the "Amendment"),</w:t>
      </w:r>
    </w:p>
    <w:p>
      <w:pPr>
        <w:spacing w:after="0" w:line="34" w:lineRule="exact"/>
        <w:rPr>
          <w:sz w:val="20"/>
          <w:szCs w:val="20"/>
          <w:color w:val="auto"/>
        </w:rPr>
      </w:pPr>
    </w:p>
    <w:p>
      <w:pPr>
        <w:ind w:left="5860"/>
        <w:spacing w:after="0"/>
        <w:rPr>
          <w:sz w:val="20"/>
          <w:szCs w:val="20"/>
          <w:color w:val="auto"/>
        </w:rPr>
      </w:pPr>
      <w:r>
        <w:rPr>
          <w:rFonts w:ascii="Courier New" w:cs="Courier New" w:eastAsia="Courier New" w:hAnsi="Courier New"/>
          <w:sz w:val="15"/>
          <w:szCs w:val="15"/>
          <w:color w:val="auto"/>
        </w:rPr>
        <w:t>---------</w:t>
      </w:r>
    </w:p>
    <w:p>
      <w:pPr>
        <w:ind w:right="3239"/>
        <w:spacing w:after="0" w:line="254" w:lineRule="auto"/>
        <w:rPr>
          <w:sz w:val="20"/>
          <w:szCs w:val="20"/>
          <w:color w:val="auto"/>
        </w:rPr>
      </w:pPr>
      <w:r>
        <w:rPr>
          <w:rFonts w:ascii="Courier New" w:cs="Courier New" w:eastAsia="Courier New" w:hAnsi="Courier New"/>
          <w:sz w:val="14"/>
          <w:szCs w:val="14"/>
          <w:color w:val="auto"/>
        </w:rPr>
        <w:t>dated as of August 20, 1996, is entered into by and among MICRON TECHNOLOGY, INC. (the "Company"), BANK OF AMERICA NATIONAL TRUST AND SAVINGS ASSOCIATION, as</w:t>
      </w:r>
    </w:p>
    <w:p>
      <w:pPr>
        <w:ind w:left="980"/>
        <w:spacing w:after="0" w:line="238"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agent for itself and the Banks (the "Agent"), and the several financial</w:t>
      </w:r>
    </w:p>
    <w:p>
      <w:pPr>
        <w:ind w:left="324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institutions party to the Credit Agreement (collectively, the "Banks").</w:t>
      </w:r>
    </w:p>
    <w:p>
      <w:pPr>
        <w:ind w:left="55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RECITALS</w:t>
      </w:r>
    </w:p>
    <w:p>
      <w:pPr>
        <w:spacing w:after="0" w:line="2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319" w:firstLine="884"/>
        <w:spacing w:after="0" w:line="274" w:lineRule="auto"/>
        <w:tabs>
          <w:tab w:leader="none" w:pos="1224"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the Banks and the Agent are parties to a Revolving Credit Agreement dated as of May 14, 1996 (the "Credit Agreement"), pursuant to</w:t>
      </w:r>
    </w:p>
    <w:p>
      <w:pPr>
        <w:ind w:left="4200"/>
        <w:spacing w:after="0" w:line="237" w:lineRule="auto"/>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the Banks have extended certain credit facilities to the Company.</w:t>
      </w:r>
    </w:p>
    <w:p>
      <w:pPr>
        <w:spacing w:after="0" w:line="140" w:lineRule="exact"/>
        <w:rPr>
          <w:sz w:val="20"/>
          <w:szCs w:val="20"/>
          <w:color w:val="auto"/>
        </w:rPr>
      </w:pPr>
    </w:p>
    <w:p>
      <w:pPr>
        <w:ind w:right="3499" w:firstLine="884"/>
        <w:spacing w:after="0" w:line="344" w:lineRule="auto"/>
        <w:tabs>
          <w:tab w:leader="none" w:pos="1224"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requested that the Agent and the Banks agree to certain amendments of the Credit Agreement.</w:t>
      </w:r>
    </w:p>
    <w:p>
      <w:pPr>
        <w:spacing w:after="0" w:line="17" w:lineRule="exact"/>
        <w:rPr>
          <w:rFonts w:ascii="Courier New" w:cs="Courier New" w:eastAsia="Courier New" w:hAnsi="Courier New"/>
          <w:sz w:val="15"/>
          <w:szCs w:val="15"/>
          <w:color w:val="auto"/>
        </w:rPr>
      </w:pPr>
    </w:p>
    <w:p>
      <w:pPr>
        <w:ind w:right="3239" w:firstLine="884"/>
        <w:spacing w:after="0" w:line="344" w:lineRule="auto"/>
        <w:tabs>
          <w:tab w:leader="none" w:pos="1224"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and the Banks are willing to amend the Credit Agreement, subject to the terms and conditions of this Amendment.</w:t>
      </w:r>
    </w:p>
    <w:p>
      <w:pPr>
        <w:spacing w:after="0" w:line="17" w:lineRule="exact"/>
        <w:rPr>
          <w:sz w:val="20"/>
          <w:szCs w:val="20"/>
          <w:color w:val="auto"/>
        </w:rPr>
      </w:pPr>
    </w:p>
    <w:p>
      <w:pPr>
        <w:ind w:right="3399" w:firstLine="875"/>
        <w:spacing w:after="0" w:line="381" w:lineRule="auto"/>
        <w:rPr>
          <w:sz w:val="20"/>
          <w:szCs w:val="20"/>
          <w:color w:val="auto"/>
        </w:rPr>
      </w:pPr>
      <w:r>
        <w:rPr>
          <w:rFonts w:ascii="Courier New" w:cs="Courier New" w:eastAsia="Courier New" w:hAnsi="Courier New"/>
          <w:sz w:val="14"/>
          <w:szCs w:val="14"/>
          <w:color w:val="auto"/>
        </w:rPr>
        <w:t>NOW, THEREFORE, for valuable consideration, the receipt and adequacy of which are hereby acknowledged, the parties hereto hereby agree as follows:</w:t>
      </w:r>
    </w:p>
    <w:p>
      <w:pPr>
        <w:spacing w:after="0" w:line="1" w:lineRule="exact"/>
        <w:rPr>
          <w:sz w:val="20"/>
          <w:szCs w:val="20"/>
          <w:color w:val="auto"/>
        </w:rPr>
      </w:pPr>
    </w:p>
    <w:p>
      <w:pPr>
        <w:ind w:left="1240" w:hanging="356"/>
        <w:spacing w:after="0"/>
        <w:tabs>
          <w:tab w:leader="none" w:pos="12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Defined Terms.  Unless otherwise defined herein, capitalized terms</w:t>
      </w:r>
    </w:p>
    <w:p>
      <w:pPr>
        <w:spacing w:after="0" w:line="35" w:lineRule="exact"/>
        <w:rPr>
          <w:rFonts w:ascii="Courier New" w:cs="Courier New" w:eastAsia="Courier New" w:hAnsi="Courier New"/>
          <w:sz w:val="14"/>
          <w:szCs w:val="14"/>
          <w:color w:val="auto"/>
        </w:rPr>
      </w:pPr>
    </w:p>
    <w:p>
      <w:pPr>
        <w:ind w:left="12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used herein shall have the meanings assigned to them in the Credit Agreement.</w:t>
      </w:r>
    </w:p>
    <w:p>
      <w:pPr>
        <w:spacing w:after="0" w:line="140" w:lineRule="exact"/>
        <w:rPr>
          <w:sz w:val="20"/>
          <w:szCs w:val="20"/>
          <w:color w:val="auto"/>
        </w:rPr>
      </w:pPr>
    </w:p>
    <w:p>
      <w:pPr>
        <w:ind w:left="1240" w:hanging="356"/>
        <w:spacing w:after="0"/>
        <w:tabs>
          <w:tab w:leader="none" w:pos="12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Credit Agreement.</w:t>
      </w:r>
    </w:p>
    <w:p>
      <w:pPr>
        <w:spacing w:after="0" w:line="24"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rFonts w:ascii="Courier New" w:cs="Courier New" w:eastAsia="Courier New" w:hAnsi="Courier New"/>
          <w:sz w:val="15"/>
          <w:szCs w:val="15"/>
          <w:color w:val="auto"/>
        </w:rPr>
      </w:pPr>
    </w:p>
    <w:p>
      <w:pPr>
        <w:ind w:right="3319" w:firstLine="1234"/>
        <w:spacing w:after="0" w:line="290" w:lineRule="auto"/>
        <w:tabs>
          <w:tab w:leader="none" w:pos="1662"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Subsection 5.11(b) and Section 5.19 of the Credit Agreement are each hereby amended by deleting the date "March 15, 1996" set forth therein and inserting the date "July 24, 1996" in its place.</w:t>
      </w:r>
    </w:p>
    <w:p>
      <w:pPr>
        <w:spacing w:after="0" w:line="56" w:lineRule="exact"/>
        <w:rPr>
          <w:rFonts w:ascii="Courier New" w:cs="Courier New" w:eastAsia="Courier New" w:hAnsi="Courier New"/>
          <w:sz w:val="15"/>
          <w:szCs w:val="15"/>
          <w:color w:val="auto"/>
        </w:rPr>
      </w:pPr>
    </w:p>
    <w:p>
      <w:pPr>
        <w:ind w:right="3239" w:firstLine="1234"/>
        <w:spacing w:after="0" w:line="273" w:lineRule="auto"/>
        <w:tabs>
          <w:tab w:leader="none" w:pos="1662"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6.02 of the Credit Agreement is hereby amended by (i) deleting the word "and" at the end of subsection (d), (ii) deleting the period at the end of subsection (e) and replacing it with "; and" and (iii) adding the following subsection (f) at the end thereof:</w:t>
      </w:r>
    </w:p>
    <w:p>
      <w:pPr>
        <w:spacing w:after="0" w:line="68" w:lineRule="exact"/>
        <w:rPr>
          <w:sz w:val="20"/>
          <w:szCs w:val="20"/>
          <w:color w:val="auto"/>
        </w:rPr>
      </w:pPr>
    </w:p>
    <w:p>
      <w:pPr>
        <w:ind w:left="540" w:right="3579" w:firstLine="1137"/>
        <w:spacing w:after="0" w:line="264" w:lineRule="auto"/>
        <w:rPr>
          <w:sz w:val="20"/>
          <w:szCs w:val="20"/>
          <w:color w:val="auto"/>
        </w:rPr>
      </w:pPr>
      <w:r>
        <w:rPr>
          <w:rFonts w:ascii="Courier New" w:cs="Courier New" w:eastAsia="Courier New" w:hAnsi="Courier New"/>
          <w:sz w:val="15"/>
          <w:szCs w:val="15"/>
          <w:color w:val="auto"/>
        </w:rPr>
        <w:t>"(f) on or before February 27, 1997 (2Q97), a certificate executed by a Responsible Officer indicating whether the Company has consummated equipment financings of at least $300,000,000 from and including February 29, 1996 through and including February 27, 1997 (2Q97)."</w:t>
      </w:r>
    </w:p>
    <w:p>
      <w:pPr>
        <w:spacing w:after="0" w:line="75" w:lineRule="exact"/>
        <w:rPr>
          <w:sz w:val="20"/>
          <w:szCs w:val="20"/>
          <w:color w:val="auto"/>
        </w:rPr>
      </w:pPr>
    </w:p>
    <w:p>
      <w:pPr>
        <w:ind w:right="3319" w:firstLine="1234"/>
        <w:spacing w:after="0" w:line="385" w:lineRule="auto"/>
        <w:tabs>
          <w:tab w:leader="none" w:pos="1662"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Subsection 7.01(j) of the Credit Agreement is hereby amended by deleting the reference to "15%" therein and replacing it with "20%".</w:t>
      </w:r>
    </w:p>
    <w:p>
      <w:pPr>
        <w:sectPr>
          <w:pgSz w:w="11900" w:h="16838" w:orient="portrait"/>
          <w:cols w:equalWidth="0" w:num="1">
            <w:col w:w="10239"/>
          </w:cols>
          <w:pgMar w:left="220" w:top="452" w:right="1440" w:bottom="1440" w:gutter="0" w:footer="0" w:header="0"/>
        </w:sectPr>
      </w:pPr>
    </w:p>
    <w:bookmarkStart w:id="78" w:name="page79"/>
    <w:bookmarkEnd w:id="78"/>
    <w:p>
      <w:pPr>
        <w:ind w:left="-440" w:right="3759" w:firstLine="447"/>
        <w:spacing w:after="0" w:line="344" w:lineRule="auto"/>
        <w:tabs>
          <w:tab w:leader="none" w:pos="435"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Subsection 7.03(c) of the Credit Agreement is hereby amended and restated in its entirety so as to read as follows:</w:t>
      </w:r>
    </w:p>
    <w:p>
      <w:pPr>
        <w:spacing w:after="0" w:line="1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 any other material (greater than $1,000,000 individually)</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 including the capital stock of Subsidiaries owned by the</w:t>
      </w:r>
    </w:p>
    <w:p>
      <w:pPr>
        <w:spacing w:after="0" w:line="237" w:lineRule="auto"/>
        <w:rPr>
          <w:sz w:val="20"/>
          <w:szCs w:val="20"/>
          <w:color w:val="auto"/>
        </w:rPr>
      </w:pPr>
      <w:r>
        <w:rPr>
          <w:rFonts w:ascii="Courier New" w:cs="Courier New" w:eastAsia="Courier New" w:hAnsi="Courier New"/>
          <w:sz w:val="15"/>
          <w:szCs w:val="15"/>
          <w:color w:val="auto"/>
        </w:rPr>
        <w:t>Company, outside the ordinary course of business (the parties hereby</w:t>
      </w:r>
    </w:p>
    <w:p>
      <w:pPr>
        <w:spacing w:after="0" w:line="238" w:lineRule="auto"/>
        <w:rPr>
          <w:sz w:val="20"/>
          <w:szCs w:val="20"/>
          <w:color w:val="auto"/>
        </w:rPr>
      </w:pPr>
      <w:r>
        <w:rPr>
          <w:rFonts w:ascii="Courier New" w:cs="Courier New" w:eastAsia="Courier New" w:hAnsi="Courier New"/>
          <w:sz w:val="15"/>
          <w:szCs w:val="15"/>
          <w:color w:val="auto"/>
        </w:rPr>
        <w:t>agreeing that dispositions of inventory, or used, worn-out or surplus</w:t>
      </w:r>
    </w:p>
    <w:p>
      <w:pPr>
        <w:spacing w:after="0" w:line="237" w:lineRule="auto"/>
        <w:rPr>
          <w:sz w:val="20"/>
          <w:szCs w:val="20"/>
          <w:color w:val="auto"/>
        </w:rPr>
      </w:pPr>
      <w:r>
        <w:rPr>
          <w:rFonts w:ascii="Courier New" w:cs="Courier New" w:eastAsia="Courier New" w:hAnsi="Courier New"/>
          <w:sz w:val="15"/>
          <w:szCs w:val="15"/>
          <w:color w:val="auto"/>
        </w:rPr>
        <w:t>equipment, or equipment pursuant to Permitted Sale-Leaseback</w:t>
      </w:r>
    </w:p>
    <w:p>
      <w:pPr>
        <w:spacing w:after="0" w:line="238" w:lineRule="auto"/>
        <w:rPr>
          <w:sz w:val="20"/>
          <w:szCs w:val="20"/>
          <w:color w:val="auto"/>
        </w:rPr>
      </w:pPr>
      <w:r>
        <w:rPr>
          <w:rFonts w:ascii="Courier New" w:cs="Courier New" w:eastAsia="Courier New" w:hAnsi="Courier New"/>
          <w:sz w:val="15"/>
          <w:szCs w:val="15"/>
          <w:color w:val="auto"/>
        </w:rPr>
        <w:t>Transactions shall be considered to be dispositions in the ordinary</w:t>
      </w:r>
    </w:p>
    <w:p>
      <w:pPr>
        <w:spacing w:after="0" w:line="237" w:lineRule="auto"/>
        <w:rPr>
          <w:sz w:val="20"/>
          <w:szCs w:val="20"/>
          <w:color w:val="auto"/>
        </w:rPr>
      </w:pPr>
      <w:r>
        <w:rPr>
          <w:rFonts w:ascii="Courier New" w:cs="Courier New" w:eastAsia="Courier New" w:hAnsi="Courier New"/>
          <w:sz w:val="15"/>
          <w:szCs w:val="15"/>
          <w:color w:val="auto"/>
        </w:rPr>
        <w:t>course of business), if the aggregate fair market value of all</w:t>
      </w:r>
    </w:p>
    <w:p>
      <w:pPr>
        <w:spacing w:after="0" w:line="238" w:lineRule="auto"/>
        <w:rPr>
          <w:sz w:val="20"/>
          <w:szCs w:val="20"/>
          <w:color w:val="auto"/>
        </w:rPr>
      </w:pPr>
      <w:r>
        <w:rPr>
          <w:rFonts w:ascii="Courier New" w:cs="Courier New" w:eastAsia="Courier New" w:hAnsi="Courier New"/>
          <w:sz w:val="15"/>
          <w:szCs w:val="15"/>
          <w:color w:val="auto"/>
        </w:rPr>
        <w:t>material assets so sold by the Company and its Subsidiaries, together</w:t>
      </w:r>
    </w:p>
    <w:p>
      <w:pPr>
        <w:spacing w:after="0" w:line="237" w:lineRule="auto"/>
        <w:rPr>
          <w:sz w:val="20"/>
          <w:szCs w:val="20"/>
          <w:color w:val="auto"/>
        </w:rPr>
      </w:pPr>
      <w:r>
        <w:rPr>
          <w:rFonts w:ascii="Courier New" w:cs="Courier New" w:eastAsia="Courier New" w:hAnsi="Courier New"/>
          <w:sz w:val="15"/>
          <w:szCs w:val="15"/>
          <w:color w:val="auto"/>
        </w:rPr>
        <w:t>with the aggregate fair market value of any material (greater than</w:t>
      </w:r>
    </w:p>
    <w:p>
      <w:pPr>
        <w:spacing w:after="0" w:line="238" w:lineRule="auto"/>
        <w:rPr>
          <w:sz w:val="20"/>
          <w:szCs w:val="20"/>
          <w:color w:val="auto"/>
        </w:rPr>
      </w:pPr>
      <w:r>
        <w:rPr>
          <w:rFonts w:ascii="Courier New" w:cs="Courier New" w:eastAsia="Courier New" w:hAnsi="Courier New"/>
          <w:sz w:val="15"/>
          <w:szCs w:val="15"/>
          <w:color w:val="auto"/>
        </w:rPr>
        <w:t>$1,000,000 individually) assets disposed of pursuant to sale-leaseback</w:t>
      </w:r>
    </w:p>
    <w:p>
      <w:pPr>
        <w:spacing w:after="0" w:line="238" w:lineRule="auto"/>
        <w:rPr>
          <w:sz w:val="20"/>
          <w:szCs w:val="20"/>
          <w:color w:val="auto"/>
        </w:rPr>
      </w:pPr>
      <w:r>
        <w:rPr>
          <w:rFonts w:ascii="Courier New" w:cs="Courier New" w:eastAsia="Courier New" w:hAnsi="Courier New"/>
          <w:sz w:val="15"/>
          <w:szCs w:val="15"/>
          <w:color w:val="auto"/>
        </w:rPr>
        <w:t>transactions which do not constitute Permitted Sale-Leaseback</w:t>
      </w:r>
    </w:p>
    <w:p>
      <w:pPr>
        <w:spacing w:after="0" w:line="237" w:lineRule="auto"/>
        <w:rPr>
          <w:sz w:val="20"/>
          <w:szCs w:val="20"/>
          <w:color w:val="auto"/>
        </w:rPr>
      </w:pPr>
      <w:r>
        <w:rPr>
          <w:rFonts w:ascii="Courier New" w:cs="Courier New" w:eastAsia="Courier New" w:hAnsi="Courier New"/>
          <w:sz w:val="15"/>
          <w:szCs w:val="15"/>
          <w:color w:val="auto"/>
        </w:rPr>
        <w:t>Transactions, on a cumulative basis, would exceed 10% of the</w:t>
      </w:r>
    </w:p>
    <w:p>
      <w:pPr>
        <w:spacing w:after="0" w:line="238" w:lineRule="auto"/>
        <w:rPr>
          <w:sz w:val="20"/>
          <w:szCs w:val="20"/>
          <w:color w:val="auto"/>
        </w:rPr>
      </w:pPr>
      <w:r>
        <w:rPr>
          <w:rFonts w:ascii="Courier New" w:cs="Courier New" w:eastAsia="Courier New" w:hAnsi="Courier New"/>
          <w:sz w:val="15"/>
          <w:szCs w:val="15"/>
          <w:color w:val="auto"/>
        </w:rPr>
        <w:t>Company's consolidated tangible assets as of the last day of the</w:t>
      </w:r>
    </w:p>
    <w:p>
      <w:pPr>
        <w:spacing w:after="0" w:line="237" w:lineRule="auto"/>
        <w:rPr>
          <w:sz w:val="20"/>
          <w:szCs w:val="20"/>
          <w:color w:val="auto"/>
        </w:rPr>
      </w:pPr>
      <w:r>
        <w:rPr>
          <w:rFonts w:ascii="Courier New" w:cs="Courier New" w:eastAsia="Courier New" w:hAnsi="Courier New"/>
          <w:sz w:val="15"/>
          <w:szCs w:val="15"/>
          <w:color w:val="auto"/>
        </w:rPr>
        <w:t>fiscal quarter most recently ended prior thereto; provided that</w:t>
      </w:r>
    </w:p>
    <w:p>
      <w:pPr>
        <w:ind w:left="4380"/>
        <w:spacing w:after="0" w:line="238" w:lineRule="auto"/>
        <w:rPr>
          <w:sz w:val="20"/>
          <w:szCs w:val="20"/>
          <w:color w:val="auto"/>
        </w:rPr>
      </w:pPr>
      <w:r>
        <w:rPr>
          <w:rFonts w:ascii="Courier New" w:cs="Courier New" w:eastAsia="Courier New" w:hAnsi="Courier New"/>
          <w:sz w:val="15"/>
          <w:szCs w:val="15"/>
          <w:color w:val="auto"/>
        </w:rPr>
        <w:t>--------</w:t>
      </w:r>
    </w:p>
    <w:p>
      <w:pPr>
        <w:ind w:right="4279"/>
        <w:spacing w:after="0" w:line="307" w:lineRule="auto"/>
        <w:rPr>
          <w:sz w:val="20"/>
          <w:szCs w:val="20"/>
          <w:color w:val="auto"/>
        </w:rPr>
      </w:pPr>
      <w:r>
        <w:rPr>
          <w:rFonts w:ascii="Courier New" w:cs="Courier New" w:eastAsia="Courier New" w:hAnsi="Courier New"/>
          <w:sz w:val="15"/>
          <w:szCs w:val="15"/>
          <w:color w:val="auto"/>
        </w:rPr>
        <w:t>any such dispositions of assets by or among the Company and its Subsidiaries must be permitted by Section 7.07."</w:t>
      </w:r>
    </w:p>
    <w:p>
      <w:pPr>
        <w:spacing w:after="0" w:line="44" w:lineRule="exact"/>
        <w:rPr>
          <w:sz w:val="20"/>
          <w:szCs w:val="20"/>
          <w:color w:val="auto"/>
        </w:rPr>
      </w:pPr>
    </w:p>
    <w:p>
      <w:pPr>
        <w:ind w:left="-440" w:right="3759" w:firstLine="447"/>
        <w:spacing w:after="0" w:line="344" w:lineRule="auto"/>
        <w:tabs>
          <w:tab w:leader="none" w:pos="43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Subsection 7.04(d) of the Credit Agreement is hereby amended and restated in its entirety so as to read as follows:</w:t>
      </w:r>
    </w:p>
    <w:p>
      <w:pPr>
        <w:spacing w:after="0" w:line="17" w:lineRule="exact"/>
        <w:rPr>
          <w:sz w:val="20"/>
          <w:szCs w:val="20"/>
          <w:color w:val="auto"/>
        </w:rPr>
      </w:pPr>
    </w:p>
    <w:p>
      <w:pPr>
        <w:ind w:right="4279" w:firstLine="437"/>
        <w:spacing w:after="0" w:line="255" w:lineRule="auto"/>
        <w:rPr>
          <w:sz w:val="20"/>
          <w:szCs w:val="20"/>
          <w:color w:val="auto"/>
        </w:rPr>
      </w:pPr>
      <w:r>
        <w:rPr>
          <w:rFonts w:ascii="Courier New" w:cs="Courier New" w:eastAsia="Courier New" w:hAnsi="Courier New"/>
          <w:sz w:val="15"/>
          <w:szCs w:val="15"/>
          <w:color w:val="auto"/>
        </w:rPr>
        <w:t>"(d) any Subsidiary may liquidate or dissolve, provided, that if such Subsidiary is not a Wholly-Owned Subsidiary, any proceeds of such liquidation or dissolution which the Company is entitled to receive by virtue of its ownership in such Subsidiary and which are not distributed directly or indirectly to the Company would be a distribution permitted under Section 7.09(d)."</w:t>
      </w:r>
    </w:p>
    <w:p>
      <w:pPr>
        <w:spacing w:after="0" w:line="82" w:lineRule="exact"/>
        <w:rPr>
          <w:sz w:val="20"/>
          <w:szCs w:val="20"/>
          <w:color w:val="auto"/>
        </w:rPr>
      </w:pPr>
    </w:p>
    <w:p>
      <w:pPr>
        <w:ind w:left="-440" w:right="3759" w:firstLine="447"/>
        <w:spacing w:after="0" w:line="344" w:lineRule="auto"/>
        <w:tabs>
          <w:tab w:leader="none" w:pos="435"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Subsection 7.05(c) of the Credit Agreement is hereby amended and restated in its entirety so as to read as follows:</w:t>
      </w:r>
    </w:p>
    <w:p>
      <w:pPr>
        <w:spacing w:after="0" w:line="17" w:lineRule="exact"/>
        <w:rPr>
          <w:sz w:val="20"/>
          <w:szCs w:val="20"/>
          <w:color w:val="auto"/>
        </w:rPr>
      </w:pPr>
    </w:p>
    <w:p>
      <w:pPr>
        <w:ind w:right="4199" w:firstLine="437"/>
        <w:spacing w:after="0" w:line="247" w:lineRule="auto"/>
        <w:rPr>
          <w:sz w:val="20"/>
          <w:szCs w:val="20"/>
          <w:color w:val="auto"/>
        </w:rPr>
      </w:pPr>
      <w:r>
        <w:rPr>
          <w:rFonts w:ascii="Courier New" w:cs="Courier New" w:eastAsia="Courier New" w:hAnsi="Courier New"/>
          <w:sz w:val="15"/>
          <w:szCs w:val="15"/>
          <w:color w:val="auto"/>
        </w:rPr>
        <w:t>"(c) Investments made by the Company to or in its Subsidiaries (including Micron Electronics, Inc.), or by a Subsidiary of the Company to or in the Company or another Subsidiary, to the extent permitted by Section 7.07, provided, that (i) Investments to or in Micron Electronics, Inc. may not at any time exceed $100,000,000 in aggregate principal amount outstanding, and (ii) Investments to or in any Subsidiary that is not a Wholly-Owned Subsidiary (other than Micron Electronics, Inc.) may not at any time exceed, in aggregate principal amount outstanding, an amount equal to 5% of Consolidated Tangible Net Worth as of the last day of the fiscal quarter most recently ended prior thereto;"</w:t>
      </w:r>
    </w:p>
    <w:p>
      <w:pPr>
        <w:spacing w:after="0" w:line="88" w:lineRule="exact"/>
        <w:rPr>
          <w:sz w:val="20"/>
          <w:szCs w:val="20"/>
          <w:color w:val="auto"/>
        </w:rPr>
      </w:pPr>
    </w:p>
    <w:p>
      <w:pPr>
        <w:ind w:left="-440" w:right="3579" w:firstLine="447"/>
        <w:spacing w:after="0" w:line="344" w:lineRule="auto"/>
        <w:tabs>
          <w:tab w:leader="none" w:pos="43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Clause (i) of subsection 7.05(e) of the Credit Agreement is hereby amended and restated in its entirety so as to read as follows:</w:t>
      </w:r>
    </w:p>
    <w:p>
      <w:pPr>
        <w:spacing w:after="0" w:line="1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5"/>
          <w:szCs w:val="15"/>
          <w:color w:val="auto"/>
        </w:rPr>
        <w:t>"(i) the cumulative aggregate consideration paid (including the assumption of debt), or outstanding principal amount, in the case of an advance, loan or other extension of credit, or assets contributed in all such Investments after the Closing Date (including the proposed Investment) does not at any time exceed 25% of the consolidated tangible assets of the Company as of the last day of the fiscal quarter most recently ended prior thereto,"</w:t>
      </w:r>
    </w:p>
    <w:p>
      <w:pPr>
        <w:spacing w:after="0" w:line="82"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99"/>
          </w:cols>
          <w:pgMar w:left="660" w:top="598" w:right="1440" w:bottom="1440" w:gutter="0" w:footer="0" w:header="0"/>
        </w:sectPr>
      </w:pPr>
    </w:p>
    <w:bookmarkStart w:id="79" w:name="page80"/>
    <w:bookmarkEnd w:id="79"/>
    <w:p>
      <w:pPr>
        <w:ind w:left="-440" w:right="3759" w:firstLine="447"/>
        <w:spacing w:after="0" w:line="344" w:lineRule="auto"/>
        <w:tabs>
          <w:tab w:leader="none" w:pos="43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Subsection 7.06(h) of the Credit Agreement is hereby amended and restated in its entirety so as to read as follows:</w:t>
      </w:r>
    </w:p>
    <w:p>
      <w:pPr>
        <w:spacing w:after="0" w:line="17" w:lineRule="exact"/>
        <w:rPr>
          <w:sz w:val="20"/>
          <w:szCs w:val="20"/>
          <w:color w:val="auto"/>
        </w:rPr>
      </w:pPr>
    </w:p>
    <w:p>
      <w:pPr>
        <w:ind w:right="4379" w:firstLine="437"/>
        <w:spacing w:after="0" w:line="287" w:lineRule="auto"/>
        <w:rPr>
          <w:sz w:val="20"/>
          <w:szCs w:val="20"/>
          <w:color w:val="auto"/>
        </w:rPr>
      </w:pPr>
      <w:r>
        <w:rPr>
          <w:rFonts w:ascii="Courier New" w:cs="Courier New" w:eastAsia="Courier New" w:hAnsi="Courier New"/>
          <w:sz w:val="14"/>
          <w:szCs w:val="14"/>
          <w:color w:val="auto"/>
        </w:rPr>
        <w:t>"(h) Indebtedness incurred by Subsidiaries of the Company (including Micron Electronics, Inc.) from Persons other than the Company or another Subsidiary (excluding Indebtedness permitted under subsection 7.06(d)) up to a maximum aggregate principal amount outstanding of $100,000,000;"</w:t>
      </w:r>
    </w:p>
    <w:p>
      <w:pPr>
        <w:spacing w:after="0" w:line="61" w:lineRule="exact"/>
        <w:rPr>
          <w:sz w:val="20"/>
          <w:szCs w:val="20"/>
          <w:color w:val="auto"/>
        </w:rPr>
      </w:pPr>
    </w:p>
    <w:p>
      <w:pPr>
        <w:ind w:left="-440" w:right="3239" w:firstLine="447"/>
        <w:spacing w:after="0" w:line="344" w:lineRule="auto"/>
        <w:tabs>
          <w:tab w:leader="none" w:pos="435"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7.12 of the Credit Agreement is hereby amended and restated in its entirety so as to read as follows:</w:t>
      </w:r>
    </w:p>
    <w:p>
      <w:pPr>
        <w:spacing w:after="0" w:line="17" w:lineRule="exact"/>
        <w:rPr>
          <w:sz w:val="20"/>
          <w:szCs w:val="20"/>
          <w:color w:val="auto"/>
        </w:rPr>
      </w:pPr>
    </w:p>
    <w:p>
      <w:pPr>
        <w:ind w:left="440"/>
        <w:spacing w:after="0"/>
        <w:tabs>
          <w:tab w:leader="none" w:pos="1040" w:val="left"/>
          <w:tab w:leader="none" w:pos="3040" w:val="left"/>
        </w:tabs>
        <w:rPr>
          <w:sz w:val="20"/>
          <w:szCs w:val="20"/>
          <w:color w:val="auto"/>
        </w:rPr>
      </w:pPr>
      <w:r>
        <w:rPr>
          <w:rFonts w:ascii="Courier New" w:cs="Courier New" w:eastAsia="Courier New" w:hAnsi="Courier New"/>
          <w:sz w:val="15"/>
          <w:szCs w:val="15"/>
          <w:color w:val="auto"/>
        </w:rPr>
        <w:t>"7.12</w:t>
        <w:tab/>
        <w:t>Adjusted Quick Ratio.</w:t>
      </w:r>
      <w:r>
        <w:rPr>
          <w:sz w:val="20"/>
          <w:szCs w:val="20"/>
          <w:color w:val="auto"/>
        </w:rPr>
        <w:tab/>
      </w:r>
      <w:r>
        <w:rPr>
          <w:rFonts w:ascii="Courier New" w:cs="Courier New" w:eastAsia="Courier New" w:hAnsi="Courier New"/>
          <w:sz w:val="14"/>
          <w:szCs w:val="14"/>
          <w:color w:val="auto"/>
        </w:rPr>
        <w:t>The Company shall not permit,</w:t>
      </w:r>
    </w:p>
    <w:p>
      <w:pPr>
        <w:spacing w:after="0" w:line="2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ind w:right="4379"/>
        <w:spacing w:after="0" w:line="254" w:lineRule="auto"/>
        <w:rPr>
          <w:sz w:val="20"/>
          <w:szCs w:val="20"/>
          <w:color w:val="auto"/>
        </w:rPr>
      </w:pPr>
      <w:r>
        <w:rPr>
          <w:rFonts w:ascii="Courier New" w:cs="Courier New" w:eastAsia="Courier New" w:hAnsi="Courier New"/>
          <w:sz w:val="14"/>
          <w:szCs w:val="14"/>
          <w:color w:val="auto"/>
        </w:rPr>
        <w:t>as of the last day of any fiscal quarter, the ratio of (a) the sum of (i) cash, cash equivalents and liquid investments, and</w:t>
      </w:r>
    </w:p>
    <w:p>
      <w:pPr>
        <w:spacing w:after="0" w:line="1" w:lineRule="exact"/>
        <w:rPr>
          <w:sz w:val="20"/>
          <w:szCs w:val="20"/>
          <w:color w:val="auto"/>
        </w:rPr>
      </w:pPr>
    </w:p>
    <w:p>
      <w:pPr>
        <w:ind w:right="4199" w:firstLine="7"/>
        <w:spacing w:after="0" w:line="254" w:lineRule="auto"/>
        <w:tabs>
          <w:tab w:leader="none" w:pos="437"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trade accounts receivable of the Company and its Subsidiaries on a consolidated basis, to (b) the sum (without duplication) of (i) current liabilities of the Company and its Subsidiaries on a consolidated basis (plus long-term liabilities related to customer deposits), and (ii) any Loans outstanding,</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to be less than the amount set forth below for the applicable date:</w:t>
      </w:r>
    </w:p>
    <w:p>
      <w:pPr>
        <w:spacing w:after="0" w:line="139"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rPr>
              <w:t>Minimum Adjusted</w:t>
            </w:r>
          </w:p>
        </w:tc>
        <w:tc>
          <w:tcPr>
            <w:tcW w:w="3280" w:type="dxa"/>
            <w:vAlign w:val="bottom"/>
            <w:gridSpan w:val="3"/>
          </w:tcPr>
          <w:p>
            <w:pPr>
              <w:ind w:left="1080"/>
              <w:spacing w:after="0"/>
              <w:rPr>
                <w:sz w:val="20"/>
                <w:szCs w:val="20"/>
                <w:color w:val="auto"/>
              </w:rPr>
            </w:pPr>
            <w:r>
              <w:rPr>
                <w:rFonts w:ascii="Courier New" w:cs="Courier New" w:eastAsia="Courier New" w:hAnsi="Courier New"/>
                <w:sz w:val="15"/>
                <w:szCs w:val="15"/>
                <w:color w:val="auto"/>
                <w:w w:val="96"/>
              </w:rPr>
              <w:t>As of the last day of the</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Quick Ratio</w:t>
            </w:r>
          </w:p>
        </w:tc>
        <w:tc>
          <w:tcPr>
            <w:tcW w:w="3280" w:type="dxa"/>
            <w:vAlign w:val="bottom"/>
            <w:gridSpan w:val="3"/>
          </w:tcPr>
          <w:p>
            <w:pPr>
              <w:ind w:left="1080"/>
              <w:spacing w:after="0" w:line="168" w:lineRule="exact"/>
              <w:rPr>
                <w:sz w:val="20"/>
                <w:szCs w:val="20"/>
                <w:color w:val="auto"/>
              </w:rPr>
            </w:pPr>
            <w:r>
              <w:rPr>
                <w:rFonts w:ascii="Courier New" w:cs="Courier New" w:eastAsia="Courier New" w:hAnsi="Courier New"/>
                <w:sz w:val="15"/>
                <w:szCs w:val="15"/>
                <w:color w:val="auto"/>
              </w:rPr>
              <w:t>fiscal quarter ending</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3280" w:type="dxa"/>
            <w:vAlign w:val="bottom"/>
            <w:gridSpan w:val="3"/>
          </w:tcPr>
          <w:p>
            <w:pPr>
              <w:ind w:left="10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0.45</w:t>
            </w:r>
          </w:p>
        </w:tc>
        <w:tc>
          <w:tcPr>
            <w:tcW w:w="2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1.00</w:t>
            </w:r>
          </w:p>
        </w:tc>
        <w:tc>
          <w:tcPr>
            <w:tcW w:w="3280" w:type="dxa"/>
            <w:vAlign w:val="bottom"/>
            <w:gridSpan w:val="3"/>
          </w:tcPr>
          <w:p>
            <w:pPr>
              <w:ind w:left="1080"/>
              <w:spacing w:after="0" w:line="168" w:lineRule="exact"/>
              <w:rPr>
                <w:sz w:val="20"/>
                <w:szCs w:val="20"/>
                <w:color w:val="auto"/>
              </w:rPr>
            </w:pPr>
            <w:r>
              <w:rPr>
                <w:rFonts w:ascii="Courier New" w:cs="Courier New" w:eastAsia="Courier New" w:hAnsi="Courier New"/>
                <w:sz w:val="15"/>
                <w:szCs w:val="15"/>
                <w:color w:val="auto"/>
              </w:rPr>
              <w:t>August 29, 1996 (4Q96)</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0.40</w:t>
            </w:r>
          </w:p>
        </w:tc>
        <w:tc>
          <w:tcPr>
            <w:tcW w:w="2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1.00</w:t>
            </w:r>
          </w:p>
        </w:tc>
        <w:tc>
          <w:tcPr>
            <w:tcW w:w="218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w w:val="99"/>
              </w:rPr>
              <w:t>November 28,</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1996</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(1Q97)</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0.40</w:t>
            </w:r>
          </w:p>
        </w:tc>
        <w:tc>
          <w:tcPr>
            <w:tcW w:w="2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1.00</w:t>
            </w:r>
          </w:p>
        </w:tc>
        <w:tc>
          <w:tcPr>
            <w:tcW w:w="218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w w:val="99"/>
              </w:rPr>
              <w:t>February 27,</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1997</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(2Q97)</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0.40</w:t>
            </w:r>
          </w:p>
        </w:tc>
        <w:tc>
          <w:tcPr>
            <w:tcW w:w="2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1.00</w:t>
            </w:r>
          </w:p>
        </w:tc>
        <w:tc>
          <w:tcPr>
            <w:tcW w:w="218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w w:val="99"/>
              </w:rPr>
              <w:t>May 29, 1997</w:t>
            </w:r>
          </w:p>
        </w:tc>
        <w:tc>
          <w:tcPr>
            <w:tcW w:w="1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(3Q97)</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0.50</w:t>
            </w:r>
          </w:p>
        </w:tc>
        <w:tc>
          <w:tcPr>
            <w:tcW w:w="2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1.00</w:t>
            </w:r>
          </w:p>
        </w:tc>
        <w:tc>
          <w:tcPr>
            <w:tcW w:w="3280" w:type="dxa"/>
            <w:vAlign w:val="bottom"/>
            <w:gridSpan w:val="3"/>
          </w:tcPr>
          <w:p>
            <w:pPr>
              <w:ind w:left="1080"/>
              <w:spacing w:after="0" w:line="168" w:lineRule="exact"/>
              <w:rPr>
                <w:sz w:val="20"/>
                <w:szCs w:val="20"/>
                <w:color w:val="auto"/>
              </w:rPr>
            </w:pPr>
            <w:r>
              <w:rPr>
                <w:rFonts w:ascii="Courier New" w:cs="Courier New" w:eastAsia="Courier New" w:hAnsi="Courier New"/>
                <w:sz w:val="15"/>
                <w:szCs w:val="15"/>
                <w:color w:val="auto"/>
              </w:rPr>
              <w:t>August 28, 1997 (4Q97)</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0.50</w:t>
            </w:r>
          </w:p>
        </w:tc>
        <w:tc>
          <w:tcPr>
            <w:tcW w:w="2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1.00</w:t>
            </w:r>
          </w:p>
        </w:tc>
        <w:tc>
          <w:tcPr>
            <w:tcW w:w="218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w w:val="99"/>
              </w:rPr>
              <w:t>November 27,</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1997</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(1Q98)</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0.50</w:t>
            </w:r>
          </w:p>
        </w:tc>
        <w:tc>
          <w:tcPr>
            <w:tcW w:w="2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1.00</w:t>
            </w:r>
          </w:p>
        </w:tc>
        <w:tc>
          <w:tcPr>
            <w:tcW w:w="218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w w:val="99"/>
              </w:rPr>
              <w:t>February 26,</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1998</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(2Q98)</w:t>
            </w:r>
          </w:p>
        </w:tc>
      </w:tr>
      <w:tr>
        <w:trPr>
          <w:trHeight w:val="194"/>
        </w:trPr>
        <w:tc>
          <w:tcPr>
            <w:tcW w:w="400" w:type="dxa"/>
            <w:vAlign w:val="bottom"/>
          </w:tcPr>
          <w:p>
            <w:pPr>
              <w:spacing w:after="0"/>
              <w:rPr>
                <w:sz w:val="20"/>
                <w:szCs w:val="20"/>
                <w:color w:val="auto"/>
              </w:rPr>
            </w:pPr>
            <w:r>
              <w:rPr>
                <w:rFonts w:ascii="Courier New" w:cs="Courier New" w:eastAsia="Courier New" w:hAnsi="Courier New"/>
                <w:sz w:val="15"/>
                <w:szCs w:val="15"/>
                <w:color w:val="auto"/>
              </w:rPr>
              <w:t>0.70</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to 1.00</w:t>
            </w:r>
          </w:p>
        </w:tc>
        <w:tc>
          <w:tcPr>
            <w:tcW w:w="2180" w:type="dxa"/>
            <w:vAlign w:val="bottom"/>
          </w:tcPr>
          <w:p>
            <w:pPr>
              <w:ind w:left="1080"/>
              <w:spacing w:after="0"/>
              <w:rPr>
                <w:sz w:val="20"/>
                <w:szCs w:val="20"/>
                <w:color w:val="auto"/>
              </w:rPr>
            </w:pPr>
            <w:r>
              <w:rPr>
                <w:rFonts w:ascii="Courier New" w:cs="Courier New" w:eastAsia="Courier New" w:hAnsi="Courier New"/>
                <w:sz w:val="15"/>
                <w:szCs w:val="15"/>
                <w:color w:val="auto"/>
                <w:w w:val="99"/>
              </w:rPr>
              <w:t>May 28, 1998</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(3Q98) and</w:t>
            </w:r>
          </w:p>
        </w:tc>
      </w:tr>
    </w:tbl>
    <w:p>
      <w:pPr>
        <w:ind w:left="3760"/>
        <w:spacing w:after="0" w:line="237" w:lineRule="auto"/>
        <w:rPr>
          <w:sz w:val="20"/>
          <w:szCs w:val="20"/>
          <w:color w:val="auto"/>
        </w:rPr>
      </w:pPr>
      <w:r>
        <w:rPr>
          <w:rFonts w:ascii="Courier New" w:cs="Courier New" w:eastAsia="Courier New" w:hAnsi="Courier New"/>
          <w:sz w:val="15"/>
          <w:szCs w:val="15"/>
          <w:color w:val="auto"/>
        </w:rPr>
        <w:t>as of the last day of each</w:t>
      </w:r>
    </w:p>
    <w:p>
      <w:pPr>
        <w:ind w:left="3760"/>
        <w:spacing w:after="0"/>
        <w:rPr>
          <w:sz w:val="20"/>
          <w:szCs w:val="20"/>
          <w:color w:val="auto"/>
        </w:rPr>
      </w:pPr>
      <w:r>
        <w:rPr>
          <w:rFonts w:ascii="Courier New" w:cs="Courier New" w:eastAsia="Courier New" w:hAnsi="Courier New"/>
          <w:sz w:val="15"/>
          <w:szCs w:val="15"/>
          <w:color w:val="auto"/>
        </w:rPr>
        <w:t>fiscal quarter thereafter</w:t>
      </w:r>
    </w:p>
    <w:p>
      <w:pPr>
        <w:spacing w:after="0" w:line="140" w:lineRule="exact"/>
        <w:rPr>
          <w:sz w:val="20"/>
          <w:szCs w:val="20"/>
          <w:color w:val="auto"/>
        </w:rPr>
      </w:pPr>
    </w:p>
    <w:p>
      <w:pPr>
        <w:ind w:left="-440" w:right="3239" w:firstLine="447"/>
        <w:spacing w:after="0" w:line="344" w:lineRule="auto"/>
        <w:tabs>
          <w:tab w:leader="none" w:pos="435"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7.13 of the Credit Agreement is hereby amended and restated in its entirety so as to read as follows:</w:t>
      </w:r>
    </w:p>
    <w:p>
      <w:pPr>
        <w:spacing w:after="0" w:line="17" w:lineRule="exact"/>
        <w:rPr>
          <w:sz w:val="20"/>
          <w:szCs w:val="20"/>
          <w:color w:val="auto"/>
        </w:rPr>
      </w:pPr>
    </w:p>
    <w:p>
      <w:pPr>
        <w:ind w:left="440"/>
        <w:spacing w:after="0"/>
        <w:tabs>
          <w:tab w:leader="none" w:pos="1040" w:val="left"/>
          <w:tab w:leader="none" w:pos="4020" w:val="left"/>
        </w:tabs>
        <w:rPr>
          <w:sz w:val="20"/>
          <w:szCs w:val="20"/>
          <w:color w:val="auto"/>
        </w:rPr>
      </w:pPr>
      <w:r>
        <w:rPr>
          <w:rFonts w:ascii="Courier New" w:cs="Courier New" w:eastAsia="Courier New" w:hAnsi="Courier New"/>
          <w:sz w:val="15"/>
          <w:szCs w:val="15"/>
          <w:color w:val="auto"/>
        </w:rPr>
        <w:t>"7.13</w:t>
        <w:tab/>
        <w:t>Consolidated Tangible Net Worth.</w:t>
      </w:r>
      <w:r>
        <w:rPr>
          <w:sz w:val="20"/>
          <w:szCs w:val="20"/>
          <w:color w:val="auto"/>
        </w:rPr>
        <w:tab/>
      </w:r>
      <w:r>
        <w:rPr>
          <w:rFonts w:ascii="Courier New" w:cs="Courier New" w:eastAsia="Courier New" w:hAnsi="Courier New"/>
          <w:sz w:val="14"/>
          <w:szCs w:val="14"/>
          <w:color w:val="auto"/>
        </w:rPr>
        <w:t>The Company shall</w:t>
      </w:r>
    </w:p>
    <w:p>
      <w:pPr>
        <w:spacing w:after="0" w:line="2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ind w:right="3759"/>
        <w:spacing w:after="0" w:line="254" w:lineRule="auto"/>
        <w:rPr>
          <w:sz w:val="20"/>
          <w:szCs w:val="20"/>
          <w:color w:val="auto"/>
        </w:rPr>
      </w:pPr>
      <w:r>
        <w:rPr>
          <w:rFonts w:ascii="Courier New" w:cs="Courier New" w:eastAsia="Courier New" w:hAnsi="Courier New"/>
          <w:sz w:val="14"/>
          <w:szCs w:val="14"/>
          <w:color w:val="auto"/>
        </w:rPr>
        <w:t>not permit, as of the last day of any fiscal quarter, Consolidated Tangible Net Worth to be less than an amount equal to $2,172,333,000, plus the sum of (a) 75% of Consolidated Net Income (not reduced by</w:t>
      </w:r>
    </w:p>
    <w:p>
      <w:pPr>
        <w:spacing w:after="0"/>
        <w:rPr>
          <w:sz w:val="20"/>
          <w:szCs w:val="20"/>
          <w:color w:val="auto"/>
        </w:rPr>
      </w:pPr>
      <w:r>
        <w:rPr>
          <w:rFonts w:ascii="Courier New" w:cs="Courier New" w:eastAsia="Courier New" w:hAnsi="Courier New"/>
          <w:sz w:val="15"/>
          <w:szCs w:val="15"/>
          <w:color w:val="auto"/>
        </w:rPr>
        <w:t>----</w:t>
      </w:r>
    </w:p>
    <w:p>
      <w:pPr>
        <w:ind w:right="4379"/>
        <w:spacing w:after="0" w:line="254" w:lineRule="auto"/>
        <w:rPr>
          <w:sz w:val="20"/>
          <w:szCs w:val="20"/>
          <w:color w:val="auto"/>
        </w:rPr>
      </w:pPr>
      <w:r>
        <w:rPr>
          <w:rFonts w:ascii="Courier New" w:cs="Courier New" w:eastAsia="Courier New" w:hAnsi="Courier New"/>
          <w:sz w:val="14"/>
          <w:szCs w:val="14"/>
          <w:color w:val="auto"/>
        </w:rPr>
        <w:t>Consolidated Net Loss for any period) earned in each fiscal quarterly accounting period commencing after the Closing Date,</w:t>
      </w:r>
    </w:p>
    <w:p>
      <w:pPr>
        <w:spacing w:after="0" w:line="1"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5"/>
          <w:szCs w:val="15"/>
          <w:color w:val="auto"/>
        </w:rPr>
        <w:t>and (b) 100% of the amount by which Consolidated Tangible Net Worth increases as a result of any secondary public or private offering of equity securities by the Company and its Subsidiaries (not in connection with an Acquisition or employee stock option or purchase plans) after the Closing Date."</w:t>
      </w:r>
    </w:p>
    <w:p>
      <w:pPr>
        <w:spacing w:after="0" w:line="8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99"/>
          </w:cols>
          <w:pgMar w:left="660" w:top="598" w:right="1440" w:bottom="1440" w:gutter="0" w:footer="0" w:header="0"/>
        </w:sectPr>
      </w:pPr>
    </w:p>
    <w:bookmarkStart w:id="80" w:name="page81"/>
    <w:bookmarkEnd w:id="80"/>
    <w:p>
      <w:pPr>
        <w:ind w:left="-440" w:right="3239" w:firstLine="447"/>
        <w:spacing w:after="0" w:line="344" w:lineRule="auto"/>
        <w:tabs>
          <w:tab w:leader="none" w:pos="435"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7.15 of the Credit Agreement is hereby amended and restated in its entirety so as to read as follows:</w:t>
      </w:r>
    </w:p>
    <w:p>
      <w:pPr>
        <w:spacing w:after="0" w:line="17" w:lineRule="exact"/>
        <w:rPr>
          <w:sz w:val="20"/>
          <w:szCs w:val="20"/>
          <w:color w:val="auto"/>
        </w:rPr>
      </w:pPr>
    </w:p>
    <w:p>
      <w:pPr>
        <w:ind w:left="440"/>
        <w:spacing w:after="0"/>
        <w:tabs>
          <w:tab w:leader="none" w:pos="1040" w:val="left"/>
          <w:tab w:leader="none" w:pos="2780" w:val="left"/>
        </w:tabs>
        <w:rPr>
          <w:sz w:val="20"/>
          <w:szCs w:val="20"/>
          <w:color w:val="auto"/>
        </w:rPr>
      </w:pPr>
      <w:r>
        <w:rPr>
          <w:rFonts w:ascii="Courier New" w:cs="Courier New" w:eastAsia="Courier New" w:hAnsi="Courier New"/>
          <w:sz w:val="15"/>
          <w:szCs w:val="15"/>
          <w:color w:val="auto"/>
        </w:rPr>
        <w:t>"7.15</w:t>
        <w:tab/>
        <w:t>Minimum Cash Flow.</w:t>
      </w:r>
      <w:r>
        <w:rPr>
          <w:sz w:val="20"/>
          <w:szCs w:val="20"/>
          <w:color w:val="auto"/>
        </w:rPr>
        <w:tab/>
      </w:r>
      <w:r>
        <w:rPr>
          <w:rFonts w:ascii="Courier New" w:cs="Courier New" w:eastAsia="Courier New" w:hAnsi="Courier New"/>
          <w:sz w:val="14"/>
          <w:szCs w:val="14"/>
          <w:color w:val="auto"/>
        </w:rPr>
        <w:t>The Company shall not permit,</w:t>
      </w:r>
    </w:p>
    <w:p>
      <w:pPr>
        <w:spacing w:after="0" w:line="2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ind w:right="4199"/>
        <w:spacing w:after="0" w:line="346" w:lineRule="auto"/>
        <w:rPr>
          <w:sz w:val="20"/>
          <w:szCs w:val="20"/>
          <w:color w:val="auto"/>
        </w:rPr>
      </w:pPr>
      <w:r>
        <w:rPr>
          <w:rFonts w:ascii="Courier New" w:cs="Courier New" w:eastAsia="Courier New" w:hAnsi="Courier New"/>
          <w:sz w:val="14"/>
          <w:szCs w:val="14"/>
          <w:color w:val="auto"/>
        </w:rPr>
        <w:t>as of the last day of any fiscal quarter, EBITDA for the fiscal quarter then ending, to be less than the amount set forth below:</w:t>
      </w:r>
    </w:p>
    <w:p>
      <w:pPr>
        <w:spacing w:after="0" w:line="20"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2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Minimum EBITDA</w:t>
            </w:r>
          </w:p>
        </w:tc>
        <w:tc>
          <w:tcPr>
            <w:tcW w:w="2540" w:type="dxa"/>
            <w:vAlign w:val="bottom"/>
            <w:gridSpan w:val="2"/>
          </w:tcPr>
          <w:p>
            <w:pPr>
              <w:ind w:left="1620"/>
              <w:spacing w:after="0"/>
              <w:rPr>
                <w:sz w:val="20"/>
                <w:szCs w:val="20"/>
                <w:color w:val="auto"/>
              </w:rPr>
            </w:pPr>
            <w:r>
              <w:rPr>
                <w:rFonts w:ascii="Courier New" w:cs="Courier New" w:eastAsia="Courier New" w:hAnsi="Courier New"/>
                <w:sz w:val="15"/>
                <w:szCs w:val="15"/>
                <w:color w:val="auto"/>
              </w:rPr>
              <w:t>For the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40" w:type="dxa"/>
            <w:vAlign w:val="bottom"/>
            <w:gridSpan w:val="2"/>
            <w:vMerge w:val="continue"/>
          </w:tcPr>
          <w:p>
            <w:pPr>
              <w:spacing w:after="0"/>
              <w:rPr>
                <w:sz w:val="14"/>
                <w:szCs w:val="14"/>
                <w:color w:val="auto"/>
              </w:rPr>
            </w:pPr>
          </w:p>
        </w:tc>
        <w:tc>
          <w:tcPr>
            <w:tcW w:w="3100" w:type="dxa"/>
            <w:vAlign w:val="bottom"/>
            <w:gridSpan w:val="3"/>
          </w:tcPr>
          <w:p>
            <w:pPr>
              <w:ind w:left="1000"/>
              <w:spacing w:after="0" w:line="168" w:lineRule="exact"/>
              <w:rPr>
                <w:sz w:val="20"/>
                <w:szCs w:val="20"/>
                <w:color w:val="auto"/>
              </w:rPr>
            </w:pPr>
            <w:r>
              <w:rPr>
                <w:rFonts w:ascii="Courier New" w:cs="Courier New" w:eastAsia="Courier New" w:hAnsi="Courier New"/>
                <w:sz w:val="15"/>
                <w:szCs w:val="15"/>
                <w:color w:val="auto"/>
              </w:rPr>
              <w:t>fiscal quarter ending</w:t>
            </w:r>
          </w:p>
        </w:tc>
        <w:tc>
          <w:tcPr>
            <w:tcW w:w="0" w:type="dxa"/>
            <w:vAlign w:val="bottom"/>
          </w:tcPr>
          <w:p>
            <w:pPr>
              <w:spacing w:after="0"/>
              <w:rPr>
                <w:sz w:val="1"/>
                <w:szCs w:val="1"/>
                <w:color w:val="auto"/>
              </w:rPr>
            </w:pPr>
          </w:p>
        </w:tc>
      </w:tr>
      <w:tr>
        <w:trPr>
          <w:trHeight w:val="245"/>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3100" w:type="dxa"/>
            <w:vAlign w:val="bottom"/>
            <w:gridSpan w:val="3"/>
          </w:tcPr>
          <w:p>
            <w:pPr>
              <w:ind w:left="10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70,000,000</w:t>
            </w:r>
          </w:p>
        </w:tc>
        <w:tc>
          <w:tcPr>
            <w:tcW w:w="3100" w:type="dxa"/>
            <w:vAlign w:val="bottom"/>
            <w:gridSpan w:val="3"/>
          </w:tcPr>
          <w:p>
            <w:pPr>
              <w:ind w:left="1000"/>
              <w:spacing w:after="0"/>
              <w:rPr>
                <w:sz w:val="20"/>
                <w:szCs w:val="20"/>
                <w:color w:val="auto"/>
              </w:rPr>
            </w:pPr>
            <w:r>
              <w:rPr>
                <w:rFonts w:ascii="Courier New" w:cs="Courier New" w:eastAsia="Courier New" w:hAnsi="Courier New"/>
                <w:sz w:val="15"/>
                <w:szCs w:val="15"/>
                <w:color w:val="auto"/>
              </w:rPr>
              <w:t>August 29, 1996 (4Q96)</w:t>
            </w:r>
          </w:p>
        </w:tc>
        <w:tc>
          <w:tcPr>
            <w:tcW w:w="0" w:type="dxa"/>
            <w:vAlign w:val="bottom"/>
          </w:tcPr>
          <w:p>
            <w:pPr>
              <w:spacing w:after="0"/>
              <w:rPr>
                <w:sz w:val="1"/>
                <w:szCs w:val="1"/>
                <w:color w:val="auto"/>
              </w:rPr>
            </w:pPr>
          </w:p>
        </w:tc>
      </w:tr>
      <w:tr>
        <w:trPr>
          <w:trHeight w:val="168"/>
        </w:trPr>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w w:val="94"/>
              </w:rPr>
              <w:t>100,000,000</w:t>
            </w:r>
          </w:p>
        </w:tc>
        <w:tc>
          <w:tcPr>
            <w:tcW w:w="210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w w:val="99"/>
              </w:rPr>
              <w:t>November 28,</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1996</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2"/>
              </w:rPr>
              <w:t>(1Q97)</w:t>
            </w:r>
          </w:p>
        </w:tc>
        <w:tc>
          <w:tcPr>
            <w:tcW w:w="0" w:type="dxa"/>
            <w:vAlign w:val="bottom"/>
          </w:tcPr>
          <w:p>
            <w:pPr>
              <w:spacing w:after="0"/>
              <w:rPr>
                <w:sz w:val="1"/>
                <w:szCs w:val="1"/>
                <w:color w:val="auto"/>
              </w:rPr>
            </w:pPr>
          </w:p>
        </w:tc>
      </w:tr>
      <w:tr>
        <w:trPr>
          <w:trHeight w:val="168"/>
        </w:trPr>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w w:val="94"/>
              </w:rPr>
              <w:t>110,000,000</w:t>
            </w:r>
          </w:p>
        </w:tc>
        <w:tc>
          <w:tcPr>
            <w:tcW w:w="210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w w:val="99"/>
              </w:rPr>
              <w:t>February 27,</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1997</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2"/>
              </w:rPr>
              <w:t>(2Q97)</w:t>
            </w:r>
          </w:p>
        </w:tc>
        <w:tc>
          <w:tcPr>
            <w:tcW w:w="0" w:type="dxa"/>
            <w:vAlign w:val="bottom"/>
          </w:tcPr>
          <w:p>
            <w:pPr>
              <w:spacing w:after="0"/>
              <w:rPr>
                <w:sz w:val="1"/>
                <w:szCs w:val="1"/>
                <w:color w:val="auto"/>
              </w:rPr>
            </w:pPr>
          </w:p>
        </w:tc>
      </w:tr>
      <w:tr>
        <w:trPr>
          <w:trHeight w:val="168"/>
        </w:trPr>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w w:val="94"/>
              </w:rPr>
              <w:t>165,000,000</w:t>
            </w:r>
          </w:p>
        </w:tc>
        <w:tc>
          <w:tcPr>
            <w:tcW w:w="210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w w:val="99"/>
              </w:rPr>
              <w:t>May 29, 1997</w:t>
            </w:r>
          </w:p>
        </w:tc>
        <w:tc>
          <w:tcPr>
            <w:tcW w:w="10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(3Q97)</w:t>
            </w:r>
          </w:p>
        </w:tc>
        <w:tc>
          <w:tcPr>
            <w:tcW w:w="0" w:type="dxa"/>
            <w:vAlign w:val="bottom"/>
          </w:tcPr>
          <w:p>
            <w:pPr>
              <w:spacing w:after="0"/>
              <w:rPr>
                <w:sz w:val="1"/>
                <w:szCs w:val="1"/>
                <w:color w:val="auto"/>
              </w:rPr>
            </w:pPr>
          </w:p>
        </w:tc>
      </w:tr>
      <w:tr>
        <w:trPr>
          <w:trHeight w:val="168"/>
        </w:trPr>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w w:val="94"/>
              </w:rPr>
              <w:t>205,000,000</w:t>
            </w:r>
          </w:p>
        </w:tc>
        <w:tc>
          <w:tcPr>
            <w:tcW w:w="3100" w:type="dxa"/>
            <w:vAlign w:val="bottom"/>
            <w:gridSpan w:val="3"/>
          </w:tcPr>
          <w:p>
            <w:pPr>
              <w:ind w:left="1000"/>
              <w:spacing w:after="0" w:line="168" w:lineRule="exact"/>
              <w:rPr>
                <w:sz w:val="20"/>
                <w:szCs w:val="20"/>
                <w:color w:val="auto"/>
              </w:rPr>
            </w:pPr>
            <w:r>
              <w:rPr>
                <w:rFonts w:ascii="Courier New" w:cs="Courier New" w:eastAsia="Courier New" w:hAnsi="Courier New"/>
                <w:sz w:val="15"/>
                <w:szCs w:val="15"/>
                <w:color w:val="auto"/>
              </w:rPr>
              <w:t>August 28, 1997 (4Q97)</w:t>
            </w:r>
          </w:p>
        </w:tc>
        <w:tc>
          <w:tcPr>
            <w:tcW w:w="0" w:type="dxa"/>
            <w:vAlign w:val="bottom"/>
          </w:tcPr>
          <w:p>
            <w:pPr>
              <w:spacing w:after="0"/>
              <w:rPr>
                <w:sz w:val="1"/>
                <w:szCs w:val="1"/>
                <w:color w:val="auto"/>
              </w:rPr>
            </w:pPr>
          </w:p>
        </w:tc>
      </w:tr>
      <w:tr>
        <w:trPr>
          <w:trHeight w:val="168"/>
        </w:trPr>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w w:val="94"/>
              </w:rPr>
              <w:t>215,000,000</w:t>
            </w:r>
          </w:p>
        </w:tc>
        <w:tc>
          <w:tcPr>
            <w:tcW w:w="210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w w:val="99"/>
              </w:rPr>
              <w:t>November 27,</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1997</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2"/>
              </w:rPr>
              <w:t>(1Q98)</w:t>
            </w:r>
          </w:p>
        </w:tc>
        <w:tc>
          <w:tcPr>
            <w:tcW w:w="0" w:type="dxa"/>
            <w:vAlign w:val="bottom"/>
          </w:tcPr>
          <w:p>
            <w:pPr>
              <w:spacing w:after="0"/>
              <w:rPr>
                <w:sz w:val="1"/>
                <w:szCs w:val="1"/>
                <w:color w:val="auto"/>
              </w:rPr>
            </w:pPr>
          </w:p>
        </w:tc>
      </w:tr>
      <w:tr>
        <w:trPr>
          <w:trHeight w:val="168"/>
        </w:trPr>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w w:val="94"/>
              </w:rPr>
              <w:t>230,000,000</w:t>
            </w:r>
          </w:p>
        </w:tc>
        <w:tc>
          <w:tcPr>
            <w:tcW w:w="210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w w:val="99"/>
              </w:rPr>
              <w:t>February 26,</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1998</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2"/>
              </w:rPr>
              <w:t>(2Q98)</w:t>
            </w:r>
          </w:p>
        </w:tc>
        <w:tc>
          <w:tcPr>
            <w:tcW w:w="0" w:type="dxa"/>
            <w:vAlign w:val="bottom"/>
          </w:tcPr>
          <w:p>
            <w:pPr>
              <w:spacing w:after="0"/>
              <w:rPr>
                <w:sz w:val="1"/>
                <w:szCs w:val="1"/>
                <w:color w:val="auto"/>
              </w:rPr>
            </w:pPr>
          </w:p>
        </w:tc>
      </w:tr>
      <w:tr>
        <w:trPr>
          <w:trHeight w:val="168"/>
        </w:trPr>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w w:val="94"/>
              </w:rPr>
              <w:t>250,000,000</w:t>
            </w:r>
          </w:p>
        </w:tc>
        <w:tc>
          <w:tcPr>
            <w:tcW w:w="210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w w:val="99"/>
              </w:rPr>
              <w:t>May 28, 1998</w:t>
            </w:r>
          </w:p>
        </w:tc>
        <w:tc>
          <w:tcPr>
            <w:tcW w:w="10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(3Q98)</w:t>
            </w:r>
          </w:p>
        </w:tc>
        <w:tc>
          <w:tcPr>
            <w:tcW w:w="0" w:type="dxa"/>
            <w:vAlign w:val="bottom"/>
          </w:tcPr>
          <w:p>
            <w:pPr>
              <w:spacing w:after="0"/>
              <w:rPr>
                <w:sz w:val="1"/>
                <w:szCs w:val="1"/>
                <w:color w:val="auto"/>
              </w:rPr>
            </w:pPr>
          </w:p>
        </w:tc>
      </w:tr>
      <w:tr>
        <w:trPr>
          <w:trHeight w:val="194"/>
        </w:trPr>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1107"/>
              <w:spacing w:after="0"/>
              <w:rPr>
                <w:sz w:val="20"/>
                <w:szCs w:val="20"/>
                <w:color w:val="auto"/>
              </w:rPr>
            </w:pPr>
            <w:r>
              <w:rPr>
                <w:rFonts w:ascii="Courier New" w:cs="Courier New" w:eastAsia="Courier New" w:hAnsi="Courier New"/>
                <w:sz w:val="15"/>
                <w:szCs w:val="15"/>
                <w:color w:val="auto"/>
                <w:w w:val="94"/>
              </w:rPr>
              <w:t>300,000,000</w:t>
            </w:r>
          </w:p>
        </w:tc>
        <w:tc>
          <w:tcPr>
            <w:tcW w:w="2100" w:type="dxa"/>
            <w:vAlign w:val="bottom"/>
          </w:tcPr>
          <w:p>
            <w:pPr>
              <w:ind w:left="1000"/>
              <w:spacing w:after="0"/>
              <w:rPr>
                <w:sz w:val="20"/>
                <w:szCs w:val="20"/>
                <w:color w:val="auto"/>
              </w:rPr>
            </w:pPr>
            <w:r>
              <w:rPr>
                <w:rFonts w:ascii="Courier New" w:cs="Courier New" w:eastAsia="Courier New" w:hAnsi="Courier New"/>
                <w:sz w:val="15"/>
                <w:szCs w:val="15"/>
                <w:color w:val="auto"/>
                <w:w w:val="99"/>
              </w:rPr>
              <w:t>September 3,</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w w:val="92"/>
              </w:rPr>
              <w:t>(4Q98)</w:t>
            </w:r>
          </w:p>
        </w:tc>
        <w:tc>
          <w:tcPr>
            <w:tcW w:w="0" w:type="dxa"/>
            <w:vAlign w:val="bottom"/>
          </w:tcPr>
          <w:p>
            <w:pPr>
              <w:spacing w:after="0"/>
              <w:rPr>
                <w:sz w:val="1"/>
                <w:szCs w:val="1"/>
                <w:color w:val="auto"/>
              </w:rPr>
            </w:pPr>
          </w:p>
        </w:tc>
      </w:tr>
    </w:tbl>
    <w:p>
      <w:pPr>
        <w:ind w:left="3500"/>
        <w:spacing w:after="0" w:line="237" w:lineRule="auto"/>
        <w:rPr>
          <w:sz w:val="20"/>
          <w:szCs w:val="20"/>
          <w:color w:val="auto"/>
        </w:rPr>
      </w:pPr>
      <w:r>
        <w:rPr>
          <w:rFonts w:ascii="Courier New" w:cs="Courier New" w:eastAsia="Courier New" w:hAnsi="Courier New"/>
          <w:sz w:val="15"/>
          <w:szCs w:val="15"/>
          <w:color w:val="auto"/>
        </w:rPr>
        <w:t>and as of the last day of each</w:t>
      </w:r>
    </w:p>
    <w:p>
      <w:pPr>
        <w:ind w:left="3500"/>
        <w:spacing w:after="0"/>
        <w:rPr>
          <w:sz w:val="20"/>
          <w:szCs w:val="20"/>
          <w:color w:val="auto"/>
        </w:rPr>
      </w:pPr>
      <w:r>
        <w:rPr>
          <w:rFonts w:ascii="Courier New" w:cs="Courier New" w:eastAsia="Courier New" w:hAnsi="Courier New"/>
          <w:sz w:val="15"/>
          <w:szCs w:val="15"/>
          <w:color w:val="auto"/>
        </w:rPr>
        <w:t>fiscal quarter thereafter</w:t>
      </w:r>
    </w:p>
    <w:p>
      <w:pPr>
        <w:spacing w:after="0" w:line="140" w:lineRule="exact"/>
        <w:rPr>
          <w:sz w:val="20"/>
          <w:szCs w:val="20"/>
          <w:color w:val="auto"/>
        </w:rPr>
      </w:pPr>
    </w:p>
    <w:p>
      <w:pPr>
        <w:ind w:left="-440" w:right="3499" w:firstLine="447"/>
        <w:spacing w:after="0" w:line="344" w:lineRule="auto"/>
        <w:tabs>
          <w:tab w:leader="none" w:pos="435"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 VII of the Credit Agreement is hereby amended by adding the following Section 7.16 at the end thereof:</w:t>
      </w:r>
    </w:p>
    <w:p>
      <w:pPr>
        <w:spacing w:after="0" w:line="17" w:lineRule="exact"/>
        <w:rPr>
          <w:sz w:val="20"/>
          <w:szCs w:val="20"/>
          <w:color w:val="auto"/>
        </w:rPr>
      </w:pPr>
    </w:p>
    <w:p>
      <w:pPr>
        <w:ind w:left="440"/>
        <w:spacing w:after="0"/>
        <w:tabs>
          <w:tab w:leader="none" w:pos="1040" w:val="left"/>
          <w:tab w:leader="none" w:pos="3840" w:val="left"/>
        </w:tabs>
        <w:rPr>
          <w:sz w:val="20"/>
          <w:szCs w:val="20"/>
          <w:color w:val="auto"/>
        </w:rPr>
      </w:pPr>
      <w:r>
        <w:rPr>
          <w:rFonts w:ascii="Courier New" w:cs="Courier New" w:eastAsia="Courier New" w:hAnsi="Courier New"/>
          <w:sz w:val="15"/>
          <w:szCs w:val="15"/>
          <w:color w:val="auto"/>
        </w:rPr>
        <w:t>"7.16</w:t>
        <w:tab/>
        <w:t>Maximum Consolidated Net Loss.</w:t>
      </w:r>
      <w:r>
        <w:rPr>
          <w:sz w:val="20"/>
          <w:szCs w:val="20"/>
          <w:color w:val="auto"/>
        </w:rPr>
        <w:tab/>
      </w:r>
      <w:r>
        <w:rPr>
          <w:rFonts w:ascii="Courier New" w:cs="Courier New" w:eastAsia="Courier New" w:hAnsi="Courier New"/>
          <w:sz w:val="14"/>
          <w:szCs w:val="14"/>
          <w:color w:val="auto"/>
        </w:rPr>
        <w:t>The Company shall</w:t>
      </w:r>
    </w:p>
    <w:p>
      <w:pPr>
        <w:spacing w:after="0" w:line="2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ind w:right="3939"/>
        <w:spacing w:after="0" w:line="277" w:lineRule="auto"/>
        <w:rPr>
          <w:sz w:val="20"/>
          <w:szCs w:val="20"/>
          <w:color w:val="auto"/>
        </w:rPr>
      </w:pPr>
      <w:r>
        <w:rPr>
          <w:rFonts w:ascii="Courier New" w:cs="Courier New" w:eastAsia="Courier New" w:hAnsi="Courier New"/>
          <w:sz w:val="14"/>
          <w:szCs w:val="14"/>
          <w:color w:val="auto"/>
        </w:rPr>
        <w:t>not permit, as of the last day of the applicable fiscal quarter, Consolidated Net Loss to exceed (a) $25,000,000, for the fiscal quarter ending August 29, 1996 (4Q96), (b) $15,000,000, for the fiscal quarter ending November 28, 1996 (1Q97), and (c) $5,000,000, for the fiscal quarter ending February 27, 1997 (2Q97).</w:t>
      </w:r>
    </w:p>
    <w:p>
      <w:pPr>
        <w:spacing w:after="0" w:line="68" w:lineRule="exact"/>
        <w:rPr>
          <w:sz w:val="20"/>
          <w:szCs w:val="20"/>
          <w:color w:val="auto"/>
        </w:rPr>
      </w:pPr>
    </w:p>
    <w:p>
      <w:pPr>
        <w:ind w:left="-440" w:right="3239" w:firstLine="447"/>
        <w:spacing w:after="0" w:line="344" w:lineRule="auto"/>
        <w:tabs>
          <w:tab w:leader="none" w:pos="43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8.04 of the Credit Agreement is hereby amended and restated in its entirety so as to read as follows:</w:t>
      </w:r>
    </w:p>
    <w:p>
      <w:pPr>
        <w:spacing w:after="0" w:line="17" w:lineRule="exact"/>
        <w:rPr>
          <w:sz w:val="20"/>
          <w:szCs w:val="20"/>
          <w:color w:val="auto"/>
        </w:rPr>
      </w:pPr>
    </w:p>
    <w:p>
      <w:pPr>
        <w:ind w:left="440"/>
        <w:spacing w:after="0"/>
        <w:tabs>
          <w:tab w:leader="none" w:pos="1040" w:val="left"/>
          <w:tab w:leader="none" w:pos="4360" w:val="left"/>
        </w:tabs>
        <w:rPr>
          <w:sz w:val="20"/>
          <w:szCs w:val="20"/>
          <w:color w:val="auto"/>
        </w:rPr>
      </w:pPr>
      <w:r>
        <w:rPr>
          <w:rFonts w:ascii="Courier New" w:cs="Courier New" w:eastAsia="Courier New" w:hAnsi="Courier New"/>
          <w:sz w:val="15"/>
          <w:szCs w:val="15"/>
          <w:color w:val="auto"/>
        </w:rPr>
        <w:t>"8.04</w:t>
        <w:tab/>
        <w:t>Certain Financial Covenant Defaults.</w:t>
      </w:r>
      <w:r>
        <w:rPr>
          <w:sz w:val="20"/>
          <w:szCs w:val="20"/>
          <w:color w:val="auto"/>
        </w:rPr>
        <w:tab/>
      </w:r>
      <w:r>
        <w:rPr>
          <w:rFonts w:ascii="Courier New" w:cs="Courier New" w:eastAsia="Courier New" w:hAnsi="Courier New"/>
          <w:sz w:val="14"/>
          <w:szCs w:val="14"/>
          <w:color w:val="auto"/>
        </w:rPr>
        <w:t>In the event</w:t>
      </w:r>
    </w:p>
    <w:p>
      <w:pPr>
        <w:spacing w:after="0" w:line="2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ind w:right="4279"/>
        <w:spacing w:after="0" w:line="254" w:lineRule="auto"/>
        <w:rPr>
          <w:sz w:val="20"/>
          <w:szCs w:val="20"/>
          <w:color w:val="auto"/>
        </w:rPr>
      </w:pPr>
      <w:r>
        <w:rPr>
          <w:rFonts w:ascii="Courier New" w:cs="Courier New" w:eastAsia="Courier New" w:hAnsi="Courier New"/>
          <w:sz w:val="14"/>
          <w:szCs w:val="14"/>
          <w:color w:val="auto"/>
        </w:rPr>
        <w:t>that, after taking into account any extraordinary charge to earnings taken or to be taken as of the end of any fiscal perio of the Company (a "Charge"), and if solely by virtue of such</w:t>
      </w:r>
    </w:p>
    <w:p>
      <w:pPr>
        <w:ind w:left="1660"/>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Charge, there would exist an Event of Default due to the breach</w:t>
      </w:r>
    </w:p>
    <w:p>
      <w:pPr>
        <w:ind w:right="3939"/>
        <w:spacing w:after="0" w:line="244" w:lineRule="auto"/>
        <w:rPr>
          <w:sz w:val="20"/>
          <w:szCs w:val="20"/>
          <w:color w:val="auto"/>
        </w:rPr>
      </w:pPr>
      <w:r>
        <w:rPr>
          <w:rFonts w:ascii="Courier New" w:cs="Courier New" w:eastAsia="Courier New" w:hAnsi="Courier New"/>
          <w:sz w:val="15"/>
          <w:szCs w:val="15"/>
          <w:color w:val="auto"/>
        </w:rPr>
        <w:t>of any of Sections 7.12, 7.13, 7.14, 7.15 or 7.16 as of such fiscal period end date, such Event of Default shall be deemed to arise upon the earlier of (a) the date after such fiscal period end date on which the Company announces publicly it will take, is taking or has taken such Charge (including an announcement in the form of a statement in a report filed with the SEC) or, if such announcement is made prior to such fiscal period end date, the date that is such fiscal period end date, and (b) the date the Company delivers to the Agent its audited annual or unaudited quarterly financial statements in respect of such fiscal period reflecting such Charge as taken."</w:t>
      </w:r>
    </w:p>
    <w:p>
      <w:pPr>
        <w:spacing w:after="0" w:line="92" w:lineRule="exact"/>
        <w:rPr>
          <w:sz w:val="20"/>
          <w:szCs w:val="20"/>
          <w:color w:val="auto"/>
        </w:rPr>
      </w:pPr>
    </w:p>
    <w:p>
      <w:pPr>
        <w:ind w:left="-440" w:right="3399" w:firstLine="447"/>
        <w:spacing w:after="0" w:line="381" w:lineRule="auto"/>
        <w:tabs>
          <w:tab w:leader="none" w:pos="435"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2.01 (Commitments and Pro Rata Shares) to the Credit Agreement is hereby replaced in its entirety by Schedule 2.01 attached hereto.</w:t>
      </w:r>
    </w:p>
    <w:p>
      <w:pPr>
        <w:spacing w:after="0" w:line="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99"/>
          </w:cols>
          <w:pgMar w:left="660" w:top="597" w:right="1440" w:bottom="1440" w:gutter="0" w:footer="0" w:header="0"/>
        </w:sectPr>
      </w:pPr>
    </w:p>
    <w:bookmarkStart w:id="81" w:name="page82"/>
    <w:bookmarkEnd w:id="81"/>
    <w:p>
      <w:pPr>
        <w:ind w:right="3239" w:firstLine="447"/>
        <w:spacing w:after="0" w:line="344" w:lineRule="auto"/>
        <w:tabs>
          <w:tab w:leader="none" w:pos="875"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 C (Form of Borrowing Base Certificate) to the Credit Agreement is hereby replaced in its entirety by Exhibit C attached hereto.</w:t>
      </w:r>
    </w:p>
    <w:p>
      <w:pPr>
        <w:spacing w:after="0" w:line="17" w:lineRule="exact"/>
        <w:rPr>
          <w:rFonts w:ascii="Courier New" w:cs="Courier New" w:eastAsia="Courier New" w:hAnsi="Courier New"/>
          <w:sz w:val="15"/>
          <w:szCs w:val="15"/>
          <w:color w:val="auto"/>
        </w:rPr>
      </w:pPr>
    </w:p>
    <w:p>
      <w:pPr>
        <w:ind w:right="3319" w:firstLine="447"/>
        <w:spacing w:after="0" w:line="344" w:lineRule="auto"/>
        <w:tabs>
          <w:tab w:leader="none" w:pos="875"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 D (Form of Compliance Certificate) to the Credit Agreement is hereby replaced in its entirety by Exhibit D attached hereto.</w:t>
      </w:r>
    </w:p>
    <w:p>
      <w:pPr>
        <w:spacing w:after="0" w:line="17" w:lineRule="exact"/>
        <w:rPr>
          <w:rFonts w:ascii="Courier New" w:cs="Courier New" w:eastAsia="Courier New" w:hAnsi="Courier New"/>
          <w:sz w:val="15"/>
          <w:szCs w:val="15"/>
          <w:color w:val="auto"/>
        </w:rPr>
      </w:pPr>
    </w:p>
    <w:p>
      <w:pPr>
        <w:ind w:right="3239" w:firstLine="447"/>
        <w:spacing w:after="0" w:line="290" w:lineRule="auto"/>
        <w:tabs>
          <w:tab w:leader="none" w:pos="875"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definitions of the following terms contained in Annex I to the Credit Agreement are each hereby amended and restated in their entirety so as to read as follows:</w:t>
      </w:r>
    </w:p>
    <w:p>
      <w:pPr>
        <w:spacing w:after="0" w:line="57" w:lineRule="exact"/>
        <w:rPr>
          <w:sz w:val="20"/>
          <w:szCs w:val="20"/>
          <w:color w:val="auto"/>
        </w:rPr>
      </w:pPr>
    </w:p>
    <w:p>
      <w:pPr>
        <w:ind w:left="440" w:right="3399" w:firstLine="437"/>
        <w:spacing w:after="0" w:line="273" w:lineRule="auto"/>
        <w:rPr>
          <w:sz w:val="20"/>
          <w:szCs w:val="20"/>
          <w:color w:val="auto"/>
        </w:rPr>
      </w:pPr>
      <w:r>
        <w:rPr>
          <w:rFonts w:ascii="Courier New" w:cs="Courier New" w:eastAsia="Courier New" w:hAnsi="Courier New"/>
          <w:sz w:val="15"/>
          <w:szCs w:val="15"/>
          <w:color w:val="auto"/>
        </w:rPr>
        <w:t>"Applicable Fee Percentage" means, for any date, the per annum percentage amount set forth below based on the Leverage Ratio set forth in the Compliance Certificate most recently delivered pursuant to Section 6.02(b):</w:t>
      </w:r>
    </w:p>
    <w:p>
      <w:pPr>
        <w:spacing w:after="0" w:line="66"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4600" w:type="dxa"/>
            <w:vAlign w:val="bottom"/>
          </w:tcPr>
          <w:p>
            <w:pPr>
              <w:spacing w:after="0"/>
              <w:rPr>
                <w:sz w:val="20"/>
                <w:szCs w:val="20"/>
                <w:color w:val="auto"/>
              </w:rPr>
            </w:pPr>
            <w:r>
              <w:rPr>
                <w:rFonts w:ascii="Courier New" w:cs="Courier New" w:eastAsia="Courier New" w:hAnsi="Courier New"/>
                <w:sz w:val="15"/>
                <w:szCs w:val="15"/>
                <w:color w:val="auto"/>
              </w:rPr>
              <w:t>Leverage</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Applicable</w:t>
            </w: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Ratio</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Fee Percentage</w:t>
            </w:r>
          </w:p>
        </w:tc>
      </w:tr>
      <w:tr>
        <w:trPr>
          <w:trHeight w:val="245"/>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59"/>
        </w:trPr>
        <w:tc>
          <w:tcPr>
            <w:tcW w:w="4600" w:type="dxa"/>
            <w:vAlign w:val="bottom"/>
          </w:tcPr>
          <w:p>
            <w:pPr>
              <w:spacing w:after="0"/>
              <w:rPr>
                <w:sz w:val="20"/>
                <w:szCs w:val="20"/>
                <w:color w:val="auto"/>
              </w:rPr>
            </w:pPr>
            <w:r>
              <w:rPr>
                <w:rFonts w:ascii="Courier New" w:cs="Courier New" w:eastAsia="Courier New" w:hAnsi="Courier New"/>
                <w:sz w:val="15"/>
                <w:szCs w:val="15"/>
                <w:color w:val="auto"/>
              </w:rPr>
              <w:t>Less than 0.250</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0.150%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Greater than or equal to 0.250 but less than 0.450</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0.225%</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Greater than or equal to 0.450 but less than 0.650</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0.275%</w:t>
            </w:r>
          </w:p>
        </w:tc>
      </w:tr>
      <w:tr>
        <w:trPr>
          <w:trHeight w:val="245"/>
        </w:trPr>
        <w:tc>
          <w:tcPr>
            <w:tcW w:w="4600" w:type="dxa"/>
            <w:vAlign w:val="bottom"/>
          </w:tcPr>
          <w:p>
            <w:pPr>
              <w:spacing w:after="0"/>
              <w:rPr>
                <w:sz w:val="20"/>
                <w:szCs w:val="20"/>
                <w:color w:val="auto"/>
              </w:rPr>
            </w:pPr>
            <w:r>
              <w:rPr>
                <w:rFonts w:ascii="Courier New" w:cs="Courier New" w:eastAsia="Courier New" w:hAnsi="Courier New"/>
                <w:sz w:val="15"/>
                <w:szCs w:val="15"/>
                <w:color w:val="auto"/>
              </w:rPr>
              <w:t>Greater than or equal to 0.650</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0.350%</w:t>
            </w:r>
          </w:p>
        </w:tc>
      </w:tr>
    </w:tbl>
    <w:p>
      <w:pPr>
        <w:spacing w:after="0" w:line="91" w:lineRule="exact"/>
        <w:rPr>
          <w:sz w:val="20"/>
          <w:szCs w:val="20"/>
          <w:color w:val="auto"/>
        </w:rPr>
      </w:pPr>
    </w:p>
    <w:p>
      <w:pPr>
        <w:ind w:left="440" w:right="3939" w:firstLine="437"/>
        <w:spacing w:after="0" w:line="258" w:lineRule="auto"/>
        <w:rPr>
          <w:sz w:val="20"/>
          <w:szCs w:val="20"/>
          <w:color w:val="auto"/>
        </w:rPr>
      </w:pPr>
      <w:r>
        <w:rPr>
          <w:rFonts w:ascii="Courier New" w:cs="Courier New" w:eastAsia="Courier New" w:hAnsi="Courier New"/>
          <w:sz w:val="15"/>
          <w:szCs w:val="15"/>
          <w:color w:val="auto"/>
        </w:rPr>
        <w:t>The Applicable Fee Percentage shall be adjusted automatically as to the commitment fee then accruing effective as of the 90th day after the end of each fiscal year and the 45th day of the end of the first three fiscal quarters of each fiscal year based on the Leverage Ratio set forth in the most recently delivered Compliance Certificate.</w:t>
      </w:r>
    </w:p>
    <w:p>
      <w:pPr>
        <w:spacing w:after="0" w:line="8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"Applicable Margin" means, for any date, with respect to</w:t>
      </w:r>
    </w:p>
    <w:p>
      <w:pPr>
        <w:spacing w:after="0" w:line="2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ind w:left="440" w:right="4199"/>
        <w:spacing w:after="0" w:line="285" w:lineRule="auto"/>
        <w:rPr>
          <w:sz w:val="20"/>
          <w:szCs w:val="20"/>
          <w:color w:val="auto"/>
        </w:rPr>
      </w:pPr>
      <w:r>
        <w:rPr>
          <w:rFonts w:ascii="Courier New" w:cs="Courier New" w:eastAsia="Courier New" w:hAnsi="Courier New"/>
          <w:sz w:val="14"/>
          <w:szCs w:val="14"/>
          <w:color w:val="auto"/>
        </w:rPr>
        <w:t>each Offshore Rate Loan or Base Rate Loan outstanding on such date, the applicable margin (on a per annum basis) set forth below based on the Leverage Ratio set forth in the Compliance Certificate most recently delivered pursuant to Section 6.02(b):</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62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Applicable Margin</w:t>
            </w:r>
          </w:p>
        </w:tc>
        <w:tc>
          <w:tcPr>
            <w:tcW w:w="0" w:type="dxa"/>
            <w:vAlign w:val="bottom"/>
          </w:tcPr>
          <w:p>
            <w:pPr>
              <w:spacing w:after="0"/>
              <w:rPr>
                <w:sz w:val="1"/>
                <w:szCs w:val="1"/>
                <w:color w:val="auto"/>
              </w:rPr>
            </w:pPr>
          </w:p>
        </w:tc>
      </w:tr>
      <w:tr>
        <w:trPr>
          <w:trHeight w:val="259"/>
        </w:trPr>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Leverage</w:t>
            </w:r>
          </w:p>
        </w:tc>
        <w:tc>
          <w:tcPr>
            <w:tcW w:w="12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Offshore Rate</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Base Rate</w:t>
            </w:r>
          </w:p>
        </w:tc>
        <w:tc>
          <w:tcPr>
            <w:tcW w:w="0" w:type="dxa"/>
            <w:vAlign w:val="bottom"/>
          </w:tcPr>
          <w:p>
            <w:pPr>
              <w:spacing w:after="0"/>
              <w:rPr>
                <w:sz w:val="1"/>
                <w:szCs w:val="1"/>
                <w:color w:val="auto"/>
              </w:rPr>
            </w:pP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Ratio</w:t>
            </w:r>
          </w:p>
        </w:tc>
        <w:tc>
          <w:tcPr>
            <w:tcW w:w="1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Loans</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Loans</w:t>
            </w:r>
          </w:p>
        </w:tc>
        <w:tc>
          <w:tcPr>
            <w:tcW w:w="0" w:type="dxa"/>
            <w:vAlign w:val="bottom"/>
          </w:tcPr>
          <w:p>
            <w:pPr>
              <w:spacing w:after="0"/>
              <w:rPr>
                <w:sz w:val="1"/>
                <w:szCs w:val="1"/>
                <w:color w:val="auto"/>
              </w:rPr>
            </w:pPr>
          </w:p>
        </w:tc>
      </w:tr>
      <w:tr>
        <w:trPr>
          <w:trHeight w:val="245"/>
        </w:trPr>
        <w:tc>
          <w:tcPr>
            <w:tcW w:w="2680" w:type="dxa"/>
            <w:vAlign w:val="bottom"/>
            <w:gridSpan w:val="2"/>
          </w:tcPr>
          <w:p>
            <w:pPr>
              <w:spacing w:after="0"/>
              <w:rPr>
                <w:sz w:val="20"/>
                <w:szCs w:val="20"/>
                <w:color w:val="auto"/>
              </w:rPr>
            </w:pPr>
            <w:r>
              <w:rPr>
                <w:rFonts w:ascii="Courier New" w:cs="Courier New" w:eastAsia="Courier New" w:hAnsi="Courier New"/>
                <w:sz w:val="15"/>
                <w:szCs w:val="15"/>
                <w:color w:val="auto"/>
                <w:w w:val="92"/>
              </w:rPr>
              <w:t>- ------------------------------</w:t>
            </w:r>
          </w:p>
        </w:tc>
        <w:tc>
          <w:tcPr>
            <w:tcW w:w="1880" w:type="dxa"/>
            <w:vAlign w:val="bottom"/>
          </w:tcPr>
          <w:p>
            <w:pPr>
              <w:spacing w:after="0"/>
              <w:rPr>
                <w:sz w:val="21"/>
                <w:szCs w:val="21"/>
                <w:color w:val="auto"/>
              </w:rPr>
            </w:pPr>
          </w:p>
        </w:tc>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1400" w:type="dxa"/>
            <w:vAlign w:val="bottom"/>
          </w:tcPr>
          <w:p>
            <w:pPr>
              <w:spacing w:after="0"/>
              <w:rPr>
                <w:sz w:val="20"/>
                <w:szCs w:val="20"/>
                <w:color w:val="auto"/>
              </w:rPr>
            </w:pPr>
            <w:r>
              <w:rPr>
                <w:rFonts w:ascii="Courier New" w:cs="Courier New" w:eastAsia="Courier New" w:hAnsi="Courier New"/>
                <w:sz w:val="15"/>
                <w:szCs w:val="15"/>
                <w:color w:val="auto"/>
              </w:rPr>
              <w:t>Less than 0.250</w:t>
            </w:r>
          </w:p>
        </w:tc>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equal to 0.250</w:t>
            </w:r>
          </w:p>
        </w:tc>
        <w:tc>
          <w:tcPr>
            <w:tcW w:w="18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but less than 0.450</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0.400%</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0.000%</w:t>
            </w:r>
          </w:p>
        </w:tc>
        <w:tc>
          <w:tcPr>
            <w:tcW w:w="0" w:type="dxa"/>
            <w:vAlign w:val="bottom"/>
          </w:tcPr>
          <w:p>
            <w:pPr>
              <w:spacing w:after="0"/>
              <w:rPr>
                <w:sz w:val="1"/>
                <w:szCs w:val="1"/>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Greater than or</w:t>
            </w:r>
          </w:p>
        </w:tc>
        <w:tc>
          <w:tcPr>
            <w:tcW w:w="1280" w:type="dxa"/>
            <w:vAlign w:val="bottom"/>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0.650%</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0.000%</w:t>
            </w:r>
          </w:p>
        </w:tc>
        <w:tc>
          <w:tcPr>
            <w:tcW w:w="0" w:type="dxa"/>
            <w:vAlign w:val="bottom"/>
          </w:tcPr>
          <w:p>
            <w:pPr>
              <w:spacing w:after="0"/>
              <w:rPr>
                <w:sz w:val="1"/>
                <w:szCs w:val="1"/>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Greater than or</w:t>
            </w:r>
          </w:p>
        </w:tc>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equal to 0.450</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but less than 0.650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0.750%</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0.000%</w:t>
            </w:r>
          </w:p>
        </w:tc>
        <w:tc>
          <w:tcPr>
            <w:tcW w:w="0" w:type="dxa"/>
            <w:vAlign w:val="bottom"/>
          </w:tcPr>
          <w:p>
            <w:pPr>
              <w:spacing w:after="0"/>
              <w:rPr>
                <w:sz w:val="1"/>
                <w:szCs w:val="1"/>
                <w:color w:val="auto"/>
              </w:rPr>
            </w:pPr>
          </w:p>
        </w:tc>
      </w:tr>
      <w:tr>
        <w:trPr>
          <w:trHeight w:val="245"/>
        </w:trPr>
        <w:tc>
          <w:tcPr>
            <w:tcW w:w="1400" w:type="dxa"/>
            <w:vAlign w:val="bottom"/>
          </w:tcPr>
          <w:p>
            <w:pPr>
              <w:spacing w:after="0"/>
              <w:rPr>
                <w:sz w:val="20"/>
                <w:szCs w:val="20"/>
                <w:color w:val="auto"/>
              </w:rPr>
            </w:pPr>
            <w:r>
              <w:rPr>
                <w:rFonts w:ascii="Courier New" w:cs="Courier New" w:eastAsia="Courier New" w:hAnsi="Courier New"/>
                <w:sz w:val="15"/>
                <w:szCs w:val="15"/>
                <w:color w:val="auto"/>
              </w:rPr>
              <w:t>Greater than or</w:t>
            </w:r>
          </w:p>
        </w:tc>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equal to 0.650</w:t>
            </w:r>
          </w:p>
        </w:tc>
        <w:tc>
          <w:tcPr>
            <w:tcW w:w="1880" w:type="dxa"/>
            <w:vAlign w:val="bottom"/>
          </w:tcPr>
          <w:p>
            <w:pPr>
              <w:spacing w:after="0"/>
              <w:rPr>
                <w:sz w:val="21"/>
                <w:szCs w:val="21"/>
                <w:color w:val="auto"/>
              </w:rPr>
            </w:pP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0.875%</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0.000%</w:t>
            </w:r>
          </w:p>
        </w:tc>
        <w:tc>
          <w:tcPr>
            <w:tcW w:w="0" w:type="dxa"/>
            <w:vAlign w:val="bottom"/>
          </w:tcPr>
          <w:p>
            <w:pPr>
              <w:spacing w:after="0"/>
              <w:rPr>
                <w:sz w:val="1"/>
                <w:szCs w:val="1"/>
                <w:color w:val="auto"/>
              </w:rPr>
            </w:pPr>
          </w:p>
        </w:tc>
      </w:tr>
      <w:tr>
        <w:trPr>
          <w:trHeight w:val="673"/>
        </w:trPr>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5</w:t>
            </w:r>
          </w:p>
        </w:tc>
        <w:tc>
          <w:tcPr>
            <w:tcW w:w="1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98" w:right="1440" w:bottom="1440" w:gutter="0" w:footer="0" w:header="0"/>
        </w:sectPr>
      </w:pPr>
    </w:p>
    <w:bookmarkStart w:id="82" w:name="page83"/>
    <w:bookmarkEnd w:id="82"/>
    <w:p>
      <w:pPr>
        <w:ind w:left="440" w:right="4099"/>
        <w:spacing w:after="0" w:line="298" w:lineRule="auto"/>
        <w:rPr>
          <w:sz w:val="20"/>
          <w:szCs w:val="20"/>
          <w:color w:val="auto"/>
        </w:rPr>
      </w:pPr>
      <w:r>
        <w:rPr>
          <w:rFonts w:ascii="Courier New" w:cs="Courier New" w:eastAsia="Courier New" w:hAnsi="Courier New"/>
          <w:sz w:val="14"/>
          <w:szCs w:val="14"/>
          <w:color w:val="auto"/>
        </w:rPr>
        <w:t>Provided, that at any time as the aggregate outstanding principal amount of Loans exceeds $250,000,000, the Applicable Margin in respect of any Offshore Rate Loans and Base Rate Loans then outstanding shall be increased by an additional 0.250%.</w:t>
      </w:r>
    </w:p>
    <w:p>
      <w:pPr>
        <w:spacing w:after="0" w:line="53" w:lineRule="exact"/>
        <w:rPr>
          <w:sz w:val="20"/>
          <w:szCs w:val="20"/>
          <w:color w:val="auto"/>
        </w:rPr>
      </w:pPr>
    </w:p>
    <w:p>
      <w:pPr>
        <w:ind w:left="440" w:right="4099" w:firstLine="437"/>
        <w:spacing w:after="0" w:line="258" w:lineRule="auto"/>
        <w:rPr>
          <w:sz w:val="20"/>
          <w:szCs w:val="20"/>
          <w:color w:val="auto"/>
        </w:rPr>
      </w:pPr>
      <w:r>
        <w:rPr>
          <w:rFonts w:ascii="Courier New" w:cs="Courier New" w:eastAsia="Courier New" w:hAnsi="Courier New"/>
          <w:sz w:val="15"/>
          <w:szCs w:val="15"/>
          <w:color w:val="auto"/>
        </w:rPr>
        <w:t>The Applicable Margin shall be adjusted automatically as to all Loans then outstanding effective as of the 90th day after the end of each fiscal year and the 45th day of the end of the first three fiscal quarters of each fiscal year based on the Leverage Ratio set forth in the most recently delivered Compliance Certificate.</w:t>
      </w:r>
    </w:p>
    <w:p>
      <w:pPr>
        <w:spacing w:after="0" w:line="8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"Borrowing Base" means, as of any date of determination,</w:t>
      </w:r>
    </w:p>
    <w:p>
      <w:pPr>
        <w:spacing w:after="0" w:line="2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ind w:left="440" w:right="4099"/>
        <w:spacing w:after="0" w:line="254" w:lineRule="auto"/>
        <w:rPr>
          <w:sz w:val="20"/>
          <w:szCs w:val="20"/>
          <w:color w:val="auto"/>
        </w:rPr>
      </w:pPr>
      <w:r>
        <w:rPr>
          <w:rFonts w:ascii="Courier New" w:cs="Courier New" w:eastAsia="Courier New" w:hAnsi="Courier New"/>
          <w:sz w:val="14"/>
          <w:szCs w:val="14"/>
          <w:color w:val="auto"/>
        </w:rPr>
        <w:t>an amount equal to (a) $200,000,000, plus (b) 70% of the Adjusted Net Accounts Receivables Amount, less (c) the Pari Passu Debt Amount, as of such date; provided, however, that if the average</w:t>
      </w:r>
    </w:p>
    <w:p>
      <w:pPr>
        <w:ind w:left="2640"/>
        <w:spacing w:after="0"/>
        <w:tabs>
          <w:tab w:leader="none" w:pos="3480" w:val="left"/>
        </w:tabs>
        <w:rPr>
          <w:sz w:val="20"/>
          <w:szCs w:val="20"/>
          <w:color w:val="auto"/>
        </w:rPr>
      </w:pPr>
      <w:r>
        <w:rPr>
          <w:rFonts w:ascii="Courier New" w:cs="Courier New" w:eastAsia="Courier New" w:hAnsi="Courier New"/>
          <w:sz w:val="15"/>
          <w:szCs w:val="15"/>
          <w:color w:val="auto"/>
        </w:rPr>
        <w:t>--------</w:t>
        <w:tab/>
        <w:t>-------</w:t>
      </w:r>
    </w:p>
    <w:p>
      <w:pPr>
        <w:ind w:left="440" w:right="3939"/>
        <w:spacing w:after="0" w:line="254" w:lineRule="auto"/>
        <w:rPr>
          <w:sz w:val="20"/>
          <w:szCs w:val="20"/>
          <w:color w:val="auto"/>
        </w:rPr>
      </w:pPr>
      <w:r>
        <w:rPr>
          <w:rFonts w:ascii="Courier New" w:cs="Courier New" w:eastAsia="Courier New" w:hAnsi="Courier New"/>
          <w:sz w:val="14"/>
          <w:szCs w:val="14"/>
          <w:color w:val="auto"/>
        </w:rPr>
        <w:t>daily used portion of the combined Commitments of all the Banks for the prior fiscal month (computed on a monthly basis in arrears on the last Business Day of each fiscal month based upon the daily utilization for that fiscal month as calculated by the Agent) exceeds 50%, (i) on and after May 30, 1997, or (ii) on and after February 28, 1997 if the Company has not consummated equipment financings of at least $300,000,000 from and including February 29, 1996 through and including February 27, 1997 (2Q97), then,</w:t>
      </w:r>
    </w:p>
    <w:p>
      <w:pPr>
        <w:spacing w:after="0" w:line="1"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w:t>
      </w:r>
    </w:p>
    <w:p>
      <w:pPr>
        <w:ind w:left="440" w:right="4019"/>
        <w:spacing w:after="0" w:line="260" w:lineRule="auto"/>
        <w:rPr>
          <w:sz w:val="20"/>
          <w:szCs w:val="20"/>
          <w:color w:val="auto"/>
        </w:rPr>
      </w:pPr>
      <w:r>
        <w:rPr>
          <w:rFonts w:ascii="Courier New" w:cs="Courier New" w:eastAsia="Courier New" w:hAnsi="Courier New"/>
          <w:sz w:val="15"/>
          <w:szCs w:val="15"/>
          <w:color w:val="auto"/>
        </w:rPr>
        <w:t>"Borrowing Base" shall mean, as of any date of determination, an amount equal to (a) 70% of the outstanding face amount of Eligible Accounts Receivable, less (b) the Pari Passu Debt Amount, as of such date.</w:t>
      </w:r>
    </w:p>
    <w:p>
      <w:pPr>
        <w:spacing w:after="0" w:line="7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"EBITDA" means, for any period, Consolidated Net Income or</w:t>
      </w:r>
    </w:p>
    <w:p>
      <w:pPr>
        <w:spacing w:after="0" w:line="2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ind w:left="440"/>
        <w:spacing w:after="0" w:line="237" w:lineRule="auto"/>
        <w:rPr>
          <w:sz w:val="20"/>
          <w:szCs w:val="20"/>
          <w:color w:val="auto"/>
        </w:rPr>
      </w:pPr>
      <w:r>
        <w:rPr>
          <w:rFonts w:ascii="Courier New" w:cs="Courier New" w:eastAsia="Courier New" w:hAnsi="Courier New"/>
          <w:sz w:val="15"/>
          <w:szCs w:val="15"/>
          <w:color w:val="auto"/>
        </w:rPr>
        <w:t>Consolidated Net Loss, as the case may be, for such period, plus</w:t>
      </w:r>
    </w:p>
    <w:p>
      <w:pPr>
        <w:ind w:left="5700"/>
        <w:spacing w:after="0" w:line="238" w:lineRule="auto"/>
        <w:rPr>
          <w:sz w:val="20"/>
          <w:szCs w:val="20"/>
          <w:color w:val="auto"/>
        </w:rPr>
      </w:pPr>
      <w:r>
        <w:rPr>
          <w:rFonts w:ascii="Courier New" w:cs="Courier New" w:eastAsia="Courier New" w:hAnsi="Courier New"/>
          <w:sz w:val="15"/>
          <w:szCs w:val="15"/>
          <w:color w:val="auto"/>
        </w:rPr>
        <w:t>----</w:t>
      </w:r>
    </w:p>
    <w:p>
      <w:pPr>
        <w:ind w:left="440" w:right="4199"/>
        <w:spacing w:after="0" w:line="260" w:lineRule="auto"/>
        <w:rPr>
          <w:sz w:val="20"/>
          <w:szCs w:val="20"/>
          <w:color w:val="auto"/>
        </w:rPr>
      </w:pPr>
      <w:r>
        <w:rPr>
          <w:rFonts w:ascii="Courier New" w:cs="Courier New" w:eastAsia="Courier New" w:hAnsi="Courier New"/>
          <w:sz w:val="15"/>
          <w:szCs w:val="15"/>
          <w:color w:val="auto"/>
        </w:rPr>
        <w:t>the sum of (a) consolidated interest expense, (b) income tax expense, (c) depreciation expense, and (d) amortization expense, which were deductible in determining Consolidated Net Income or Consolidated Net Loss.</w:t>
      </w:r>
    </w:p>
    <w:p>
      <w:pPr>
        <w:spacing w:after="0" w:line="79" w:lineRule="exact"/>
        <w:rPr>
          <w:sz w:val="20"/>
          <w:szCs w:val="20"/>
          <w:color w:val="auto"/>
        </w:rPr>
      </w:pPr>
    </w:p>
    <w:p>
      <w:pPr>
        <w:ind w:right="3319" w:firstLine="447"/>
        <w:spacing w:after="0" w:line="344" w:lineRule="auto"/>
        <w:tabs>
          <w:tab w:leader="none" w:pos="875"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 of the term "Net Proceeds" contained in Annex I to the Credit Agreement is hereby deleted.</w:t>
      </w:r>
    </w:p>
    <w:p>
      <w:pPr>
        <w:spacing w:after="0" w:line="17" w:lineRule="exact"/>
        <w:rPr>
          <w:rFonts w:ascii="Courier New" w:cs="Courier New" w:eastAsia="Courier New" w:hAnsi="Courier New"/>
          <w:sz w:val="15"/>
          <w:szCs w:val="15"/>
          <w:color w:val="auto"/>
        </w:rPr>
      </w:pPr>
    </w:p>
    <w:p>
      <w:pPr>
        <w:ind w:right="3239" w:firstLine="447"/>
        <w:spacing w:after="0" w:line="344" w:lineRule="auto"/>
        <w:tabs>
          <w:tab w:leader="none" w:pos="875"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Annex I to the Credit Agreement is hereby amended to add the following defined term therein, in appropriate alphabetical order:</w:t>
      </w:r>
    </w:p>
    <w:p>
      <w:pPr>
        <w:spacing w:after="0" w:line="1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"Permitted Sale-Leaseback Transaction" means a transaction pursuant to</w:t>
      </w:r>
    </w:p>
    <w:p>
      <w:pPr>
        <w:spacing w:after="0" w:line="2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ind w:left="440" w:right="3319"/>
        <w:spacing w:after="0" w:line="300" w:lineRule="auto"/>
        <w:rPr>
          <w:sz w:val="20"/>
          <w:szCs w:val="20"/>
          <w:color w:val="auto"/>
        </w:rPr>
      </w:pPr>
      <w:r>
        <w:rPr>
          <w:rFonts w:ascii="Courier New" w:cs="Courier New" w:eastAsia="Courier New" w:hAnsi="Courier New"/>
          <w:sz w:val="14"/>
          <w:szCs w:val="14"/>
          <w:color w:val="auto"/>
        </w:rPr>
        <w:t>which the Company or any of its Subsidiaries purchases equipment and, within 12 months thereafter, sells such equipment to, and leases back such equipment from, a third-party pursuant to an operating or capital lease.</w:t>
      </w:r>
    </w:p>
    <w:p>
      <w:pPr>
        <w:spacing w:after="0" w:line="52" w:lineRule="exact"/>
        <w:rPr>
          <w:sz w:val="20"/>
          <w:szCs w:val="20"/>
          <w:color w:val="auto"/>
        </w:rPr>
      </w:pPr>
    </w:p>
    <w:p>
      <w:pPr>
        <w:ind w:left="800" w:hanging="353"/>
        <w:spacing w:after="0"/>
        <w:tabs>
          <w:tab w:leader="none" w:pos="80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Company hereby represents and</w:t>
      </w:r>
    </w:p>
    <w:p>
      <w:pPr>
        <w:spacing w:after="0" w:line="24" w:lineRule="exact"/>
        <w:rPr>
          <w:rFonts w:ascii="Courier New" w:cs="Courier New" w:eastAsia="Courier New" w:hAnsi="Courier New"/>
          <w:sz w:val="15"/>
          <w:szCs w:val="15"/>
          <w:color w:val="auto"/>
        </w:rPr>
      </w:pP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warrants to the Agent and the Banks as follows:</w:t>
      </w:r>
    </w:p>
    <w:p>
      <w:pPr>
        <w:spacing w:after="0" w:line="140" w:lineRule="exact"/>
        <w:rPr>
          <w:sz w:val="20"/>
          <w:szCs w:val="20"/>
          <w:color w:val="auto"/>
        </w:rPr>
      </w:pPr>
    </w:p>
    <w:p>
      <w:pPr>
        <w:ind w:left="1240" w:hanging="443"/>
        <w:spacing w:after="0"/>
        <w:tabs>
          <w:tab w:leader="none" w:pos="12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has occurred and is continuing.</w:t>
      </w:r>
    </w:p>
    <w:p>
      <w:pPr>
        <w:spacing w:after="0" w:line="166" w:lineRule="exact"/>
        <w:rPr>
          <w:rFonts w:ascii="Courier New" w:cs="Courier New" w:eastAsia="Courier New" w:hAnsi="Courier New"/>
          <w:sz w:val="15"/>
          <w:szCs w:val="15"/>
          <w:color w:val="auto"/>
        </w:rPr>
      </w:pPr>
    </w:p>
    <w:p>
      <w:pPr>
        <w:ind w:right="3319" w:firstLine="797"/>
        <w:spacing w:after="0" w:line="276" w:lineRule="auto"/>
        <w:tabs>
          <w:tab w:leader="none" w:pos="1224"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the Company of this Amendment have been duly authorized by all necessary corporate and other action and do not and will not require any registration with, consent or approval of, notice to or action by, any Person (including any Governmental Authority) in order to be effective and enforceable. The Credit Agreement as amended by this Amendment constitutes the legal, valid and binding obligations of the Company, enforceable against it in accordance with its respective terms.</w:t>
      </w:r>
    </w:p>
    <w:p>
      <w:pPr>
        <w:spacing w:after="0" w:line="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598" w:right="1440" w:bottom="1440" w:gutter="0" w:footer="0" w:header="0"/>
        </w:sectPr>
      </w:pPr>
    </w:p>
    <w:bookmarkStart w:id="83" w:name="page84"/>
    <w:bookmarkEnd w:id="83"/>
    <w:p>
      <w:pPr>
        <w:ind w:right="3239" w:firstLine="884"/>
        <w:spacing w:after="0" w:line="264" w:lineRule="auto"/>
        <w:tabs>
          <w:tab w:leader="none" w:pos="1312"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the Company contained in Article V of the Credit Agreement (except for the representations and warranties contained in Sections 5.05 and 5.14) are true and correct, except to the extent such representations and warranties relate to an earlier date, in which case they were true and correct as of such earlier date.</w:t>
      </w:r>
    </w:p>
    <w:p>
      <w:pPr>
        <w:spacing w:after="0" w:line="74" w:lineRule="exact"/>
        <w:rPr>
          <w:rFonts w:ascii="Courier New" w:cs="Courier New" w:eastAsia="Courier New" w:hAnsi="Courier New"/>
          <w:sz w:val="15"/>
          <w:szCs w:val="15"/>
          <w:color w:val="auto"/>
        </w:rPr>
      </w:pPr>
    </w:p>
    <w:p>
      <w:pPr>
        <w:jc w:val="both"/>
        <w:ind w:right="3399" w:firstLine="884"/>
        <w:spacing w:after="0" w:line="290" w:lineRule="auto"/>
        <w:tabs>
          <w:tab w:leader="none" w:pos="1312"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entering into this Amendment on the basis of its own investigation and for its own reasons, without reliance upon the Agent and the Banks or any other Person.</w:t>
      </w:r>
    </w:p>
    <w:p>
      <w:pPr>
        <w:spacing w:after="0" w:line="5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This Amendment will become effective as of August 20,</w:t>
      </w:r>
    </w:p>
    <w:p>
      <w:pPr>
        <w:spacing w:after="0" w:line="35" w:lineRule="exact"/>
        <w:rPr>
          <w:rFonts w:ascii="Courier New" w:cs="Courier New" w:eastAsia="Courier New" w:hAnsi="Courier New"/>
          <w:sz w:val="14"/>
          <w:szCs w:val="14"/>
          <w:color w:val="auto"/>
        </w:rPr>
      </w:pPr>
    </w:p>
    <w:p>
      <w:pPr>
        <w:ind w:left="8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1996 (the "Effective Date"), provided that each of the following conditions</w:t>
      </w:r>
    </w:p>
    <w:p>
      <w:pPr>
        <w:ind w:left="980"/>
        <w:spacing w:after="0" w:line="237" w:lineRule="auto"/>
        <w:tabs>
          <w:tab w:leader="none" w:pos="2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precedent is satisfied:</w:t>
      </w:r>
    </w:p>
    <w:p>
      <w:pPr>
        <w:spacing w:after="0" w:line="140" w:lineRule="exact"/>
        <w:rPr>
          <w:sz w:val="20"/>
          <w:szCs w:val="20"/>
          <w:color w:val="auto"/>
        </w:rPr>
      </w:pPr>
    </w:p>
    <w:p>
      <w:pPr>
        <w:ind w:right="3239" w:firstLine="884"/>
        <w:spacing w:after="0" w:line="290" w:lineRule="auto"/>
        <w:tabs>
          <w:tab w:leader="none" w:pos="1312"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has received from the Company and the Majority Banks a duly executed original (or, if elected by the Agent, an executed facsimile copy) of this Amendment.</w:t>
      </w:r>
    </w:p>
    <w:p>
      <w:pPr>
        <w:spacing w:after="0" w:line="56" w:lineRule="exact"/>
        <w:rPr>
          <w:rFonts w:ascii="Courier New" w:cs="Courier New" w:eastAsia="Courier New" w:hAnsi="Courier New"/>
          <w:sz w:val="15"/>
          <w:szCs w:val="15"/>
          <w:color w:val="auto"/>
        </w:rPr>
      </w:pPr>
    </w:p>
    <w:p>
      <w:pPr>
        <w:ind w:right="3319" w:firstLine="884"/>
        <w:spacing w:after="0" w:line="344" w:lineRule="auto"/>
        <w:tabs>
          <w:tab w:leader="none" w:pos="1312"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representations and warranties contained herein are true and correct as of the Effective Date.</w:t>
      </w:r>
    </w:p>
    <w:p>
      <w:pPr>
        <w:spacing w:after="0" w:line="17" w:lineRule="exact"/>
        <w:rPr>
          <w:rFonts w:ascii="Courier New" w:cs="Courier New" w:eastAsia="Courier New" w:hAnsi="Courier New"/>
          <w:sz w:val="15"/>
          <w:szCs w:val="15"/>
          <w:color w:val="auto"/>
        </w:rPr>
      </w:pPr>
    </w:p>
    <w:p>
      <w:pPr>
        <w:ind w:right="3239" w:firstLine="884"/>
        <w:spacing w:after="0" w:line="273" w:lineRule="auto"/>
        <w:tabs>
          <w:tab w:leader="none" w:pos="1312"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has received from the Company, for the account of the Banks, a non-refundable amendment fee in the amount of $500,000, to be allocated among the Banks on the basis of their respective Pro Rata Shares of the Commitment, as reduced by this Amendment.</w:t>
      </w:r>
    </w:p>
    <w:p>
      <w:pPr>
        <w:spacing w:after="0" w:line="67" w:lineRule="exact"/>
        <w:rPr>
          <w:rFonts w:ascii="Courier New" w:cs="Courier New" w:eastAsia="Courier New" w:hAnsi="Courier New"/>
          <w:sz w:val="15"/>
          <w:szCs w:val="15"/>
          <w:color w:val="auto"/>
        </w:rPr>
      </w:pPr>
    </w:p>
    <w:p>
      <w:pPr>
        <w:ind w:right="3319" w:firstLine="884"/>
        <w:spacing w:after="0" w:line="381" w:lineRule="auto"/>
        <w:tabs>
          <w:tab w:leader="none" w:pos="1312"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has received from the Company, solely for the account of the Agent, such other fees as may be agreed to by the Agent and the Company.</w:t>
      </w:r>
    </w:p>
    <w:p>
      <w:pPr>
        <w:spacing w:after="0" w:line="1"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Reservation of Rights.  The Company acknowledges and agrees that the</w:t>
      </w:r>
    </w:p>
    <w:p>
      <w:pPr>
        <w:spacing w:after="0" w:line="35" w:lineRule="exact"/>
        <w:rPr>
          <w:rFonts w:ascii="Courier New" w:cs="Courier New" w:eastAsia="Courier New" w:hAnsi="Courier New"/>
          <w:sz w:val="14"/>
          <w:szCs w:val="14"/>
          <w:color w:val="auto"/>
        </w:rPr>
      </w:pPr>
    </w:p>
    <w:p>
      <w:pPr>
        <w:ind w:left="8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right="3239"/>
        <w:spacing w:after="0" w:line="260" w:lineRule="auto"/>
        <w:rPr>
          <w:sz w:val="20"/>
          <w:szCs w:val="20"/>
          <w:color w:val="auto"/>
        </w:rPr>
      </w:pPr>
      <w:r>
        <w:rPr>
          <w:rFonts w:ascii="Courier New" w:cs="Courier New" w:eastAsia="Courier New" w:hAnsi="Courier New"/>
          <w:sz w:val="15"/>
          <w:szCs w:val="15"/>
          <w:color w:val="auto"/>
        </w:rPr>
        <w:t>execution and delivery by the Agent and the Banks of this Amendment shall not be deemed to create a course of dealing or otherwise obligate the Agent or the Banks to forbear or execute similar amendments under the same or similar circumstances in the future.</w:t>
      </w:r>
    </w:p>
    <w:p>
      <w:pPr>
        <w:spacing w:after="0" w:line="79" w:lineRule="exact"/>
        <w:rPr>
          <w:sz w:val="20"/>
          <w:szCs w:val="20"/>
          <w:color w:val="auto"/>
        </w:rPr>
      </w:pPr>
    </w:p>
    <w:p>
      <w:pPr>
        <w:ind w:left="880" w:hanging="433"/>
        <w:spacing w:after="0"/>
        <w:tabs>
          <w:tab w:leader="none" w:pos="8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24"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rFonts w:ascii="Courier New" w:cs="Courier New" w:eastAsia="Courier New" w:hAnsi="Courier New"/>
          <w:sz w:val="15"/>
          <w:szCs w:val="15"/>
          <w:color w:val="auto"/>
        </w:rPr>
      </w:pPr>
    </w:p>
    <w:p>
      <w:pPr>
        <w:ind w:right="3239" w:firstLine="884"/>
        <w:spacing w:after="0" w:line="264" w:lineRule="auto"/>
        <w:tabs>
          <w:tab w:leader="none" w:pos="1312"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herein expressly amended, all terms, covenants and provisions of the Credit Agreement are and shall remain in full force and effect and all references therein to such Credit Agreement shall henceforth refer to the Credit Agreement as amended by this Amendment. This Amendment shall be deemed incorporated into, and a part of, the Credit Agreement.</w:t>
      </w:r>
    </w:p>
    <w:p>
      <w:pPr>
        <w:spacing w:after="0" w:line="74" w:lineRule="exact"/>
        <w:rPr>
          <w:rFonts w:ascii="Courier New" w:cs="Courier New" w:eastAsia="Courier New" w:hAnsi="Courier New"/>
          <w:sz w:val="15"/>
          <w:szCs w:val="15"/>
          <w:color w:val="auto"/>
        </w:rPr>
      </w:pPr>
    </w:p>
    <w:p>
      <w:pPr>
        <w:jc w:val="both"/>
        <w:ind w:right="3319" w:firstLine="884"/>
        <w:spacing w:after="0" w:line="320" w:lineRule="auto"/>
        <w:tabs>
          <w:tab w:leader="none" w:pos="1312"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shall be binding upon and inure to the benefit of the parties hereto and thereto and their respective successors and assigns. No third party beneficiaries are intended in connection with this Amendment.</w:t>
      </w:r>
    </w:p>
    <w:p>
      <w:pPr>
        <w:spacing w:after="0" w:line="38" w:lineRule="exact"/>
        <w:rPr>
          <w:rFonts w:ascii="Courier New" w:cs="Courier New" w:eastAsia="Courier New" w:hAnsi="Courier New"/>
          <w:sz w:val="14"/>
          <w:szCs w:val="14"/>
          <w:color w:val="auto"/>
        </w:rPr>
      </w:pPr>
    </w:p>
    <w:p>
      <w:pPr>
        <w:ind w:right="3399" w:firstLine="884"/>
        <w:spacing w:after="0" w:line="344" w:lineRule="auto"/>
        <w:tabs>
          <w:tab w:leader="none" w:pos="1312"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shall be governed by and construed in accordance with the law of the State of California.</w:t>
      </w:r>
    </w:p>
    <w:p>
      <w:pPr>
        <w:spacing w:after="0" w:line="17" w:lineRule="exact"/>
        <w:rPr>
          <w:rFonts w:ascii="Courier New" w:cs="Courier New" w:eastAsia="Courier New" w:hAnsi="Courier New"/>
          <w:sz w:val="15"/>
          <w:szCs w:val="15"/>
          <w:color w:val="auto"/>
        </w:rPr>
      </w:pPr>
    </w:p>
    <w:p>
      <w:pPr>
        <w:ind w:right="3319" w:firstLine="884"/>
        <w:spacing w:after="0" w:line="252" w:lineRule="auto"/>
        <w:tabs>
          <w:tab w:leader="none" w:pos="1312"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may be executed in any number of counterparts, each of which shall be deemed an original, but all such counterparts together shall constitute but one and the same instrument. Each of the parties hereto understands and agrees that this document may be delivered by any party thereto either in the form of an executed original or an executed original sent by facsimile transmission to be followed promptly by mailing of a hard copy original, and that receipt by the Agent of a facsimile transmitted document purportedly bearing the signature of a Bank or the</w:t>
      </w:r>
    </w:p>
    <w:p>
      <w:pPr>
        <w:spacing w:after="0" w:line="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598" w:right="1440" w:bottom="1440" w:gutter="0" w:footer="0" w:header="0"/>
        </w:sectPr>
      </w:pPr>
    </w:p>
    <w:bookmarkStart w:id="84" w:name="page85"/>
    <w:bookmarkEnd w:id="84"/>
    <w:p>
      <w:pPr>
        <w:ind w:right="3239"/>
        <w:spacing w:after="0" w:line="287" w:lineRule="auto"/>
        <w:rPr>
          <w:sz w:val="20"/>
          <w:szCs w:val="20"/>
          <w:color w:val="auto"/>
        </w:rPr>
      </w:pPr>
      <w:r>
        <w:rPr>
          <w:rFonts w:ascii="Courier New" w:cs="Courier New" w:eastAsia="Courier New" w:hAnsi="Courier New"/>
          <w:sz w:val="14"/>
          <w:szCs w:val="14"/>
          <w:color w:val="auto"/>
        </w:rPr>
        <w:t>Company shall bind such Bank or the Company, respectively, with the same force and effect as the delivery of a hard copy original. Any failure by the Agent to receive the hard copy executed original of such document shall not diminish the binding effect of receipt of the facsimile transmitted executed original of such document of the party whose hard copy page was not received by the Agent.</w:t>
      </w:r>
    </w:p>
    <w:p>
      <w:pPr>
        <w:spacing w:after="0" w:line="61" w:lineRule="exact"/>
        <w:rPr>
          <w:sz w:val="20"/>
          <w:szCs w:val="20"/>
          <w:color w:val="auto"/>
        </w:rPr>
      </w:pPr>
    </w:p>
    <w:p>
      <w:pPr>
        <w:ind w:right="3319" w:firstLine="884"/>
        <w:spacing w:after="0" w:line="258" w:lineRule="auto"/>
        <w:tabs>
          <w:tab w:leader="none" w:pos="1312"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together with the Credit Agreement, contains the entire and exclusive agreement of the parties hereto with reference to the matters discussed herein and therein. This Amendment supersedes all prior drafts and communications with respect thereto. This Amendment may not be amended except in accordance with the provisions of Section 10.01 of the Credit Agreement.</w:t>
      </w:r>
    </w:p>
    <w:p>
      <w:pPr>
        <w:spacing w:after="0" w:line="81" w:lineRule="exact"/>
        <w:rPr>
          <w:rFonts w:ascii="Courier New" w:cs="Courier New" w:eastAsia="Courier New" w:hAnsi="Courier New"/>
          <w:sz w:val="15"/>
          <w:szCs w:val="15"/>
          <w:color w:val="auto"/>
        </w:rPr>
      </w:pPr>
    </w:p>
    <w:p>
      <w:pPr>
        <w:ind w:right="3319" w:firstLine="884"/>
        <w:spacing w:after="0" w:line="273" w:lineRule="auto"/>
        <w:tabs>
          <w:tab w:leader="none" w:pos="1312"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term or provision of this Amendment shall be deemed prohibited by or invalid under any applicable law, such provision shall be invalidated without affecting the remaining provisions of this Amendment or the Credit Agreement, respectively.</w:t>
      </w:r>
    </w:p>
    <w:p>
      <w:pPr>
        <w:spacing w:after="0" w:line="67" w:lineRule="exact"/>
        <w:rPr>
          <w:rFonts w:ascii="Courier New" w:cs="Courier New" w:eastAsia="Courier New" w:hAnsi="Courier New"/>
          <w:sz w:val="15"/>
          <w:szCs w:val="15"/>
          <w:color w:val="auto"/>
        </w:rPr>
      </w:pPr>
    </w:p>
    <w:p>
      <w:pPr>
        <w:ind w:right="3319" w:firstLine="884"/>
        <w:spacing w:after="0" w:line="273" w:lineRule="auto"/>
        <w:tabs>
          <w:tab w:leader="none" w:pos="1312"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covenants to pay to or reimburse the Agent, upon demand, for all costs and expenses (including allocated costs of in-house counsel) incurred in connection with the development, preparation, negotiation, execution and delivery of this Amendment.</w:t>
      </w:r>
    </w:p>
    <w:p>
      <w:pPr>
        <w:spacing w:after="0" w:line="68" w:lineRule="exact"/>
        <w:rPr>
          <w:sz w:val="20"/>
          <w:szCs w:val="20"/>
          <w:color w:val="auto"/>
        </w:rPr>
      </w:pPr>
    </w:p>
    <w:p>
      <w:pPr>
        <w:ind w:right="3579" w:firstLine="875"/>
        <w:spacing w:after="0" w:line="344" w:lineRule="auto"/>
        <w:rPr>
          <w:sz w:val="20"/>
          <w:szCs w:val="20"/>
          <w:color w:val="auto"/>
        </w:rPr>
      </w:pPr>
      <w:r>
        <w:rPr>
          <w:rFonts w:ascii="Courier New" w:cs="Courier New" w:eastAsia="Courier New" w:hAnsi="Courier New"/>
          <w:sz w:val="15"/>
          <w:szCs w:val="15"/>
          <w:color w:val="auto"/>
        </w:rPr>
        <w:t>IN WITNESS WHEREOF, the parties hereto have executed and delivered this Amendment as of the date first above written.</w:t>
      </w:r>
    </w:p>
    <w:p>
      <w:pPr>
        <w:spacing w:after="0" w:line="18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MICRON TECHNOLOGY, INC.</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By: /S/ Norman L. Schlachter</w:t>
      </w:r>
    </w:p>
    <w:p>
      <w:pPr>
        <w:spacing w:after="0" w:line="2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ind w:left="2540"/>
        <w:spacing w:after="0" w:line="237" w:lineRule="auto"/>
        <w:tabs>
          <w:tab w:leader="none" w:pos="3140" w:val="left"/>
        </w:tabs>
        <w:rPr>
          <w:sz w:val="20"/>
          <w:szCs w:val="20"/>
          <w:color w:val="auto"/>
        </w:rPr>
      </w:pPr>
      <w:r>
        <w:rPr>
          <w:rFonts w:ascii="Courier New" w:cs="Courier New" w:eastAsia="Courier New" w:hAnsi="Courier New"/>
          <w:sz w:val="15"/>
          <w:szCs w:val="15"/>
          <w:color w:val="auto"/>
        </w:rPr>
        <w:t>Name:</w:t>
        <w:tab/>
        <w:t>Norman L. Schlachter</w:t>
      </w:r>
    </w:p>
    <w:p>
      <w:pPr>
        <w:ind w:left="2540"/>
        <w:spacing w:after="0"/>
        <w:rPr>
          <w:sz w:val="20"/>
          <w:szCs w:val="20"/>
          <w:color w:val="auto"/>
        </w:rPr>
      </w:pPr>
      <w:r>
        <w:rPr>
          <w:rFonts w:ascii="Courier New" w:cs="Courier New" w:eastAsia="Courier New" w:hAnsi="Courier New"/>
          <w:sz w:val="15"/>
          <w:szCs w:val="15"/>
          <w:color w:val="auto"/>
        </w:rPr>
        <w:t>Title: Treasurer</w:t>
      </w:r>
    </w:p>
    <w:p>
      <w:pPr>
        <w:spacing w:after="0" w:line="30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BANK OF AMERICA NATIONAL TRUST</w:t>
      </w: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AND SAVINGS ASSOCIATION, as Agent</w:t>
      </w:r>
    </w:p>
    <w:p>
      <w:pPr>
        <w:spacing w:after="0" w:line="30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By: /s/ Wendy M. Young</w:t>
      </w:r>
    </w:p>
    <w:p>
      <w:pPr>
        <w:spacing w:after="0" w:line="2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ind w:left="2540"/>
        <w:spacing w:after="0" w:line="237" w:lineRule="auto"/>
        <w:tabs>
          <w:tab w:leader="none" w:pos="3140" w:val="left"/>
        </w:tabs>
        <w:rPr>
          <w:sz w:val="20"/>
          <w:szCs w:val="20"/>
          <w:color w:val="auto"/>
        </w:rPr>
      </w:pPr>
      <w:r>
        <w:rPr>
          <w:rFonts w:ascii="Courier New" w:cs="Courier New" w:eastAsia="Courier New" w:hAnsi="Courier New"/>
          <w:sz w:val="15"/>
          <w:szCs w:val="15"/>
          <w:color w:val="auto"/>
        </w:rPr>
        <w:t>Name:</w:t>
        <w:tab/>
        <w:t>Wendy M. Young</w:t>
      </w:r>
    </w:p>
    <w:p>
      <w:pPr>
        <w:ind w:left="2540"/>
        <w:spacing w:after="0"/>
        <w:rPr>
          <w:sz w:val="20"/>
          <w:szCs w:val="20"/>
          <w:color w:val="auto"/>
        </w:rPr>
      </w:pPr>
      <w:r>
        <w:rPr>
          <w:rFonts w:ascii="Courier New" w:cs="Courier New" w:eastAsia="Courier New" w:hAnsi="Courier New"/>
          <w:sz w:val="15"/>
          <w:szCs w:val="15"/>
          <w:color w:val="auto"/>
        </w:rPr>
        <w:t>Title: Vice President</w:t>
      </w:r>
    </w:p>
    <w:p>
      <w:pPr>
        <w:spacing w:after="0" w:line="30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BANK OF AMERICA NATIONAL TRUST</w:t>
      </w: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AND SAVINGS ASSOCIATION, as a Bank</w:t>
      </w:r>
    </w:p>
    <w:p>
      <w:pPr>
        <w:spacing w:after="0" w:line="14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By: /s/ Michael J. McCutchin</w:t>
      </w:r>
    </w:p>
    <w:p>
      <w:pPr>
        <w:spacing w:after="0" w:line="2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ind w:left="2540"/>
        <w:spacing w:after="0" w:line="237" w:lineRule="auto"/>
        <w:tabs>
          <w:tab w:leader="none" w:pos="3140" w:val="left"/>
        </w:tabs>
        <w:rPr>
          <w:sz w:val="20"/>
          <w:szCs w:val="20"/>
          <w:color w:val="auto"/>
        </w:rPr>
      </w:pPr>
      <w:r>
        <w:rPr>
          <w:rFonts w:ascii="Courier New" w:cs="Courier New" w:eastAsia="Courier New" w:hAnsi="Courier New"/>
          <w:sz w:val="15"/>
          <w:szCs w:val="15"/>
          <w:color w:val="auto"/>
        </w:rPr>
        <w:t>Name:</w:t>
        <w:tab/>
        <w:t>Michael J. McCutchin</w:t>
      </w:r>
    </w:p>
    <w:p>
      <w:pPr>
        <w:ind w:left="2540"/>
        <w:spacing w:after="0"/>
        <w:rPr>
          <w:sz w:val="20"/>
          <w:szCs w:val="20"/>
          <w:color w:val="auto"/>
        </w:rPr>
      </w:pPr>
      <w:r>
        <w:rPr>
          <w:rFonts w:ascii="Courier New" w:cs="Courier New" w:eastAsia="Courier New" w:hAnsi="Courier New"/>
          <w:sz w:val="15"/>
          <w:szCs w:val="15"/>
          <w:color w:val="auto"/>
        </w:rPr>
        <w:t>Title: Vice President</w:t>
      </w: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597" w:right="1440" w:bottom="1440" w:gutter="0" w:footer="0" w:header="0"/>
        </w:sectPr>
      </w:pPr>
    </w:p>
    <w:bookmarkStart w:id="85" w:name="page86"/>
    <w:bookmarkEnd w:id="85"/>
    <w:p>
      <w:pPr>
        <w:ind w:left="1320"/>
        <w:spacing w:after="0"/>
        <w:rPr>
          <w:sz w:val="20"/>
          <w:szCs w:val="20"/>
          <w:color w:val="auto"/>
        </w:rPr>
      </w:pPr>
      <w:r>
        <w:rPr>
          <w:rFonts w:ascii="Courier New" w:cs="Courier New" w:eastAsia="Courier New" w:hAnsi="Courier New"/>
          <w:sz w:val="14"/>
          <w:szCs w:val="14"/>
          <w:color w:val="auto"/>
        </w:rPr>
        <w:t>SEATTLE FIRST NATIONAL BANK, as Co-Agent</w:t>
      </w:r>
    </w:p>
    <w:p>
      <w:pPr>
        <w:spacing w:after="0" w:line="34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By: /s/ Thomas P. Rook</w:t>
      </w:r>
    </w:p>
    <w:p>
      <w:pPr>
        <w:spacing w:after="0" w:line="2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w:t>
      </w:r>
    </w:p>
    <w:p>
      <w:pPr>
        <w:ind w:left="1320"/>
        <w:spacing w:after="0" w:line="237" w:lineRule="auto"/>
        <w:rPr>
          <w:sz w:val="20"/>
          <w:szCs w:val="20"/>
          <w:color w:val="auto"/>
        </w:rPr>
      </w:pPr>
      <w:r>
        <w:rPr>
          <w:rFonts w:ascii="Courier New" w:cs="Courier New" w:eastAsia="Courier New" w:hAnsi="Courier New"/>
          <w:sz w:val="15"/>
          <w:szCs w:val="15"/>
          <w:color w:val="auto"/>
        </w:rPr>
        <w:t>Name: Thomas P. Rook</w:t>
      </w:r>
    </w:p>
    <w:p>
      <w:pPr>
        <w:ind w:left="132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27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BANK OF MONTREAL, as Co-Agent</w:t>
      </w:r>
    </w:p>
    <w:p>
      <w:pPr>
        <w:spacing w:after="0" w:line="33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By: /s/ Authorized Signatory</w:t>
      </w:r>
    </w:p>
    <w:p>
      <w:pPr>
        <w:spacing w:after="0" w:line="2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w:t>
      </w:r>
    </w:p>
    <w:p>
      <w:pPr>
        <w:ind w:left="1320"/>
        <w:spacing w:after="0" w:line="237" w:lineRule="auto"/>
        <w:rPr>
          <w:sz w:val="20"/>
          <w:szCs w:val="20"/>
          <w:color w:val="auto"/>
        </w:rPr>
      </w:pPr>
      <w:r>
        <w:rPr>
          <w:rFonts w:ascii="Courier New" w:cs="Courier New" w:eastAsia="Courier New" w:hAnsi="Courier New"/>
          <w:sz w:val="15"/>
          <w:szCs w:val="15"/>
          <w:color w:val="auto"/>
        </w:rPr>
        <w:t>Name:</w:t>
      </w:r>
    </w:p>
    <w:p>
      <w:pPr>
        <w:ind w:left="132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7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PNC BANK, NATIONAL ASSOCIATION,</w:t>
      </w:r>
    </w:p>
    <w:p>
      <w:pPr>
        <w:spacing w:after="0" w:line="24"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as Co-Agent</w:t>
      </w:r>
    </w:p>
    <w:p>
      <w:pPr>
        <w:spacing w:after="0" w:line="200" w:lineRule="exact"/>
        <w:rPr>
          <w:sz w:val="20"/>
          <w:szCs w:val="20"/>
          <w:color w:val="auto"/>
        </w:rPr>
      </w:pPr>
    </w:p>
    <w:p>
      <w:pPr>
        <w:spacing w:after="0" w:line="27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By: /s/ Jeffrey P. White</w:t>
      </w:r>
    </w:p>
    <w:p>
      <w:pPr>
        <w:spacing w:after="0" w:line="2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w:t>
      </w:r>
    </w:p>
    <w:p>
      <w:pPr>
        <w:ind w:left="1320"/>
        <w:spacing w:after="0" w:line="237" w:lineRule="auto"/>
        <w:rPr>
          <w:sz w:val="20"/>
          <w:szCs w:val="20"/>
          <w:color w:val="auto"/>
        </w:rPr>
      </w:pPr>
      <w:r>
        <w:rPr>
          <w:rFonts w:ascii="Courier New" w:cs="Courier New" w:eastAsia="Courier New" w:hAnsi="Courier New"/>
          <w:sz w:val="15"/>
          <w:szCs w:val="15"/>
          <w:color w:val="auto"/>
        </w:rPr>
        <w:t>Name: Jeffrey P. White</w:t>
      </w:r>
    </w:p>
    <w:p>
      <w:pPr>
        <w:ind w:left="1320"/>
        <w:spacing w:after="0"/>
        <w:rPr>
          <w:sz w:val="20"/>
          <w:szCs w:val="20"/>
          <w:color w:val="auto"/>
        </w:rPr>
      </w:pPr>
      <w:r>
        <w:rPr>
          <w:rFonts w:ascii="Courier New" w:cs="Courier New" w:eastAsia="Courier New" w:hAnsi="Courier New"/>
          <w:sz w:val="15"/>
          <w:szCs w:val="15"/>
          <w:color w:val="auto"/>
        </w:rPr>
        <w:t>Title: Commercial Banking Officer</w:t>
      </w:r>
    </w:p>
    <w:p>
      <w:pPr>
        <w:spacing w:after="0" w:line="30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UNITED STATES NATIONAL BANK OF OREGON,</w:t>
      </w:r>
    </w:p>
    <w:p>
      <w:pPr>
        <w:spacing w:after="0" w:line="24"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as Co-Agent</w:t>
      </w:r>
    </w:p>
    <w:p>
      <w:pPr>
        <w:spacing w:after="0" w:line="200" w:lineRule="exact"/>
        <w:rPr>
          <w:sz w:val="20"/>
          <w:szCs w:val="20"/>
          <w:color w:val="auto"/>
        </w:rPr>
      </w:pPr>
    </w:p>
    <w:p>
      <w:pPr>
        <w:spacing w:after="0" w:line="27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By: /s/ Jeff A. Killian</w:t>
      </w:r>
    </w:p>
    <w:p>
      <w:pPr>
        <w:spacing w:after="0" w:line="2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w:t>
      </w:r>
    </w:p>
    <w:p>
      <w:pPr>
        <w:ind w:left="1320"/>
        <w:spacing w:after="0" w:line="237" w:lineRule="auto"/>
        <w:rPr>
          <w:sz w:val="20"/>
          <w:szCs w:val="20"/>
          <w:color w:val="auto"/>
        </w:rPr>
      </w:pPr>
      <w:r>
        <w:rPr>
          <w:rFonts w:ascii="Courier New" w:cs="Courier New" w:eastAsia="Courier New" w:hAnsi="Courier New"/>
          <w:sz w:val="15"/>
          <w:szCs w:val="15"/>
          <w:color w:val="auto"/>
        </w:rPr>
        <w:t>Name: Jeff A. Killian</w:t>
      </w:r>
    </w:p>
    <w:p>
      <w:pPr>
        <w:ind w:left="1320"/>
        <w:spacing w:after="0"/>
        <w:rPr>
          <w:sz w:val="20"/>
          <w:szCs w:val="20"/>
          <w:color w:val="auto"/>
        </w:rPr>
      </w:pPr>
      <w:r>
        <w:rPr>
          <w:rFonts w:ascii="Courier New" w:cs="Courier New" w:eastAsia="Courier New" w:hAnsi="Courier New"/>
          <w:sz w:val="15"/>
          <w:szCs w:val="15"/>
          <w:color w:val="auto"/>
        </w:rPr>
        <w:t>Title: Vice President</w:t>
      </w:r>
    </w:p>
    <w:p>
      <w:pPr>
        <w:spacing w:after="0" w:line="140"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019"/>
          </w:cols>
          <w:pgMar w:left="1440" w:top="598" w:right="1440" w:bottom="1440" w:gutter="0" w:footer="0" w:header="0"/>
        </w:sectPr>
      </w:pPr>
    </w:p>
    <w:bookmarkStart w:id="86" w:name="page87"/>
    <w:bookmarkEnd w:id="86"/>
    <w:p>
      <w:pPr>
        <w:ind w:left="1320"/>
        <w:spacing w:after="0"/>
        <w:rPr>
          <w:sz w:val="20"/>
          <w:szCs w:val="20"/>
          <w:color w:val="auto"/>
        </w:rPr>
      </w:pPr>
      <w:r>
        <w:rPr>
          <w:rFonts w:ascii="Courier New" w:cs="Courier New" w:eastAsia="Courier New" w:hAnsi="Courier New"/>
          <w:sz w:val="15"/>
          <w:szCs w:val="15"/>
          <w:color w:val="auto"/>
        </w:rPr>
        <w:t>ABN AMRO BANK N.V. SEATTLE BRANCH</w:t>
      </w:r>
    </w:p>
    <w:p>
      <w:pPr>
        <w:spacing w:after="0" w:line="24" w:lineRule="exact"/>
        <w:rPr>
          <w:sz w:val="20"/>
          <w:szCs w:val="20"/>
          <w:color w:val="auto"/>
        </w:rPr>
      </w:pPr>
    </w:p>
    <w:p>
      <w:pPr>
        <w:ind w:left="1320"/>
        <w:spacing w:after="0"/>
        <w:tabs>
          <w:tab w:leader="none" w:pos="1740" w:val="left"/>
        </w:tabs>
        <w:rPr>
          <w:sz w:val="20"/>
          <w:szCs w:val="20"/>
          <w:color w:val="auto"/>
        </w:rPr>
      </w:pPr>
      <w:r>
        <w:rPr>
          <w:rFonts w:ascii="Courier New" w:cs="Courier New" w:eastAsia="Courier New" w:hAnsi="Courier New"/>
          <w:sz w:val="14"/>
          <w:szCs w:val="14"/>
          <w:color w:val="auto"/>
        </w:rPr>
        <w:t>By:</w:t>
        <w:tab/>
        <w:t>ABN AMRO North America, Inc., as agent</w:t>
      </w:r>
    </w:p>
    <w:p>
      <w:pPr>
        <w:spacing w:after="0" w:line="200" w:lineRule="exact"/>
        <w:rPr>
          <w:sz w:val="20"/>
          <w:szCs w:val="20"/>
          <w:color w:val="auto"/>
        </w:rPr>
      </w:pPr>
    </w:p>
    <w:p>
      <w:pPr>
        <w:spacing w:after="0" w:line="288"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By: /s/ Lee-Lee Miao</w:t>
      </w:r>
    </w:p>
    <w:p>
      <w:pPr>
        <w:spacing w:after="0" w:line="2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w:t>
      </w:r>
    </w:p>
    <w:p>
      <w:pPr>
        <w:ind w:left="1320"/>
        <w:spacing w:after="0" w:line="237" w:lineRule="auto"/>
        <w:rPr>
          <w:sz w:val="20"/>
          <w:szCs w:val="20"/>
          <w:color w:val="auto"/>
        </w:rPr>
      </w:pPr>
      <w:r>
        <w:rPr>
          <w:rFonts w:ascii="Courier New" w:cs="Courier New" w:eastAsia="Courier New" w:hAnsi="Courier New"/>
          <w:sz w:val="15"/>
          <w:szCs w:val="15"/>
          <w:color w:val="auto"/>
        </w:rPr>
        <w:t>Name: Lee-Lee Miao</w:t>
      </w:r>
    </w:p>
    <w:p>
      <w:pPr>
        <w:ind w:left="1320"/>
        <w:spacing w:after="0"/>
        <w:rPr>
          <w:sz w:val="20"/>
          <w:szCs w:val="20"/>
          <w:color w:val="auto"/>
        </w:rPr>
      </w:pPr>
      <w:r>
        <w:rPr>
          <w:rFonts w:ascii="Courier New" w:cs="Courier New" w:eastAsia="Courier New" w:hAnsi="Courier New"/>
          <w:sz w:val="15"/>
          <w:szCs w:val="15"/>
          <w:color w:val="auto"/>
        </w:rPr>
        <w:t>Title: Vice President and Director</w:t>
      </w:r>
    </w:p>
    <w:p>
      <w:pPr>
        <w:spacing w:after="0" w:line="30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By: /s/ Leif H. Olsson</w:t>
      </w:r>
    </w:p>
    <w:p>
      <w:pPr>
        <w:spacing w:after="0" w:line="2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w:t>
      </w:r>
    </w:p>
    <w:p>
      <w:pPr>
        <w:ind w:left="1320"/>
        <w:spacing w:after="0" w:line="237" w:lineRule="auto"/>
        <w:rPr>
          <w:sz w:val="20"/>
          <w:szCs w:val="20"/>
          <w:color w:val="auto"/>
        </w:rPr>
      </w:pPr>
      <w:r>
        <w:rPr>
          <w:rFonts w:ascii="Courier New" w:cs="Courier New" w:eastAsia="Courier New" w:hAnsi="Courier New"/>
          <w:sz w:val="15"/>
          <w:szCs w:val="15"/>
          <w:color w:val="auto"/>
        </w:rPr>
        <w:t>Name: Leif H. Olsson</w:t>
      </w:r>
    </w:p>
    <w:p>
      <w:pPr>
        <w:ind w:left="1320"/>
        <w:spacing w:after="0"/>
        <w:rPr>
          <w:sz w:val="20"/>
          <w:szCs w:val="20"/>
          <w:color w:val="auto"/>
        </w:rPr>
      </w:pPr>
      <w:r>
        <w:rPr>
          <w:rFonts w:ascii="Courier New" w:cs="Courier New" w:eastAsia="Courier New" w:hAnsi="Courier New"/>
          <w:sz w:val="15"/>
          <w:szCs w:val="15"/>
          <w:color w:val="auto"/>
        </w:rPr>
        <w:t>Title: Group Vice President and Director</w:t>
      </w:r>
    </w:p>
    <w:p>
      <w:pPr>
        <w:spacing w:after="0" w:line="30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BANQUE NATIONALE DE PARIS</w:t>
      </w:r>
    </w:p>
    <w:p>
      <w:pPr>
        <w:spacing w:after="0" w:line="33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By: /s/ Rafael C. Lumanlan</w:t>
      </w:r>
    </w:p>
    <w:p>
      <w:pPr>
        <w:spacing w:after="0" w:line="2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w:t>
      </w:r>
    </w:p>
    <w:p>
      <w:pPr>
        <w:ind w:left="1320"/>
        <w:spacing w:after="0" w:line="237" w:lineRule="auto"/>
        <w:rPr>
          <w:sz w:val="20"/>
          <w:szCs w:val="20"/>
          <w:color w:val="auto"/>
        </w:rPr>
      </w:pPr>
      <w:r>
        <w:rPr>
          <w:rFonts w:ascii="Courier New" w:cs="Courier New" w:eastAsia="Courier New" w:hAnsi="Courier New"/>
          <w:sz w:val="15"/>
          <w:szCs w:val="15"/>
          <w:color w:val="auto"/>
        </w:rPr>
        <w:t>Name: Rafael C. Lumanlan</w:t>
      </w:r>
    </w:p>
    <w:p>
      <w:pPr>
        <w:ind w:left="1320"/>
        <w:spacing w:after="0"/>
        <w:rPr>
          <w:sz w:val="20"/>
          <w:szCs w:val="20"/>
          <w:color w:val="auto"/>
        </w:rPr>
      </w:pPr>
      <w:r>
        <w:rPr>
          <w:rFonts w:ascii="Courier New" w:cs="Courier New" w:eastAsia="Courier New" w:hAnsi="Courier New"/>
          <w:sz w:val="15"/>
          <w:szCs w:val="15"/>
          <w:color w:val="auto"/>
        </w:rPr>
        <w:t>Title: Vice President</w:t>
      </w:r>
    </w:p>
    <w:p>
      <w:pPr>
        <w:spacing w:after="0" w:line="30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By: /s/ Charles Day</w:t>
      </w:r>
    </w:p>
    <w:p>
      <w:pPr>
        <w:spacing w:after="0" w:line="2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w:t>
      </w:r>
    </w:p>
    <w:p>
      <w:pPr>
        <w:ind w:left="1320"/>
        <w:spacing w:after="0" w:line="237" w:lineRule="auto"/>
        <w:rPr>
          <w:sz w:val="20"/>
          <w:szCs w:val="20"/>
          <w:color w:val="auto"/>
        </w:rPr>
      </w:pPr>
      <w:r>
        <w:rPr>
          <w:rFonts w:ascii="Courier New" w:cs="Courier New" w:eastAsia="Courier New" w:hAnsi="Courier New"/>
          <w:sz w:val="15"/>
          <w:szCs w:val="15"/>
          <w:color w:val="auto"/>
        </w:rPr>
        <w:t>Name: Charles Day</w:t>
      </w:r>
    </w:p>
    <w:p>
      <w:pPr>
        <w:ind w:left="1320"/>
        <w:spacing w:after="0"/>
        <w:rPr>
          <w:sz w:val="20"/>
          <w:szCs w:val="20"/>
          <w:color w:val="auto"/>
        </w:rPr>
      </w:pPr>
      <w:r>
        <w:rPr>
          <w:rFonts w:ascii="Courier New" w:cs="Courier New" w:eastAsia="Courier New" w:hAnsi="Courier New"/>
          <w:sz w:val="15"/>
          <w:szCs w:val="15"/>
          <w:color w:val="auto"/>
        </w:rPr>
        <w:t>Title: Assistant Vice President</w:t>
      </w:r>
    </w:p>
    <w:p>
      <w:pPr>
        <w:spacing w:after="0" w:line="200" w:lineRule="exact"/>
        <w:rPr>
          <w:sz w:val="20"/>
          <w:szCs w:val="20"/>
          <w:color w:val="auto"/>
        </w:rPr>
      </w:pPr>
    </w:p>
    <w:p>
      <w:pPr>
        <w:spacing w:after="0" w:line="27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FIRST SECURITY BANK OF IDAHO, N.A.</w:t>
      </w:r>
    </w:p>
    <w:p>
      <w:pPr>
        <w:spacing w:after="0" w:line="33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By: /s/ Brian W. Cook</w:t>
      </w:r>
    </w:p>
    <w:p>
      <w:pPr>
        <w:spacing w:after="0" w:line="2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w:t>
      </w:r>
    </w:p>
    <w:p>
      <w:pPr>
        <w:ind w:left="1320"/>
        <w:spacing w:after="0" w:line="237" w:lineRule="auto"/>
        <w:rPr>
          <w:sz w:val="20"/>
          <w:szCs w:val="20"/>
          <w:color w:val="auto"/>
        </w:rPr>
      </w:pPr>
      <w:r>
        <w:rPr>
          <w:rFonts w:ascii="Courier New" w:cs="Courier New" w:eastAsia="Courier New" w:hAnsi="Courier New"/>
          <w:sz w:val="15"/>
          <w:szCs w:val="15"/>
          <w:color w:val="auto"/>
        </w:rPr>
        <w:t>Name: Brian W. Cook</w:t>
      </w:r>
    </w:p>
    <w:p>
      <w:pPr>
        <w:ind w:left="132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27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019"/>
          </w:cols>
          <w:pgMar w:left="1440" w:top="597" w:right="1440" w:bottom="1440" w:gutter="0" w:footer="0" w:header="0"/>
        </w:sectPr>
      </w:pPr>
    </w:p>
    <w:bookmarkStart w:id="87" w:name="page88"/>
    <w:bookmarkEnd w:id="87"/>
    <w:p>
      <w:pPr>
        <w:ind w:left="1320"/>
        <w:spacing w:after="0"/>
        <w:rPr>
          <w:sz w:val="20"/>
          <w:szCs w:val="20"/>
          <w:color w:val="auto"/>
        </w:rPr>
      </w:pPr>
      <w:r>
        <w:rPr>
          <w:rFonts w:ascii="Courier New" w:cs="Courier New" w:eastAsia="Courier New" w:hAnsi="Courier New"/>
          <w:sz w:val="15"/>
          <w:szCs w:val="15"/>
          <w:color w:val="auto"/>
        </w:rPr>
        <w:t>FLEET NATIONAL BANK</w:t>
      </w:r>
    </w:p>
    <w:p>
      <w:pPr>
        <w:spacing w:after="0" w:line="33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By: /s/ Frank Bonesh</w:t>
      </w: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320"/>
        <w:spacing w:after="0"/>
        <w:tabs>
          <w:tab w:leader="none" w:pos="1920" w:val="left"/>
        </w:tabs>
        <w:rPr>
          <w:sz w:val="20"/>
          <w:szCs w:val="20"/>
          <w:color w:val="auto"/>
        </w:rPr>
      </w:pPr>
      <w:r>
        <w:rPr>
          <w:rFonts w:ascii="Courier New" w:cs="Courier New" w:eastAsia="Courier New" w:hAnsi="Courier New"/>
          <w:sz w:val="15"/>
          <w:szCs w:val="15"/>
          <w:color w:val="auto"/>
        </w:rPr>
        <w:t>Name:</w:t>
        <w:tab/>
        <w:t>Frank Bonesh</w:t>
      </w:r>
    </w:p>
    <w:p>
      <w:pPr>
        <w:ind w:left="1320"/>
        <w:spacing w:after="0"/>
        <w:rPr>
          <w:sz w:val="20"/>
          <w:szCs w:val="20"/>
          <w:color w:val="auto"/>
        </w:rPr>
      </w:pPr>
      <w:r>
        <w:rPr>
          <w:rFonts w:ascii="Courier New" w:cs="Courier New" w:eastAsia="Courier New" w:hAnsi="Courier New"/>
          <w:sz w:val="15"/>
          <w:szCs w:val="15"/>
          <w:color w:val="auto"/>
        </w:rPr>
        <w:t>Title: Vice President</w:t>
      </w:r>
    </w:p>
    <w:p>
      <w:pPr>
        <w:spacing w:after="0" w:line="30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KEY BANK OF WASHINGTON</w:t>
      </w:r>
    </w:p>
    <w:p>
      <w:pPr>
        <w:spacing w:after="0" w:line="33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By: /s/ Richard J. Amery</w:t>
      </w: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320"/>
        <w:spacing w:after="0"/>
        <w:tabs>
          <w:tab w:leader="none" w:pos="1920" w:val="left"/>
        </w:tabs>
        <w:rPr>
          <w:sz w:val="20"/>
          <w:szCs w:val="20"/>
          <w:color w:val="auto"/>
        </w:rPr>
      </w:pPr>
      <w:r>
        <w:rPr>
          <w:rFonts w:ascii="Courier New" w:cs="Courier New" w:eastAsia="Courier New" w:hAnsi="Courier New"/>
          <w:sz w:val="15"/>
          <w:szCs w:val="15"/>
          <w:color w:val="auto"/>
        </w:rPr>
        <w:t>Name:</w:t>
        <w:tab/>
        <w:t>Richard J. Amery</w:t>
      </w:r>
    </w:p>
    <w:p>
      <w:pPr>
        <w:ind w:left="1320"/>
        <w:spacing w:after="0"/>
        <w:rPr>
          <w:sz w:val="20"/>
          <w:szCs w:val="20"/>
          <w:color w:val="auto"/>
        </w:rPr>
      </w:pPr>
      <w:r>
        <w:rPr>
          <w:rFonts w:ascii="Courier New" w:cs="Courier New" w:eastAsia="Courier New" w:hAnsi="Courier New"/>
          <w:sz w:val="15"/>
          <w:szCs w:val="15"/>
          <w:color w:val="auto"/>
        </w:rPr>
        <w:t>Title: Assistant Vice President</w:t>
      </w:r>
    </w:p>
    <w:p>
      <w:pPr>
        <w:spacing w:after="0" w:line="30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MELLON BANK, N.A.</w:t>
      </w:r>
    </w:p>
    <w:p>
      <w:pPr>
        <w:spacing w:after="0" w:line="33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By: /s/ B. Charles Jackson</w:t>
      </w: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320"/>
        <w:spacing w:after="0"/>
        <w:tabs>
          <w:tab w:leader="none" w:pos="1920" w:val="left"/>
        </w:tabs>
        <w:rPr>
          <w:sz w:val="20"/>
          <w:szCs w:val="20"/>
          <w:color w:val="auto"/>
        </w:rPr>
      </w:pPr>
      <w:r>
        <w:rPr>
          <w:rFonts w:ascii="Courier New" w:cs="Courier New" w:eastAsia="Courier New" w:hAnsi="Courier New"/>
          <w:sz w:val="15"/>
          <w:szCs w:val="15"/>
          <w:color w:val="auto"/>
        </w:rPr>
        <w:t>Name:</w:t>
        <w:tab/>
        <w:t>B. Charles Jackson</w:t>
      </w:r>
    </w:p>
    <w:p>
      <w:pPr>
        <w:ind w:left="1320"/>
        <w:spacing w:after="0"/>
        <w:rPr>
          <w:sz w:val="20"/>
          <w:szCs w:val="20"/>
          <w:color w:val="auto"/>
        </w:rPr>
      </w:pPr>
      <w:r>
        <w:rPr>
          <w:rFonts w:ascii="Courier New" w:cs="Courier New" w:eastAsia="Courier New" w:hAnsi="Courier New"/>
          <w:sz w:val="15"/>
          <w:szCs w:val="15"/>
          <w:color w:val="auto"/>
        </w:rPr>
        <w:t>Title: Senior Vice President</w:t>
      </w:r>
    </w:p>
    <w:p>
      <w:pPr>
        <w:spacing w:after="0" w:line="30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ROYAL BANK OF CANADA</w:t>
      </w:r>
    </w:p>
    <w:p>
      <w:pPr>
        <w:spacing w:after="0" w:line="33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By: /s/ Michael Cole</w:t>
      </w: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320"/>
        <w:spacing w:after="0"/>
        <w:tabs>
          <w:tab w:leader="none" w:pos="1920" w:val="left"/>
        </w:tabs>
        <w:rPr>
          <w:sz w:val="20"/>
          <w:szCs w:val="20"/>
          <w:color w:val="auto"/>
        </w:rPr>
      </w:pPr>
      <w:r>
        <w:rPr>
          <w:rFonts w:ascii="Courier New" w:cs="Courier New" w:eastAsia="Courier New" w:hAnsi="Courier New"/>
          <w:sz w:val="15"/>
          <w:szCs w:val="15"/>
          <w:color w:val="auto"/>
        </w:rPr>
        <w:t>Name:</w:t>
        <w:tab/>
        <w:t>Michael Cole</w:t>
      </w:r>
    </w:p>
    <w:p>
      <w:pPr>
        <w:ind w:left="1320"/>
        <w:spacing w:after="0"/>
        <w:rPr>
          <w:sz w:val="20"/>
          <w:szCs w:val="20"/>
          <w:color w:val="auto"/>
        </w:rPr>
      </w:pPr>
      <w:r>
        <w:rPr>
          <w:rFonts w:ascii="Courier New" w:cs="Courier New" w:eastAsia="Courier New" w:hAnsi="Courier New"/>
          <w:sz w:val="15"/>
          <w:szCs w:val="15"/>
          <w:color w:val="auto"/>
        </w:rPr>
        <w:t>Title: Manager</w:t>
      </w:r>
    </w:p>
    <w:p>
      <w:pPr>
        <w:spacing w:after="0" w:line="30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THE BANK OF NEW YORK</w:t>
      </w:r>
    </w:p>
    <w:p>
      <w:pPr>
        <w:spacing w:after="0" w:line="33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By: /s/ Bruce C. Miller</w:t>
      </w: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320"/>
        <w:spacing w:after="0"/>
        <w:tabs>
          <w:tab w:leader="none" w:pos="1920" w:val="left"/>
        </w:tabs>
        <w:rPr>
          <w:sz w:val="20"/>
          <w:szCs w:val="20"/>
          <w:color w:val="auto"/>
        </w:rPr>
      </w:pPr>
      <w:r>
        <w:rPr>
          <w:rFonts w:ascii="Courier New" w:cs="Courier New" w:eastAsia="Courier New" w:hAnsi="Courier New"/>
          <w:sz w:val="15"/>
          <w:szCs w:val="15"/>
          <w:color w:val="auto"/>
        </w:rPr>
        <w:t>Name:</w:t>
        <w:tab/>
        <w:t>Bruce C. Miller</w:t>
      </w:r>
    </w:p>
    <w:p>
      <w:pPr>
        <w:ind w:left="1320"/>
        <w:spacing w:after="0" w:line="237" w:lineRule="auto"/>
        <w:rPr>
          <w:sz w:val="20"/>
          <w:szCs w:val="20"/>
          <w:color w:val="auto"/>
        </w:rPr>
      </w:pPr>
      <w:r>
        <w:rPr>
          <w:rFonts w:ascii="Courier New" w:cs="Courier New" w:eastAsia="Courier New" w:hAnsi="Courier New"/>
          <w:sz w:val="15"/>
          <w:szCs w:val="15"/>
          <w:color w:val="auto"/>
        </w:rPr>
        <w:t>Title: Vice President and</w:t>
      </w:r>
    </w:p>
    <w:p>
      <w:pPr>
        <w:ind w:left="1940"/>
        <w:spacing w:after="0"/>
        <w:rPr>
          <w:sz w:val="20"/>
          <w:szCs w:val="20"/>
          <w:color w:val="auto"/>
        </w:rPr>
      </w:pPr>
      <w:r>
        <w:rPr>
          <w:rFonts w:ascii="Courier New" w:cs="Courier New" w:eastAsia="Courier New" w:hAnsi="Courier New"/>
          <w:sz w:val="15"/>
          <w:szCs w:val="15"/>
          <w:color w:val="auto"/>
        </w:rPr>
        <w:t>Division Manager</w:t>
      </w:r>
    </w:p>
    <w:p>
      <w:pPr>
        <w:spacing w:after="0" w:line="200" w:lineRule="exact"/>
        <w:rPr>
          <w:sz w:val="20"/>
          <w:szCs w:val="20"/>
          <w:color w:val="auto"/>
        </w:rPr>
      </w:pPr>
    </w:p>
    <w:p>
      <w:pPr>
        <w:spacing w:after="0" w:line="27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019"/>
          </w:cols>
          <w:pgMar w:left="1440" w:top="598" w:right="1440" w:bottom="1440" w:gutter="0" w:footer="0" w:header="0"/>
        </w:sectPr>
      </w:pPr>
    </w:p>
    <w:bookmarkStart w:id="88" w:name="page89"/>
    <w:bookmarkEnd w:id="88"/>
    <w:p>
      <w:pPr>
        <w:ind w:left="1320"/>
        <w:spacing w:after="0"/>
        <w:rPr>
          <w:sz w:val="20"/>
          <w:szCs w:val="20"/>
          <w:color w:val="auto"/>
        </w:rPr>
      </w:pPr>
      <w:r>
        <w:rPr>
          <w:rFonts w:ascii="Courier New" w:cs="Courier New" w:eastAsia="Courier New" w:hAnsi="Courier New"/>
          <w:sz w:val="15"/>
          <w:szCs w:val="15"/>
          <w:color w:val="auto"/>
        </w:rPr>
        <w:t>THE BANK OF NOVA SCOTIA</w:t>
      </w:r>
    </w:p>
    <w:p>
      <w:pPr>
        <w:spacing w:after="0" w:line="33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By: /s/ J.S. York</w:t>
      </w:r>
    </w:p>
    <w:p>
      <w:pPr>
        <w:spacing w:after="0" w:line="2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ind w:left="1320"/>
        <w:spacing w:after="0" w:line="237" w:lineRule="auto"/>
        <w:tabs>
          <w:tab w:leader="none" w:pos="1920" w:val="left"/>
        </w:tabs>
        <w:rPr>
          <w:sz w:val="20"/>
          <w:szCs w:val="20"/>
          <w:color w:val="auto"/>
        </w:rPr>
      </w:pPr>
      <w:r>
        <w:rPr>
          <w:rFonts w:ascii="Courier New" w:cs="Courier New" w:eastAsia="Courier New" w:hAnsi="Courier New"/>
          <w:sz w:val="15"/>
          <w:szCs w:val="15"/>
          <w:color w:val="auto"/>
        </w:rPr>
        <w:t>Name:</w:t>
        <w:tab/>
        <w:t>J.S. York</w:t>
      </w:r>
    </w:p>
    <w:p>
      <w:pPr>
        <w:ind w:left="1320"/>
        <w:spacing w:after="0"/>
        <w:tabs>
          <w:tab w:leader="none" w:pos="2000" w:val="left"/>
        </w:tabs>
        <w:rPr>
          <w:sz w:val="20"/>
          <w:szCs w:val="20"/>
          <w:color w:val="auto"/>
        </w:rPr>
      </w:pPr>
      <w:r>
        <w:rPr>
          <w:rFonts w:ascii="Courier New" w:cs="Courier New" w:eastAsia="Courier New" w:hAnsi="Courier New"/>
          <w:sz w:val="15"/>
          <w:szCs w:val="15"/>
          <w:color w:val="auto"/>
        </w:rPr>
        <w:t>Title:</w:t>
        <w:tab/>
        <w:t>Vice President</w:t>
      </w:r>
    </w:p>
    <w:p>
      <w:pPr>
        <w:spacing w:after="0" w:line="200" w:lineRule="exact"/>
        <w:rPr>
          <w:sz w:val="20"/>
          <w:szCs w:val="20"/>
          <w:color w:val="auto"/>
        </w:rPr>
      </w:pPr>
    </w:p>
    <w:p>
      <w:pPr>
        <w:spacing w:after="0" w:line="277"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THE DAI-ICHI KANGYO BANK, LIMITED, SAN</w:t>
      </w:r>
    </w:p>
    <w:p>
      <w:pPr>
        <w:spacing w:after="0" w:line="3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FRANCISCO AGENCY</w:t>
      </w:r>
    </w:p>
    <w:p>
      <w:pPr>
        <w:spacing w:after="0" w:line="200" w:lineRule="exact"/>
        <w:rPr>
          <w:sz w:val="20"/>
          <w:szCs w:val="20"/>
          <w:color w:val="auto"/>
        </w:rPr>
      </w:pPr>
    </w:p>
    <w:p>
      <w:pPr>
        <w:spacing w:after="0" w:line="27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By: /s/ Seigo Makino</w:t>
      </w:r>
    </w:p>
    <w:p>
      <w:pPr>
        <w:spacing w:after="0" w:line="2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ind w:left="1320"/>
        <w:spacing w:after="0" w:line="237" w:lineRule="auto"/>
        <w:tabs>
          <w:tab w:leader="none" w:pos="1920" w:val="left"/>
        </w:tabs>
        <w:rPr>
          <w:sz w:val="20"/>
          <w:szCs w:val="20"/>
          <w:color w:val="auto"/>
        </w:rPr>
      </w:pPr>
      <w:r>
        <w:rPr>
          <w:rFonts w:ascii="Courier New" w:cs="Courier New" w:eastAsia="Courier New" w:hAnsi="Courier New"/>
          <w:sz w:val="15"/>
          <w:szCs w:val="15"/>
          <w:color w:val="auto"/>
        </w:rPr>
        <w:t>Name:</w:t>
        <w:tab/>
        <w:t>Seigo Makino</w:t>
      </w:r>
    </w:p>
    <w:p>
      <w:pPr>
        <w:ind w:left="1320"/>
        <w:spacing w:after="0"/>
        <w:tabs>
          <w:tab w:leader="none" w:pos="2000" w:val="left"/>
        </w:tabs>
        <w:rPr>
          <w:sz w:val="20"/>
          <w:szCs w:val="20"/>
          <w:color w:val="auto"/>
        </w:rPr>
      </w:pPr>
      <w:r>
        <w:rPr>
          <w:rFonts w:ascii="Courier New" w:cs="Courier New" w:eastAsia="Courier New" w:hAnsi="Courier New"/>
          <w:sz w:val="15"/>
          <w:szCs w:val="15"/>
          <w:color w:val="auto"/>
        </w:rPr>
        <w:t>Title:</w:t>
        <w:tab/>
        <w:t>Joint General Manager</w:t>
      </w:r>
    </w:p>
    <w:p>
      <w:pPr>
        <w:spacing w:after="0" w:line="30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THE FUJI BANK, LIMITED, LOS ANGELES</w:t>
      </w: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AGENCY</w:t>
      </w:r>
    </w:p>
    <w:p>
      <w:pPr>
        <w:spacing w:after="0" w:line="30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By: /s/ Nobuhiro Umemura</w:t>
      </w:r>
    </w:p>
    <w:p>
      <w:pPr>
        <w:spacing w:after="0" w:line="2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ind w:left="1320"/>
        <w:spacing w:after="0" w:line="237" w:lineRule="auto"/>
        <w:tabs>
          <w:tab w:leader="none" w:pos="1920" w:val="left"/>
        </w:tabs>
        <w:rPr>
          <w:sz w:val="20"/>
          <w:szCs w:val="20"/>
          <w:color w:val="auto"/>
        </w:rPr>
      </w:pPr>
      <w:r>
        <w:rPr>
          <w:rFonts w:ascii="Courier New" w:cs="Courier New" w:eastAsia="Courier New" w:hAnsi="Courier New"/>
          <w:sz w:val="15"/>
          <w:szCs w:val="15"/>
          <w:color w:val="auto"/>
        </w:rPr>
        <w:t>Name:</w:t>
        <w:tab/>
        <w:t>Nobuhiro Umemura</w:t>
      </w:r>
    </w:p>
    <w:p>
      <w:pPr>
        <w:ind w:left="1320"/>
        <w:spacing w:after="0"/>
        <w:tabs>
          <w:tab w:leader="none" w:pos="2000" w:val="left"/>
        </w:tabs>
        <w:rPr>
          <w:sz w:val="20"/>
          <w:szCs w:val="20"/>
          <w:color w:val="auto"/>
        </w:rPr>
      </w:pPr>
      <w:r>
        <w:rPr>
          <w:rFonts w:ascii="Courier New" w:cs="Courier New" w:eastAsia="Courier New" w:hAnsi="Courier New"/>
          <w:sz w:val="15"/>
          <w:szCs w:val="15"/>
          <w:color w:val="auto"/>
        </w:rPr>
        <w:t>Title:</w:t>
        <w:tab/>
        <w:t>Joint General Manager</w:t>
      </w:r>
    </w:p>
    <w:p>
      <w:pPr>
        <w:spacing w:after="0" w:line="309"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THE INDUSTRIAL BANK OF JAPAN, LIMITED,</w:t>
      </w:r>
    </w:p>
    <w:p>
      <w:pPr>
        <w:spacing w:after="0" w:line="3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SAN FRANCISCO AGENCY</w:t>
      </w:r>
    </w:p>
    <w:p>
      <w:pPr>
        <w:spacing w:after="0" w:line="30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By: /s/ Yoh Nakahara</w:t>
      </w:r>
    </w:p>
    <w:p>
      <w:pPr>
        <w:spacing w:after="0" w:line="2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ind w:left="1320"/>
        <w:spacing w:after="0" w:line="237" w:lineRule="auto"/>
        <w:tabs>
          <w:tab w:leader="none" w:pos="1920" w:val="left"/>
        </w:tabs>
        <w:rPr>
          <w:sz w:val="20"/>
          <w:szCs w:val="20"/>
          <w:color w:val="auto"/>
        </w:rPr>
      </w:pPr>
      <w:r>
        <w:rPr>
          <w:rFonts w:ascii="Courier New" w:cs="Courier New" w:eastAsia="Courier New" w:hAnsi="Courier New"/>
          <w:sz w:val="15"/>
          <w:szCs w:val="15"/>
          <w:color w:val="auto"/>
        </w:rPr>
        <w:t>Name:</w:t>
        <w:tab/>
        <w:t>Yoh Nakahara</w:t>
      </w:r>
    </w:p>
    <w:p>
      <w:pPr>
        <w:jc w:val="center"/>
        <w:ind w:right="4359"/>
        <w:spacing w:after="0"/>
        <w:tabs>
          <w:tab w:leader="none" w:pos="140" w:val="left"/>
        </w:tabs>
        <w:rPr>
          <w:sz w:val="20"/>
          <w:szCs w:val="20"/>
          <w:color w:val="auto"/>
        </w:rPr>
      </w:pPr>
      <w:r>
        <w:rPr>
          <w:rFonts w:ascii="Courier New" w:cs="Courier New" w:eastAsia="Courier New" w:hAnsi="Courier New"/>
          <w:sz w:val="15"/>
          <w:szCs w:val="15"/>
          <w:color w:val="auto"/>
        </w:rPr>
        <w:t>Title:</w:t>
        <w:tab/>
        <w:t>General Manager</w:t>
      </w:r>
    </w:p>
    <w:p>
      <w:pPr>
        <w:spacing w:after="0" w:line="140"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019"/>
          </w:cols>
          <w:pgMar w:left="1440" w:top="598" w:right="1440" w:bottom="1440" w:gutter="0" w:footer="0" w:header="0"/>
        </w:sectPr>
      </w:pPr>
    </w:p>
    <w:bookmarkStart w:id="89" w:name="page90"/>
    <w:bookmarkEnd w:id="89"/>
    <w:p>
      <w:pPr>
        <w:ind w:left="1320"/>
        <w:spacing w:after="0"/>
        <w:rPr>
          <w:sz w:val="20"/>
          <w:szCs w:val="20"/>
          <w:color w:val="auto"/>
        </w:rPr>
      </w:pPr>
      <w:r>
        <w:rPr>
          <w:rFonts w:ascii="Courier New" w:cs="Courier New" w:eastAsia="Courier New" w:hAnsi="Courier New"/>
          <w:sz w:val="15"/>
          <w:szCs w:val="15"/>
          <w:color w:val="auto"/>
        </w:rPr>
        <w:t>THE LONG-TERM CREDIT BANK OF JAPAN,</w:t>
      </w:r>
    </w:p>
    <w:p>
      <w:pPr>
        <w:spacing w:after="0" w:line="24"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LTD., LOS ANGELES AGENCY</w:t>
      </w:r>
    </w:p>
    <w:p>
      <w:pPr>
        <w:spacing w:after="0" w:line="200" w:lineRule="exact"/>
        <w:rPr>
          <w:sz w:val="20"/>
          <w:szCs w:val="20"/>
          <w:color w:val="auto"/>
        </w:rPr>
      </w:pPr>
    </w:p>
    <w:p>
      <w:pPr>
        <w:spacing w:after="0" w:line="27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By:/s/Motokazu Uematsu</w:t>
      </w:r>
    </w:p>
    <w:p>
      <w:pPr>
        <w:spacing w:after="0" w:line="2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ind w:left="1320"/>
        <w:spacing w:after="0" w:line="237" w:lineRule="auto"/>
        <w:rPr>
          <w:sz w:val="20"/>
          <w:szCs w:val="20"/>
          <w:color w:val="auto"/>
        </w:rPr>
      </w:pPr>
      <w:r>
        <w:rPr>
          <w:rFonts w:ascii="Courier New" w:cs="Courier New" w:eastAsia="Courier New" w:hAnsi="Courier New"/>
          <w:sz w:val="15"/>
          <w:szCs w:val="15"/>
          <w:color w:val="auto"/>
        </w:rPr>
        <w:t>Name: Motokazu Uematsu</w:t>
      </w:r>
    </w:p>
    <w:p>
      <w:pPr>
        <w:ind w:left="1320"/>
        <w:spacing w:after="0"/>
        <w:rPr>
          <w:sz w:val="20"/>
          <w:szCs w:val="20"/>
          <w:color w:val="auto"/>
        </w:rPr>
      </w:pPr>
      <w:r>
        <w:rPr>
          <w:rFonts w:ascii="Courier New" w:cs="Courier New" w:eastAsia="Courier New" w:hAnsi="Courier New"/>
          <w:sz w:val="15"/>
          <w:szCs w:val="15"/>
          <w:color w:val="auto"/>
        </w:rPr>
        <w:t>Title: General Manager</w:t>
      </w:r>
    </w:p>
    <w:p>
      <w:pPr>
        <w:spacing w:after="0" w:line="309"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THE SUMITOMO BANK LIMITED, LOS ANGELES</w:t>
      </w:r>
    </w:p>
    <w:p>
      <w:pPr>
        <w:spacing w:after="0" w:line="3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BRANCH</w:t>
      </w:r>
    </w:p>
    <w:p>
      <w:pPr>
        <w:spacing w:after="0" w:line="200" w:lineRule="exact"/>
        <w:rPr>
          <w:sz w:val="20"/>
          <w:szCs w:val="20"/>
          <w:color w:val="auto"/>
        </w:rPr>
      </w:pPr>
    </w:p>
    <w:p>
      <w:pPr>
        <w:spacing w:after="0" w:line="27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By:/s/Tatsuo Ueda</w:t>
      </w:r>
    </w:p>
    <w:p>
      <w:pPr>
        <w:spacing w:after="0" w:line="2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ind w:left="1320"/>
        <w:spacing w:after="0" w:line="237" w:lineRule="auto"/>
        <w:rPr>
          <w:sz w:val="20"/>
          <w:szCs w:val="20"/>
          <w:color w:val="auto"/>
        </w:rPr>
      </w:pPr>
      <w:r>
        <w:rPr>
          <w:rFonts w:ascii="Courier New" w:cs="Courier New" w:eastAsia="Courier New" w:hAnsi="Courier New"/>
          <w:sz w:val="15"/>
          <w:szCs w:val="15"/>
          <w:color w:val="auto"/>
        </w:rPr>
        <w:t>Name: Tatsuo Ueda</w:t>
      </w:r>
    </w:p>
    <w:p>
      <w:pPr>
        <w:ind w:left="1320"/>
        <w:spacing w:after="0"/>
        <w:rPr>
          <w:sz w:val="20"/>
          <w:szCs w:val="20"/>
          <w:color w:val="auto"/>
        </w:rPr>
      </w:pPr>
      <w:r>
        <w:rPr>
          <w:rFonts w:ascii="Courier New" w:cs="Courier New" w:eastAsia="Courier New" w:hAnsi="Courier New"/>
          <w:sz w:val="15"/>
          <w:szCs w:val="15"/>
          <w:color w:val="auto"/>
        </w:rPr>
        <w:t>Title: General Manager</w:t>
      </w:r>
    </w:p>
    <w:p>
      <w:pPr>
        <w:spacing w:after="0" w:line="140"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019"/>
          </w:cols>
          <w:pgMar w:left="1440" w:top="597" w:right="1440" w:bottom="1440" w:gutter="0" w:footer="0" w:header="0"/>
        </w:sectPr>
      </w:pPr>
    </w:p>
    <w:bookmarkStart w:id="90" w:name="page91"/>
    <w:bookmarkEnd w:id="90"/>
    <w:p>
      <w:pPr>
        <w:jc w:val="center"/>
        <w:ind w:right="3319"/>
        <w:spacing w:after="0"/>
        <w:rPr>
          <w:sz w:val="20"/>
          <w:szCs w:val="20"/>
          <w:color w:val="auto"/>
        </w:rPr>
      </w:pPr>
      <w:r>
        <w:rPr>
          <w:rFonts w:ascii="Courier New" w:cs="Courier New" w:eastAsia="Courier New" w:hAnsi="Courier New"/>
          <w:sz w:val="15"/>
          <w:szCs w:val="15"/>
          <w:color w:val="auto"/>
        </w:rPr>
        <w:t>SCHEDULE 2.01</w:t>
      </w:r>
    </w:p>
    <w:p>
      <w:pPr>
        <w:spacing w:after="0" w:line="2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COMMITMENTS AND PRO RATA SHARES</w:t>
      </w:r>
    </w:p>
    <w:p>
      <w:pPr>
        <w:ind w:left="21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20"/>
                <w:szCs w:val="20"/>
                <w:color w:val="auto"/>
              </w:rPr>
            </w:pPr>
            <w:r>
              <w:rPr>
                <w:rFonts w:ascii="Courier New" w:cs="Courier New" w:eastAsia="Courier New" w:hAnsi="Courier New"/>
                <w:sz w:val="15"/>
                <w:szCs w:val="15"/>
                <w:color w:val="auto"/>
              </w:rPr>
              <w:t>Bank</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Commitment</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Pro Rata Share</w:t>
            </w:r>
          </w:p>
        </w:tc>
        <w:tc>
          <w:tcPr>
            <w:tcW w:w="0" w:type="dxa"/>
            <w:vAlign w:val="bottom"/>
          </w:tcPr>
          <w:p>
            <w:pPr>
              <w:spacing w:after="0"/>
              <w:rPr>
                <w:sz w:val="1"/>
                <w:szCs w:val="1"/>
                <w:color w:val="auto"/>
              </w:rPr>
            </w:pPr>
          </w:p>
        </w:tc>
      </w:tr>
      <w:tr>
        <w:trPr>
          <w:trHeight w:val="245"/>
        </w:trPr>
        <w:tc>
          <w:tcPr>
            <w:tcW w:w="37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3720" w:type="dxa"/>
            <w:vAlign w:val="bottom"/>
          </w:tcPr>
          <w:p>
            <w:pPr>
              <w:spacing w:after="0"/>
              <w:rPr>
                <w:sz w:val="20"/>
                <w:szCs w:val="20"/>
                <w:color w:val="auto"/>
              </w:rPr>
            </w:pPr>
            <w:r>
              <w:rPr>
                <w:rFonts w:ascii="Courier New" w:cs="Courier New" w:eastAsia="Courier New" w:hAnsi="Courier New"/>
                <w:sz w:val="15"/>
                <w:szCs w:val="15"/>
                <w:color w:val="auto"/>
              </w:rPr>
              <w:t>Bank of America National</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$ 31,200,000</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7.800000000%</w:t>
            </w:r>
          </w:p>
        </w:tc>
        <w:tc>
          <w:tcPr>
            <w:tcW w:w="0" w:type="dxa"/>
            <w:vAlign w:val="bottom"/>
          </w:tcPr>
          <w:p>
            <w:pPr>
              <w:spacing w:after="0"/>
              <w:rPr>
                <w:sz w:val="1"/>
                <w:szCs w:val="1"/>
                <w:color w:val="auto"/>
              </w:rPr>
            </w:pPr>
          </w:p>
        </w:tc>
      </w:tr>
      <w:tr>
        <w:trPr>
          <w:trHeight w:val="245"/>
        </w:trPr>
        <w:tc>
          <w:tcPr>
            <w:tcW w:w="3720" w:type="dxa"/>
            <w:vAlign w:val="bottom"/>
          </w:tcPr>
          <w:p>
            <w:pPr>
              <w:spacing w:after="0"/>
              <w:rPr>
                <w:sz w:val="20"/>
                <w:szCs w:val="20"/>
                <w:color w:val="auto"/>
              </w:rPr>
            </w:pPr>
            <w:r>
              <w:rPr>
                <w:rFonts w:ascii="Courier New" w:cs="Courier New" w:eastAsia="Courier New" w:hAnsi="Courier New"/>
                <w:sz w:val="15"/>
                <w:szCs w:val="15"/>
                <w:color w:val="auto"/>
              </w:rPr>
              <w:t>Trust and Savings Association</w:t>
            </w:r>
          </w:p>
        </w:tc>
        <w:tc>
          <w:tcPr>
            <w:tcW w:w="13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Seattle First National Bank</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31,200,000</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7.800000000</w:t>
            </w:r>
          </w:p>
        </w:tc>
        <w:tc>
          <w:tcPr>
            <w:tcW w:w="0" w:type="dxa"/>
            <w:vAlign w:val="bottom"/>
          </w:tcPr>
          <w:p>
            <w:pPr>
              <w:spacing w:after="0"/>
              <w:rPr>
                <w:sz w:val="1"/>
                <w:szCs w:val="1"/>
                <w:color w:val="auto"/>
              </w:rPr>
            </w:pP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Bank of Montreal</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31,200,000</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7.800000000</w:t>
            </w:r>
          </w:p>
        </w:tc>
        <w:tc>
          <w:tcPr>
            <w:tcW w:w="0" w:type="dxa"/>
            <w:vAlign w:val="bottom"/>
          </w:tcPr>
          <w:p>
            <w:pPr>
              <w:spacing w:after="0"/>
              <w:rPr>
                <w:sz w:val="1"/>
                <w:szCs w:val="1"/>
                <w:color w:val="auto"/>
              </w:rPr>
            </w:pP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PNC Bank, National Association</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31,200,000</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7.800000000</w:t>
            </w:r>
          </w:p>
        </w:tc>
        <w:tc>
          <w:tcPr>
            <w:tcW w:w="0" w:type="dxa"/>
            <w:vAlign w:val="bottom"/>
          </w:tcPr>
          <w:p>
            <w:pPr>
              <w:spacing w:after="0"/>
              <w:rPr>
                <w:sz w:val="1"/>
                <w:szCs w:val="1"/>
                <w:color w:val="auto"/>
              </w:rPr>
            </w:pP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United States National Bank of Oregon</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31,200,000</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7.800000000</w:t>
            </w:r>
          </w:p>
        </w:tc>
        <w:tc>
          <w:tcPr>
            <w:tcW w:w="0" w:type="dxa"/>
            <w:vAlign w:val="bottom"/>
          </w:tcPr>
          <w:p>
            <w:pPr>
              <w:spacing w:after="0"/>
              <w:rPr>
                <w:sz w:val="1"/>
                <w:szCs w:val="1"/>
                <w:color w:val="auto"/>
              </w:rPr>
            </w:pPr>
          </w:p>
        </w:tc>
      </w:tr>
      <w:tr>
        <w:trPr>
          <w:trHeight w:val="259"/>
        </w:trPr>
        <w:tc>
          <w:tcPr>
            <w:tcW w:w="3720" w:type="dxa"/>
            <w:vAlign w:val="bottom"/>
          </w:tcPr>
          <w:p>
            <w:pPr>
              <w:spacing w:after="0"/>
              <w:rPr>
                <w:sz w:val="20"/>
                <w:szCs w:val="20"/>
                <w:color w:val="auto"/>
              </w:rPr>
            </w:pPr>
            <w:r>
              <w:rPr>
                <w:rFonts w:ascii="Courier New" w:cs="Courier New" w:eastAsia="Courier New" w:hAnsi="Courier New"/>
                <w:sz w:val="15"/>
                <w:szCs w:val="15"/>
                <w:color w:val="auto"/>
              </w:rPr>
              <w:t>ABN AMRO Bank, N.V.</w:t>
            </w:r>
          </w:p>
        </w:tc>
        <w:tc>
          <w:tcPr>
            <w:tcW w:w="13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23,200,000</w:t>
            </w:r>
          </w:p>
        </w:tc>
        <w:tc>
          <w:tcPr>
            <w:tcW w:w="14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5.800000000</w:t>
            </w:r>
          </w:p>
        </w:tc>
        <w:tc>
          <w:tcPr>
            <w:tcW w:w="0" w:type="dxa"/>
            <w:vAlign w:val="bottom"/>
          </w:tcPr>
          <w:p>
            <w:pPr>
              <w:spacing w:after="0"/>
              <w:rPr>
                <w:sz w:val="1"/>
                <w:szCs w:val="1"/>
                <w:color w:val="auto"/>
              </w:rPr>
            </w:pPr>
          </w:p>
        </w:tc>
      </w:tr>
      <w:tr>
        <w:trPr>
          <w:trHeight w:val="245"/>
        </w:trPr>
        <w:tc>
          <w:tcPr>
            <w:tcW w:w="3720" w:type="dxa"/>
            <w:vAlign w:val="bottom"/>
          </w:tcPr>
          <w:p>
            <w:pPr>
              <w:spacing w:after="0"/>
              <w:rPr>
                <w:sz w:val="20"/>
                <w:szCs w:val="20"/>
                <w:color w:val="auto"/>
              </w:rPr>
            </w:pPr>
            <w:r>
              <w:rPr>
                <w:rFonts w:ascii="Courier New" w:cs="Courier New" w:eastAsia="Courier New" w:hAnsi="Courier New"/>
                <w:sz w:val="15"/>
                <w:szCs w:val="15"/>
                <w:color w:val="auto"/>
              </w:rPr>
              <w:t>Seattle Branch</w:t>
            </w:r>
          </w:p>
        </w:tc>
        <w:tc>
          <w:tcPr>
            <w:tcW w:w="1320" w:type="dxa"/>
            <w:vAlign w:val="bottom"/>
            <w:vMerge w:val="continue"/>
          </w:tcPr>
          <w:p>
            <w:pPr>
              <w:spacing w:after="0"/>
              <w:rPr>
                <w:sz w:val="21"/>
                <w:szCs w:val="21"/>
                <w:color w:val="auto"/>
              </w:rPr>
            </w:pP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The Bank of Nova Scotia</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23,200,000</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5.800000000</w:t>
            </w:r>
          </w:p>
        </w:tc>
        <w:tc>
          <w:tcPr>
            <w:tcW w:w="0" w:type="dxa"/>
            <w:vAlign w:val="bottom"/>
          </w:tcPr>
          <w:p>
            <w:pPr>
              <w:spacing w:after="0"/>
              <w:rPr>
                <w:sz w:val="1"/>
                <w:szCs w:val="1"/>
                <w:color w:val="auto"/>
              </w:rPr>
            </w:pPr>
          </w:p>
        </w:tc>
      </w:tr>
      <w:tr>
        <w:trPr>
          <w:trHeight w:val="259"/>
        </w:trPr>
        <w:tc>
          <w:tcPr>
            <w:tcW w:w="3720" w:type="dxa"/>
            <w:vAlign w:val="bottom"/>
          </w:tcPr>
          <w:p>
            <w:pPr>
              <w:spacing w:after="0"/>
              <w:rPr>
                <w:sz w:val="20"/>
                <w:szCs w:val="20"/>
                <w:color w:val="auto"/>
              </w:rPr>
            </w:pPr>
            <w:r>
              <w:rPr>
                <w:rFonts w:ascii="Courier New" w:cs="Courier New" w:eastAsia="Courier New" w:hAnsi="Courier New"/>
                <w:sz w:val="15"/>
                <w:szCs w:val="15"/>
                <w:color w:val="auto"/>
              </w:rPr>
              <w:t>The Industrial Bank of Japan,</w:t>
            </w:r>
          </w:p>
        </w:tc>
        <w:tc>
          <w:tcPr>
            <w:tcW w:w="13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23,200,000</w:t>
            </w:r>
          </w:p>
        </w:tc>
        <w:tc>
          <w:tcPr>
            <w:tcW w:w="14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5.800000000</w:t>
            </w:r>
          </w:p>
        </w:tc>
        <w:tc>
          <w:tcPr>
            <w:tcW w:w="0" w:type="dxa"/>
            <w:vAlign w:val="bottom"/>
          </w:tcPr>
          <w:p>
            <w:pPr>
              <w:spacing w:after="0"/>
              <w:rPr>
                <w:sz w:val="1"/>
                <w:szCs w:val="1"/>
                <w:color w:val="auto"/>
              </w:rPr>
            </w:pPr>
          </w:p>
        </w:tc>
      </w:tr>
      <w:tr>
        <w:trPr>
          <w:trHeight w:val="245"/>
        </w:trPr>
        <w:tc>
          <w:tcPr>
            <w:tcW w:w="3720" w:type="dxa"/>
            <w:vAlign w:val="bottom"/>
          </w:tcPr>
          <w:p>
            <w:pPr>
              <w:spacing w:after="0"/>
              <w:rPr>
                <w:sz w:val="20"/>
                <w:szCs w:val="20"/>
                <w:color w:val="auto"/>
              </w:rPr>
            </w:pPr>
            <w:r>
              <w:rPr>
                <w:rFonts w:ascii="Courier New" w:cs="Courier New" w:eastAsia="Courier New" w:hAnsi="Courier New"/>
                <w:sz w:val="15"/>
                <w:szCs w:val="15"/>
                <w:color w:val="auto"/>
              </w:rPr>
              <w:t>Limited, San Francisco Agency</w:t>
            </w:r>
          </w:p>
        </w:tc>
        <w:tc>
          <w:tcPr>
            <w:tcW w:w="1320" w:type="dxa"/>
            <w:vAlign w:val="bottom"/>
            <w:vMerge w:val="continue"/>
          </w:tcPr>
          <w:p>
            <w:pPr>
              <w:spacing w:after="0"/>
              <w:rPr>
                <w:sz w:val="21"/>
                <w:szCs w:val="21"/>
                <w:color w:val="auto"/>
              </w:rPr>
            </w:pP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Key Bank of Washington</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23,200,000</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5.800000000</w:t>
            </w:r>
          </w:p>
        </w:tc>
        <w:tc>
          <w:tcPr>
            <w:tcW w:w="0" w:type="dxa"/>
            <w:vAlign w:val="bottom"/>
          </w:tcPr>
          <w:p>
            <w:pPr>
              <w:spacing w:after="0"/>
              <w:rPr>
                <w:sz w:val="1"/>
                <w:szCs w:val="1"/>
                <w:color w:val="auto"/>
              </w:rPr>
            </w:pP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Royal Bank of Canada</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23,200,000</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5.800000000</w:t>
            </w:r>
          </w:p>
        </w:tc>
        <w:tc>
          <w:tcPr>
            <w:tcW w:w="0" w:type="dxa"/>
            <w:vAlign w:val="bottom"/>
          </w:tcPr>
          <w:p>
            <w:pPr>
              <w:spacing w:after="0"/>
              <w:rPr>
                <w:sz w:val="1"/>
                <w:szCs w:val="1"/>
                <w:color w:val="auto"/>
              </w:rPr>
            </w:pP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Banque Nationale de Paris</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19,200,000</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4.800000000</w:t>
            </w:r>
          </w:p>
        </w:tc>
        <w:tc>
          <w:tcPr>
            <w:tcW w:w="0" w:type="dxa"/>
            <w:vAlign w:val="bottom"/>
          </w:tcPr>
          <w:p>
            <w:pPr>
              <w:spacing w:after="0"/>
              <w:rPr>
                <w:sz w:val="1"/>
                <w:szCs w:val="1"/>
                <w:color w:val="auto"/>
              </w:rPr>
            </w:pPr>
          </w:p>
        </w:tc>
      </w:tr>
      <w:tr>
        <w:trPr>
          <w:trHeight w:val="259"/>
        </w:trPr>
        <w:tc>
          <w:tcPr>
            <w:tcW w:w="3720" w:type="dxa"/>
            <w:vAlign w:val="bottom"/>
          </w:tcPr>
          <w:p>
            <w:pPr>
              <w:spacing w:after="0"/>
              <w:rPr>
                <w:sz w:val="20"/>
                <w:szCs w:val="20"/>
                <w:color w:val="auto"/>
              </w:rPr>
            </w:pPr>
            <w:r>
              <w:rPr>
                <w:rFonts w:ascii="Courier New" w:cs="Courier New" w:eastAsia="Courier New" w:hAnsi="Courier New"/>
                <w:sz w:val="15"/>
                <w:szCs w:val="15"/>
                <w:color w:val="auto"/>
              </w:rPr>
              <w:t>The Fuji Bank, Limited,</w:t>
            </w:r>
          </w:p>
        </w:tc>
        <w:tc>
          <w:tcPr>
            <w:tcW w:w="13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19,200,000</w:t>
            </w:r>
          </w:p>
        </w:tc>
        <w:tc>
          <w:tcPr>
            <w:tcW w:w="14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4.800000000</w:t>
            </w:r>
          </w:p>
        </w:tc>
        <w:tc>
          <w:tcPr>
            <w:tcW w:w="0" w:type="dxa"/>
            <w:vAlign w:val="bottom"/>
          </w:tcPr>
          <w:p>
            <w:pPr>
              <w:spacing w:after="0"/>
              <w:rPr>
                <w:sz w:val="1"/>
                <w:szCs w:val="1"/>
                <w:color w:val="auto"/>
              </w:rPr>
            </w:pPr>
          </w:p>
        </w:tc>
      </w:tr>
      <w:tr>
        <w:trPr>
          <w:trHeight w:val="245"/>
        </w:trPr>
        <w:tc>
          <w:tcPr>
            <w:tcW w:w="3720" w:type="dxa"/>
            <w:vAlign w:val="bottom"/>
          </w:tcPr>
          <w:p>
            <w:pPr>
              <w:spacing w:after="0"/>
              <w:rPr>
                <w:sz w:val="20"/>
                <w:szCs w:val="20"/>
                <w:color w:val="auto"/>
              </w:rPr>
            </w:pPr>
            <w:r>
              <w:rPr>
                <w:rFonts w:ascii="Courier New" w:cs="Courier New" w:eastAsia="Courier New" w:hAnsi="Courier New"/>
                <w:sz w:val="15"/>
                <w:szCs w:val="15"/>
                <w:color w:val="auto"/>
              </w:rPr>
              <w:t>Los Angeles Agency</w:t>
            </w:r>
          </w:p>
        </w:tc>
        <w:tc>
          <w:tcPr>
            <w:tcW w:w="1320" w:type="dxa"/>
            <w:vAlign w:val="bottom"/>
            <w:vMerge w:val="continue"/>
          </w:tcPr>
          <w:p>
            <w:pPr>
              <w:spacing w:after="0"/>
              <w:rPr>
                <w:sz w:val="21"/>
                <w:szCs w:val="21"/>
                <w:color w:val="auto"/>
              </w:rPr>
            </w:pP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The Bank of New York</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12,800,000</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3.200000000</w:t>
            </w:r>
          </w:p>
        </w:tc>
        <w:tc>
          <w:tcPr>
            <w:tcW w:w="0" w:type="dxa"/>
            <w:vAlign w:val="bottom"/>
          </w:tcPr>
          <w:p>
            <w:pPr>
              <w:spacing w:after="0"/>
              <w:rPr>
                <w:sz w:val="1"/>
                <w:szCs w:val="1"/>
                <w:color w:val="auto"/>
              </w:rPr>
            </w:pPr>
          </w:p>
        </w:tc>
      </w:tr>
      <w:tr>
        <w:trPr>
          <w:trHeight w:val="259"/>
        </w:trPr>
        <w:tc>
          <w:tcPr>
            <w:tcW w:w="3720" w:type="dxa"/>
            <w:vAlign w:val="bottom"/>
          </w:tcPr>
          <w:p>
            <w:pPr>
              <w:spacing w:after="0"/>
              <w:rPr>
                <w:sz w:val="20"/>
                <w:szCs w:val="20"/>
                <w:color w:val="auto"/>
              </w:rPr>
            </w:pPr>
            <w:r>
              <w:rPr>
                <w:rFonts w:ascii="Courier New" w:cs="Courier New" w:eastAsia="Courier New" w:hAnsi="Courier New"/>
                <w:sz w:val="15"/>
                <w:szCs w:val="15"/>
                <w:color w:val="auto"/>
              </w:rPr>
              <w:t>The Dai-Ichi Kangyo Bank,</w:t>
            </w:r>
          </w:p>
        </w:tc>
        <w:tc>
          <w:tcPr>
            <w:tcW w:w="13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12,800,000</w:t>
            </w:r>
          </w:p>
        </w:tc>
        <w:tc>
          <w:tcPr>
            <w:tcW w:w="14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3.200000000</w:t>
            </w:r>
          </w:p>
        </w:tc>
        <w:tc>
          <w:tcPr>
            <w:tcW w:w="0" w:type="dxa"/>
            <w:vAlign w:val="bottom"/>
          </w:tcPr>
          <w:p>
            <w:pPr>
              <w:spacing w:after="0"/>
              <w:rPr>
                <w:sz w:val="1"/>
                <w:szCs w:val="1"/>
                <w:color w:val="auto"/>
              </w:rPr>
            </w:pPr>
          </w:p>
        </w:tc>
      </w:tr>
      <w:tr>
        <w:trPr>
          <w:trHeight w:val="245"/>
        </w:trPr>
        <w:tc>
          <w:tcPr>
            <w:tcW w:w="3720" w:type="dxa"/>
            <w:vAlign w:val="bottom"/>
          </w:tcPr>
          <w:p>
            <w:pPr>
              <w:spacing w:after="0"/>
              <w:rPr>
                <w:sz w:val="20"/>
                <w:szCs w:val="20"/>
                <w:color w:val="auto"/>
              </w:rPr>
            </w:pPr>
            <w:r>
              <w:rPr>
                <w:rFonts w:ascii="Courier New" w:cs="Courier New" w:eastAsia="Courier New" w:hAnsi="Courier New"/>
                <w:sz w:val="15"/>
                <w:szCs w:val="15"/>
                <w:color w:val="auto"/>
              </w:rPr>
              <w:t>Limited, San Francisco Agency</w:t>
            </w:r>
          </w:p>
        </w:tc>
        <w:tc>
          <w:tcPr>
            <w:tcW w:w="1320" w:type="dxa"/>
            <w:vAlign w:val="bottom"/>
            <w:vMerge w:val="continue"/>
          </w:tcPr>
          <w:p>
            <w:pPr>
              <w:spacing w:after="0"/>
              <w:rPr>
                <w:sz w:val="21"/>
                <w:szCs w:val="21"/>
                <w:color w:val="auto"/>
              </w:rPr>
            </w:pP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720" w:type="dxa"/>
            <w:vAlign w:val="bottom"/>
          </w:tcPr>
          <w:p>
            <w:pPr>
              <w:spacing w:after="0"/>
              <w:rPr>
                <w:sz w:val="20"/>
                <w:szCs w:val="20"/>
                <w:color w:val="auto"/>
              </w:rPr>
            </w:pPr>
            <w:r>
              <w:rPr>
                <w:rFonts w:ascii="Courier New" w:cs="Courier New" w:eastAsia="Courier New" w:hAnsi="Courier New"/>
                <w:sz w:val="15"/>
                <w:szCs w:val="15"/>
                <w:color w:val="auto"/>
              </w:rPr>
              <w:t>First Security Bank of</w:t>
            </w:r>
          </w:p>
        </w:tc>
        <w:tc>
          <w:tcPr>
            <w:tcW w:w="13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12,800,000</w:t>
            </w:r>
          </w:p>
        </w:tc>
        <w:tc>
          <w:tcPr>
            <w:tcW w:w="14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3.200000000</w:t>
            </w:r>
          </w:p>
        </w:tc>
        <w:tc>
          <w:tcPr>
            <w:tcW w:w="0" w:type="dxa"/>
            <w:vAlign w:val="bottom"/>
          </w:tcPr>
          <w:p>
            <w:pPr>
              <w:spacing w:after="0"/>
              <w:rPr>
                <w:sz w:val="1"/>
                <w:szCs w:val="1"/>
                <w:color w:val="auto"/>
              </w:rPr>
            </w:pPr>
          </w:p>
        </w:tc>
      </w:tr>
      <w:tr>
        <w:trPr>
          <w:trHeight w:val="245"/>
        </w:trPr>
        <w:tc>
          <w:tcPr>
            <w:tcW w:w="3720" w:type="dxa"/>
            <w:vAlign w:val="bottom"/>
          </w:tcPr>
          <w:p>
            <w:pPr>
              <w:spacing w:after="0"/>
              <w:rPr>
                <w:sz w:val="20"/>
                <w:szCs w:val="20"/>
                <w:color w:val="auto"/>
              </w:rPr>
            </w:pPr>
            <w:r>
              <w:rPr>
                <w:rFonts w:ascii="Courier New" w:cs="Courier New" w:eastAsia="Courier New" w:hAnsi="Courier New"/>
                <w:sz w:val="15"/>
                <w:szCs w:val="15"/>
                <w:color w:val="auto"/>
              </w:rPr>
              <w:t>Idaho, N.A.</w:t>
            </w:r>
          </w:p>
        </w:tc>
        <w:tc>
          <w:tcPr>
            <w:tcW w:w="1320" w:type="dxa"/>
            <w:vAlign w:val="bottom"/>
            <w:vMerge w:val="continue"/>
          </w:tcPr>
          <w:p>
            <w:pPr>
              <w:spacing w:after="0"/>
              <w:rPr>
                <w:sz w:val="21"/>
                <w:szCs w:val="21"/>
                <w:color w:val="auto"/>
              </w:rPr>
            </w:pP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Fleet National Bank</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12,800,000</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3.200000000</w:t>
            </w:r>
          </w:p>
        </w:tc>
        <w:tc>
          <w:tcPr>
            <w:tcW w:w="0" w:type="dxa"/>
            <w:vAlign w:val="bottom"/>
          </w:tcPr>
          <w:p>
            <w:pPr>
              <w:spacing w:after="0"/>
              <w:rPr>
                <w:sz w:val="1"/>
                <w:szCs w:val="1"/>
                <w:color w:val="auto"/>
              </w:rPr>
            </w:pPr>
          </w:p>
        </w:tc>
      </w:tr>
      <w:tr>
        <w:trPr>
          <w:trHeight w:val="259"/>
        </w:trPr>
        <w:tc>
          <w:tcPr>
            <w:tcW w:w="3720" w:type="dxa"/>
            <w:vAlign w:val="bottom"/>
          </w:tcPr>
          <w:p>
            <w:pPr>
              <w:spacing w:after="0"/>
              <w:rPr>
                <w:sz w:val="20"/>
                <w:szCs w:val="20"/>
                <w:color w:val="auto"/>
              </w:rPr>
            </w:pPr>
            <w:r>
              <w:rPr>
                <w:rFonts w:ascii="Courier New" w:cs="Courier New" w:eastAsia="Courier New" w:hAnsi="Courier New"/>
                <w:sz w:val="15"/>
                <w:szCs w:val="15"/>
                <w:color w:val="auto"/>
              </w:rPr>
              <w:t>The Long-Term Credit Bank of</w:t>
            </w:r>
          </w:p>
        </w:tc>
        <w:tc>
          <w:tcPr>
            <w:tcW w:w="13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12,800,000</w:t>
            </w:r>
          </w:p>
        </w:tc>
        <w:tc>
          <w:tcPr>
            <w:tcW w:w="14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3.200000000</w:t>
            </w:r>
          </w:p>
        </w:tc>
        <w:tc>
          <w:tcPr>
            <w:tcW w:w="0" w:type="dxa"/>
            <w:vAlign w:val="bottom"/>
          </w:tcPr>
          <w:p>
            <w:pPr>
              <w:spacing w:after="0"/>
              <w:rPr>
                <w:sz w:val="1"/>
                <w:szCs w:val="1"/>
                <w:color w:val="auto"/>
              </w:rPr>
            </w:pPr>
          </w:p>
        </w:tc>
      </w:tr>
      <w:tr>
        <w:trPr>
          <w:trHeight w:val="245"/>
        </w:trPr>
        <w:tc>
          <w:tcPr>
            <w:tcW w:w="3720" w:type="dxa"/>
            <w:vAlign w:val="bottom"/>
          </w:tcPr>
          <w:p>
            <w:pPr>
              <w:spacing w:after="0"/>
              <w:rPr>
                <w:sz w:val="20"/>
                <w:szCs w:val="20"/>
                <w:color w:val="auto"/>
              </w:rPr>
            </w:pPr>
            <w:r>
              <w:rPr>
                <w:rFonts w:ascii="Courier New" w:cs="Courier New" w:eastAsia="Courier New" w:hAnsi="Courier New"/>
                <w:sz w:val="15"/>
                <w:szCs w:val="15"/>
                <w:color w:val="auto"/>
              </w:rPr>
              <w:t>Japan, Ltd., Los Angeles Agency</w:t>
            </w:r>
          </w:p>
        </w:tc>
        <w:tc>
          <w:tcPr>
            <w:tcW w:w="1320" w:type="dxa"/>
            <w:vAlign w:val="bottom"/>
            <w:vMerge w:val="continue"/>
          </w:tcPr>
          <w:p>
            <w:pPr>
              <w:spacing w:after="0"/>
              <w:rPr>
                <w:sz w:val="21"/>
                <w:szCs w:val="21"/>
                <w:color w:val="auto"/>
              </w:rPr>
            </w:pP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Mellon Bank, N.A.</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12,800,000</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3.200000000</w:t>
            </w:r>
          </w:p>
        </w:tc>
        <w:tc>
          <w:tcPr>
            <w:tcW w:w="0" w:type="dxa"/>
            <w:vAlign w:val="bottom"/>
          </w:tcPr>
          <w:p>
            <w:pPr>
              <w:spacing w:after="0"/>
              <w:rPr>
                <w:sz w:val="1"/>
                <w:szCs w:val="1"/>
                <w:color w:val="auto"/>
              </w:rPr>
            </w:pPr>
          </w:p>
        </w:tc>
      </w:tr>
      <w:tr>
        <w:trPr>
          <w:trHeight w:val="259"/>
        </w:trPr>
        <w:tc>
          <w:tcPr>
            <w:tcW w:w="3720" w:type="dxa"/>
            <w:vAlign w:val="bottom"/>
          </w:tcPr>
          <w:p>
            <w:pPr>
              <w:spacing w:after="0"/>
              <w:rPr>
                <w:sz w:val="20"/>
                <w:szCs w:val="20"/>
                <w:color w:val="auto"/>
              </w:rPr>
            </w:pPr>
            <w:r>
              <w:rPr>
                <w:rFonts w:ascii="Courier New" w:cs="Courier New" w:eastAsia="Courier New" w:hAnsi="Courier New"/>
                <w:sz w:val="15"/>
                <w:szCs w:val="15"/>
                <w:color w:val="auto"/>
              </w:rPr>
              <w:t>The Sumitomo Bank Limited</w:t>
            </w:r>
          </w:p>
        </w:tc>
        <w:tc>
          <w:tcPr>
            <w:tcW w:w="13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12,800,000</w:t>
            </w:r>
          </w:p>
        </w:tc>
        <w:tc>
          <w:tcPr>
            <w:tcW w:w="14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3.200000000</w:t>
            </w: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Los Angeles Branch</w:t>
            </w:r>
          </w:p>
        </w:tc>
        <w:tc>
          <w:tcPr>
            <w:tcW w:w="132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720" w:type="dxa"/>
            <w:vAlign w:val="bottom"/>
          </w:tcPr>
          <w:p>
            <w:pPr>
              <w:spacing w:after="0"/>
              <w:rPr>
                <w:sz w:val="21"/>
                <w:szCs w:val="21"/>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9"/>
        </w:trPr>
        <w:tc>
          <w:tcPr>
            <w:tcW w:w="3720" w:type="dxa"/>
            <w:vAlign w:val="bottom"/>
          </w:tcPr>
          <w:p>
            <w:pPr>
              <w:ind w:left="620"/>
              <w:spacing w:after="0"/>
              <w:rPr>
                <w:sz w:val="20"/>
                <w:szCs w:val="20"/>
                <w:color w:val="auto"/>
              </w:rPr>
            </w:pPr>
            <w:r>
              <w:rPr>
                <w:rFonts w:ascii="Courier New" w:cs="Courier New" w:eastAsia="Courier New" w:hAnsi="Courier New"/>
                <w:sz w:val="15"/>
                <w:szCs w:val="15"/>
                <w:color w:val="auto"/>
              </w:rPr>
              <w:t>TOTAL</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$400,000,000</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100.000000000%</w:t>
            </w:r>
          </w:p>
        </w:tc>
        <w:tc>
          <w:tcPr>
            <w:tcW w:w="0" w:type="dxa"/>
            <w:vAlign w:val="bottom"/>
          </w:tcPr>
          <w:p>
            <w:pPr>
              <w:spacing w:after="0"/>
              <w:rPr>
                <w:sz w:val="1"/>
                <w:szCs w:val="1"/>
                <w:color w:val="auto"/>
              </w:rPr>
            </w:pPr>
          </w:p>
        </w:tc>
      </w:tr>
      <w:tr>
        <w:trPr>
          <w:trHeight w:val="245"/>
        </w:trPr>
        <w:tc>
          <w:tcPr>
            <w:tcW w:w="3720" w:type="dxa"/>
            <w:vAlign w:val="bottom"/>
          </w:tcPr>
          <w:p>
            <w:pPr>
              <w:spacing w:after="0"/>
              <w:rPr>
                <w:sz w:val="21"/>
                <w:szCs w:val="21"/>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505"/>
        </w:trPr>
        <w:tc>
          <w:tcPr>
            <w:tcW w:w="3720" w:type="dxa"/>
            <w:vAlign w:val="bottom"/>
          </w:tcPr>
          <w:p>
            <w:pPr>
              <w:ind w:left="3420"/>
              <w:spacing w:after="0"/>
              <w:rPr>
                <w:sz w:val="20"/>
                <w:szCs w:val="20"/>
                <w:color w:val="auto"/>
              </w:rPr>
            </w:pPr>
            <w:r>
              <w:rPr>
                <w:rFonts w:ascii="Courier New" w:cs="Courier New" w:eastAsia="Courier New" w:hAnsi="Courier New"/>
                <w:sz w:val="15"/>
                <w:szCs w:val="15"/>
                <w:color w:val="auto"/>
              </w:rPr>
              <w:t>14</w:t>
            </w: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98" w:right="1440" w:bottom="1440" w:gutter="0" w:footer="0" w:header="0"/>
        </w:sectPr>
      </w:pPr>
    </w:p>
    <w:bookmarkStart w:id="91" w:name="page92"/>
    <w:bookmarkEnd w:id="91"/>
    <w:p>
      <w:pPr>
        <w:jc w:val="center"/>
        <w:ind w:right="3319"/>
        <w:spacing w:after="0"/>
        <w:rPr>
          <w:sz w:val="20"/>
          <w:szCs w:val="20"/>
          <w:color w:val="auto"/>
        </w:rPr>
      </w:pPr>
      <w:r>
        <w:rPr>
          <w:rFonts w:ascii="Courier New" w:cs="Courier New" w:eastAsia="Courier New" w:hAnsi="Courier New"/>
          <w:sz w:val="15"/>
          <w:szCs w:val="15"/>
          <w:color w:val="auto"/>
        </w:rPr>
        <w:t>EXHIBIT C</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FORM OF BORROWING BASE CERTIFICATE</w:t>
      </w:r>
    </w:p>
    <w:p>
      <w:pPr>
        <w:spacing w:after="0" w:line="24"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w:t>
      </w:r>
    </w:p>
    <w:p>
      <w:pPr>
        <w:spacing w:after="0" w:line="30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MICRON TECHNOLOGY, INC.</w:t>
      </w:r>
    </w:p>
    <w:p>
      <w:pPr>
        <w:spacing w:after="0" w:line="24" w:lineRule="exact"/>
        <w:rPr>
          <w:sz w:val="20"/>
          <w:szCs w:val="20"/>
          <w:color w:val="auto"/>
        </w:rPr>
      </w:pPr>
    </w:p>
    <w:p>
      <w:pPr>
        <w:ind w:left="1940"/>
        <w:spacing w:after="0"/>
        <w:tabs>
          <w:tab w:leader="none" w:pos="3140" w:val="left"/>
        </w:tabs>
        <w:rPr>
          <w:sz w:val="20"/>
          <w:szCs w:val="20"/>
          <w:color w:val="auto"/>
        </w:rPr>
      </w:pPr>
      <w:r>
        <w:rPr>
          <w:rFonts w:ascii="Courier New" w:cs="Courier New" w:eastAsia="Courier New" w:hAnsi="Courier New"/>
          <w:sz w:val="15"/>
          <w:szCs w:val="15"/>
          <w:color w:val="auto"/>
        </w:rPr>
        <w:t>DATED AS OF:</w:t>
      </w:r>
      <w:r>
        <w:rPr>
          <w:sz w:val="20"/>
          <w:szCs w:val="20"/>
          <w:color w:val="auto"/>
        </w:rPr>
        <w:tab/>
      </w:r>
      <w:r>
        <w:rPr>
          <w:rFonts w:ascii="Courier New" w:cs="Courier New" w:eastAsia="Courier New" w:hAnsi="Courier New"/>
          <w:sz w:val="14"/>
          <w:szCs w:val="14"/>
          <w:color w:val="auto"/>
        </w:rPr>
        <w:t>______________, 199__</w:t>
      </w:r>
    </w:p>
    <w:p>
      <w:pPr>
        <w:spacing w:after="0" w:line="309" w:lineRule="exact"/>
        <w:rPr>
          <w:sz w:val="20"/>
          <w:szCs w:val="20"/>
          <w:color w:val="auto"/>
        </w:rPr>
      </w:pPr>
    </w:p>
    <w:p>
      <w:pPr>
        <w:jc w:val="both"/>
        <w:ind w:right="3399" w:firstLine="437"/>
        <w:spacing w:after="0" w:line="267" w:lineRule="auto"/>
        <w:rPr>
          <w:sz w:val="20"/>
          <w:szCs w:val="20"/>
          <w:color w:val="auto"/>
        </w:rPr>
      </w:pPr>
      <w:r>
        <w:rPr>
          <w:rFonts w:ascii="Courier New" w:cs="Courier New" w:eastAsia="Courier New" w:hAnsi="Courier New"/>
          <w:sz w:val="14"/>
          <w:szCs w:val="14"/>
          <w:color w:val="auto"/>
        </w:rPr>
        <w:t>Reference is made to that certain Revolving Credit Agreement dated as of May 14, 1996 (as extended, renewed, amended or restated from time to time, the "Credit Agreement") among Micron Technology, Inc. (the "Company"), the several</w:t>
      </w:r>
    </w:p>
    <w:p>
      <w:pPr>
        <w:spacing w:after="0"/>
        <w:tabs>
          <w:tab w:leader="none" w:pos="50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jc w:val="both"/>
        <w:ind w:right="3399"/>
        <w:spacing w:after="0" w:line="254" w:lineRule="auto"/>
        <w:rPr>
          <w:sz w:val="20"/>
          <w:szCs w:val="20"/>
          <w:color w:val="auto"/>
        </w:rPr>
      </w:pPr>
      <w:r>
        <w:rPr>
          <w:rFonts w:ascii="Courier New" w:cs="Courier New" w:eastAsia="Courier New" w:hAnsi="Courier New"/>
          <w:sz w:val="14"/>
          <w:szCs w:val="14"/>
          <w:color w:val="auto"/>
        </w:rPr>
        <w:t>financial institutions from time to time party to this Credit Agreement (the "Banks"), and Bank of America National Trust and Savings Association, as agent</w:t>
      </w:r>
    </w:p>
    <w:p>
      <w:pPr>
        <w:spacing w:after="0" w:line="238" w:lineRule="auto"/>
        <w:rPr>
          <w:sz w:val="20"/>
          <w:szCs w:val="20"/>
          <w:color w:val="auto"/>
        </w:rPr>
      </w:pPr>
      <w:r>
        <w:rPr>
          <w:rFonts w:ascii="Courier New" w:cs="Courier New" w:eastAsia="Courier New" w:hAnsi="Courier New"/>
          <w:sz w:val="15"/>
          <w:szCs w:val="15"/>
          <w:color w:val="auto"/>
        </w:rPr>
        <w:t>- ------</w:t>
      </w:r>
    </w:p>
    <w:p>
      <w:pPr>
        <w:jc w:val="center"/>
        <w:ind w:right="3239"/>
        <w:spacing w:after="0"/>
        <w:tabs>
          <w:tab w:leader="none" w:pos="140" w:val="left"/>
        </w:tabs>
        <w:rPr>
          <w:sz w:val="20"/>
          <w:szCs w:val="20"/>
          <w:color w:val="auto"/>
        </w:rPr>
      </w:pPr>
      <w:r>
        <w:rPr>
          <w:rFonts w:ascii="Courier New" w:cs="Courier New" w:eastAsia="Courier New" w:hAnsi="Courier New"/>
          <w:sz w:val="15"/>
          <w:szCs w:val="15"/>
          <w:color w:val="auto"/>
        </w:rPr>
        <w:t>for the Banks (in such capacity, the "Agent").</w:t>
      </w:r>
      <w:r>
        <w:rPr>
          <w:sz w:val="20"/>
          <w:szCs w:val="20"/>
          <w:color w:val="auto"/>
        </w:rPr>
        <w:tab/>
      </w:r>
      <w:r>
        <w:rPr>
          <w:rFonts w:ascii="Courier New" w:cs="Courier New" w:eastAsia="Courier New" w:hAnsi="Courier New"/>
          <w:sz w:val="14"/>
          <w:szCs w:val="14"/>
          <w:color w:val="auto"/>
        </w:rPr>
        <w:t>Unless otherwise defined herein,</w:t>
      </w:r>
    </w:p>
    <w:p>
      <w:pPr>
        <w:ind w:left="3340"/>
        <w:spacing w:after="0" w:line="237" w:lineRule="auto"/>
        <w:rPr>
          <w:sz w:val="20"/>
          <w:szCs w:val="20"/>
          <w:color w:val="auto"/>
        </w:rPr>
      </w:pPr>
      <w:r>
        <w:rPr>
          <w:rFonts w:ascii="Courier New" w:cs="Courier New" w:eastAsia="Courier New" w:hAnsi="Courier New"/>
          <w:sz w:val="15"/>
          <w:szCs w:val="15"/>
          <w:color w:val="auto"/>
        </w:rPr>
        <w:t>-----</w:t>
      </w:r>
    </w:p>
    <w:p>
      <w:pPr>
        <w:jc w:val="both"/>
        <w:ind w:right="3399"/>
        <w:spacing w:after="0" w:line="307" w:lineRule="auto"/>
        <w:rPr>
          <w:sz w:val="20"/>
          <w:szCs w:val="20"/>
          <w:color w:val="auto"/>
        </w:rPr>
      </w:pPr>
      <w:r>
        <w:rPr>
          <w:rFonts w:ascii="Courier New" w:cs="Courier New" w:eastAsia="Courier New" w:hAnsi="Courier New"/>
          <w:sz w:val="15"/>
          <w:szCs w:val="15"/>
          <w:color w:val="auto"/>
        </w:rPr>
        <w:t>capitalized terms used herein have the respective meanings assigned to them in the Credit Agreement.</w:t>
      </w:r>
    </w:p>
    <w:p>
      <w:pPr>
        <w:spacing w:after="0" w:line="44" w:lineRule="exact"/>
        <w:rPr>
          <w:sz w:val="20"/>
          <w:szCs w:val="20"/>
          <w:color w:val="auto"/>
        </w:rPr>
      </w:pPr>
    </w:p>
    <w:p>
      <w:pPr>
        <w:ind w:right="3319" w:firstLine="437"/>
        <w:spacing w:after="0" w:line="264" w:lineRule="auto"/>
        <w:rPr>
          <w:sz w:val="20"/>
          <w:szCs w:val="20"/>
          <w:color w:val="auto"/>
        </w:rPr>
      </w:pPr>
      <w:r>
        <w:rPr>
          <w:rFonts w:ascii="Courier New" w:cs="Courier New" w:eastAsia="Courier New" w:hAnsi="Courier New"/>
          <w:sz w:val="15"/>
          <w:szCs w:val="15"/>
          <w:color w:val="auto"/>
        </w:rPr>
        <w:t>The undersigned Responsible Officer of the Company hereby certifies as of the date hereof that he/she is the [Chief Financial Officer] [Treasurer] of the Company, and that, as such, he/she is authorized to execute and deliver this Certificate to the Banks and the Agent on the behalf of the Company and its consolidated Subsidiaries, and that:</w:t>
      </w:r>
    </w:p>
    <w:p>
      <w:pPr>
        <w:spacing w:after="0" w:line="75" w:lineRule="exact"/>
        <w:rPr>
          <w:sz w:val="20"/>
          <w:szCs w:val="20"/>
          <w:color w:val="auto"/>
        </w:rPr>
      </w:pPr>
    </w:p>
    <w:p>
      <w:pPr>
        <w:ind w:right="3239" w:firstLine="447"/>
        <w:spacing w:after="0" w:line="381" w:lineRule="auto"/>
        <w:tabs>
          <w:tab w:leader="none" w:pos="787"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Pari Passu Debt Amount (outstanding Senior Unsecured Debt plus outstanding Indebtedness permitted pursuant to Section 7.06(h)) is $___________.</w:t>
      </w:r>
    </w:p>
    <w:p>
      <w:pPr>
        <w:spacing w:after="0" w:line="1" w:lineRule="exact"/>
        <w:rPr>
          <w:rFonts w:ascii="Courier New" w:cs="Courier New" w:eastAsia="Courier New" w:hAnsi="Courier New"/>
          <w:sz w:val="14"/>
          <w:szCs w:val="14"/>
          <w:color w:val="auto"/>
        </w:rPr>
      </w:pPr>
    </w:p>
    <w:p>
      <w:pPr>
        <w:ind w:left="800" w:hanging="353"/>
        <w:spacing w:after="0"/>
        <w:tabs>
          <w:tab w:leader="none" w:pos="80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dates referred to in Paragraph 3 below:</w:t>
      </w:r>
    </w:p>
    <w:p>
      <w:pPr>
        <w:spacing w:after="0" w:line="166" w:lineRule="exact"/>
        <w:rPr>
          <w:rFonts w:ascii="Courier New" w:cs="Courier New" w:eastAsia="Courier New" w:hAnsi="Courier New"/>
          <w:sz w:val="15"/>
          <w:szCs w:val="15"/>
          <w:color w:val="auto"/>
        </w:rPr>
      </w:pPr>
    </w:p>
    <w:p>
      <w:pPr>
        <w:ind w:left="440" w:right="3499" w:firstLine="357"/>
        <w:spacing w:after="0" w:line="290" w:lineRule="auto"/>
        <w:tabs>
          <w:tab w:leader="none" w:pos="114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Adjusted Net Accounts Receivables Amount (80%/*/ of the face amount of net trade receivables determined in accordance with GAAP) is $___________; and</w:t>
      </w:r>
    </w:p>
    <w:p>
      <w:pPr>
        <w:spacing w:after="0" w:line="56" w:lineRule="exact"/>
        <w:rPr>
          <w:rFonts w:ascii="Courier New" w:cs="Courier New" w:eastAsia="Courier New" w:hAnsi="Courier New"/>
          <w:sz w:val="15"/>
          <w:szCs w:val="15"/>
          <w:color w:val="auto"/>
        </w:rPr>
      </w:pPr>
    </w:p>
    <w:p>
      <w:pPr>
        <w:ind w:left="440" w:right="3679" w:firstLine="357"/>
        <w:spacing w:after="0" w:line="290" w:lineRule="auto"/>
        <w:tabs>
          <w:tab w:leader="none" w:pos="1227"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Borrowing Base ($200,000,000 plus 70% of the Adjusted Net Accounts Receivables Amount, less the Pari Passu Debt Amount) is $__________.</w:t>
      </w:r>
    </w:p>
    <w:p>
      <w:pPr>
        <w:spacing w:after="0" w:line="56" w:lineRule="exact"/>
        <w:rPr>
          <w:rFonts w:ascii="Courier New" w:cs="Courier New" w:eastAsia="Courier New" w:hAnsi="Courier New"/>
          <w:sz w:val="15"/>
          <w:szCs w:val="15"/>
          <w:color w:val="auto"/>
        </w:rPr>
      </w:pPr>
    </w:p>
    <w:p>
      <w:pPr>
        <w:ind w:right="3319" w:firstLine="447"/>
        <w:spacing w:after="0" w:line="320" w:lineRule="auto"/>
        <w:tabs>
          <w:tab w:leader="none" w:pos="787"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and after May 30, 1997, or on and after February 28, 1997, if the Company has not consummated equipment financings of at least $300,000,000 from and including February 29, 1996 through and including February 27, 1997 (2Q97):</w:t>
      </w:r>
    </w:p>
    <w:p>
      <w:pPr>
        <w:spacing w:after="0" w:line="38" w:lineRule="exact"/>
        <w:rPr>
          <w:rFonts w:ascii="Courier New" w:cs="Courier New" w:eastAsia="Courier New" w:hAnsi="Courier New"/>
          <w:sz w:val="14"/>
          <w:szCs w:val="14"/>
          <w:color w:val="auto"/>
        </w:rPr>
      </w:pPr>
    </w:p>
    <w:p>
      <w:pPr>
        <w:ind w:left="440" w:right="3499" w:firstLine="357"/>
        <w:spacing w:after="0" w:line="344" w:lineRule="auto"/>
        <w:tabs>
          <w:tab w:leader="none" w:pos="1227"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outstanding face amount of all Eligible Accounts Receivable is $_________;</w:t>
      </w:r>
    </w:p>
    <w:p>
      <w:pPr>
        <w:spacing w:after="0" w:line="17" w:lineRule="exact"/>
        <w:rPr>
          <w:rFonts w:ascii="Courier New" w:cs="Courier New" w:eastAsia="Courier New" w:hAnsi="Courier New"/>
          <w:sz w:val="15"/>
          <w:szCs w:val="15"/>
          <w:color w:val="auto"/>
        </w:rPr>
      </w:pPr>
    </w:p>
    <w:p>
      <w:pPr>
        <w:ind w:left="440" w:right="3679" w:firstLine="357"/>
        <w:spacing w:after="0" w:line="290" w:lineRule="auto"/>
        <w:tabs>
          <w:tab w:leader="none" w:pos="1227"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Borrowing Base (70% of the outstanding face amount of all Eligible Accounts Receivable, less the Pari Passu Debt Amount) is $__________.</w:t>
      </w:r>
    </w:p>
    <w:p>
      <w:pPr>
        <w:spacing w:after="0" w:line="5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all outstanding Loans is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w:t>
      </w:r>
    </w:p>
    <w:p>
      <w:pPr>
        <w:spacing w:after="0" w:line="140" w:lineRule="exact"/>
        <w:rPr>
          <w:sz w:val="20"/>
          <w:szCs w:val="20"/>
          <w:color w:val="auto"/>
        </w:rPr>
      </w:pPr>
    </w:p>
    <w:p>
      <w:pPr>
        <w:ind w:right="3399" w:firstLine="447"/>
        <w:spacing w:after="0" w:line="381" w:lineRule="auto"/>
        <w:tabs>
          <w:tab w:leader="none" w:pos="787"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by which the aggregate principal amount of all outstanding Loans is [greater] [less] than the Borrowing Base is $___________.</w:t>
      </w:r>
    </w:p>
    <w:p>
      <w:pPr>
        <w:spacing w:after="0" w:line="1" w:lineRule="exact"/>
        <w:rPr>
          <w:rFonts w:ascii="Courier New" w:cs="Courier New" w:eastAsia="Courier New" w:hAnsi="Courier New"/>
          <w:sz w:val="14"/>
          <w:szCs w:val="14"/>
          <w:color w:val="auto"/>
        </w:rPr>
      </w:pPr>
    </w:p>
    <w:p>
      <w:pPr>
        <w:ind w:left="800" w:hanging="353"/>
        <w:spacing w:after="0"/>
        <w:tabs>
          <w:tab w:leader="none" w:pos="80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Attached as Schedule 1 hereto is a true and correct copy of supporting</w:t>
      </w:r>
    </w:p>
    <w:p>
      <w:pPr>
        <w:spacing w:after="0" w:line="34"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details for the foregoing calculations.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w:t>
      </w:r>
    </w:p>
    <w:p>
      <w:pPr>
        <w:spacing w:after="0" w:line="2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w:t>
        <w:tab/>
        <w:t>Subject to adjustment.</w:t>
      </w:r>
    </w:p>
    <w:p>
      <w:pPr>
        <w:spacing w:after="0" w:line="1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39"/>
          </w:cols>
          <w:pgMar w:left="220" w:top="598" w:right="1440" w:bottom="1440" w:gutter="0" w:footer="0" w:header="0"/>
        </w:sectPr>
      </w:pPr>
    </w:p>
    <w:bookmarkStart w:id="92" w:name="page93"/>
    <w:bookmarkEnd w:id="92"/>
    <w:p>
      <w:pPr>
        <w:ind w:right="3499" w:firstLine="447"/>
        <w:spacing w:after="0" w:line="249" w:lineRule="auto"/>
        <w:tabs>
          <w:tab w:leader="none" w:pos="787"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values used to calculate the Borrowing Base are true and correct and in agreement with the records of the Company, and the calculations made above and on Schedule 1 are mathematically accurate.</w:t>
      </w:r>
    </w:p>
    <w:p>
      <w:pPr>
        <w:spacing w:after="0" w:line="1" w:lineRule="exact"/>
        <w:rPr>
          <w:rFonts w:ascii="Courier New" w:cs="Courier New" w:eastAsia="Courier New" w:hAnsi="Courier New"/>
          <w:sz w:val="15"/>
          <w:szCs w:val="15"/>
          <w:color w:val="auto"/>
        </w:rPr>
      </w:pPr>
    </w:p>
    <w:p>
      <w:pPr>
        <w:ind w:left="11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WITNESS WHEREOF, the undersigned has executed this Certificate as of</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 199__.</w:t>
      </w:r>
    </w:p>
    <w:p>
      <w:pPr>
        <w:spacing w:after="0" w:line="30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MICRON TECHNOLOGY, INC.</w:t>
      </w:r>
    </w:p>
    <w:p>
      <w:pPr>
        <w:spacing w:after="0" w:line="200" w:lineRule="exact"/>
        <w:rPr>
          <w:sz w:val="20"/>
          <w:szCs w:val="20"/>
          <w:color w:val="auto"/>
        </w:rPr>
      </w:pPr>
    </w:p>
    <w:p>
      <w:pPr>
        <w:spacing w:after="0" w:line="30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____________________________________</w:t>
      </w:r>
    </w:p>
    <w:p>
      <w:pPr>
        <w:spacing w:after="0" w:line="24"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Title:</w:t>
      </w:r>
    </w:p>
    <w:p>
      <w:pPr>
        <w:spacing w:after="0" w:line="1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39"/>
          </w:cols>
          <w:pgMar w:left="220" w:top="598" w:right="1440" w:bottom="1440" w:gutter="0" w:footer="0" w:header="0"/>
        </w:sectPr>
      </w:pPr>
    </w:p>
    <w:bookmarkStart w:id="93" w:name="page94"/>
    <w:bookmarkEnd w:id="93"/>
    <w:p>
      <w:pPr>
        <w:jc w:val="center"/>
        <w:ind w:right="3319"/>
        <w:spacing w:after="0"/>
        <w:rPr>
          <w:sz w:val="20"/>
          <w:szCs w:val="20"/>
          <w:color w:val="auto"/>
        </w:rPr>
      </w:pPr>
      <w:r>
        <w:rPr>
          <w:rFonts w:ascii="Courier New" w:cs="Courier New" w:eastAsia="Courier New" w:hAnsi="Courier New"/>
          <w:sz w:val="15"/>
          <w:szCs w:val="15"/>
          <w:color w:val="auto"/>
        </w:rPr>
        <w:t>EXHIBIT D</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FORM OF COMPLIANCE CERTIFICATE</w:t>
      </w:r>
    </w:p>
    <w:p>
      <w:pPr>
        <w:spacing w:after="0" w:line="24"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0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MICRON TECHNOLOGY, INC.</w:t>
      </w:r>
    </w:p>
    <w:p>
      <w:pPr>
        <w:spacing w:after="0" w:line="24" w:lineRule="exact"/>
        <w:rPr>
          <w:sz w:val="20"/>
          <w:szCs w:val="20"/>
          <w:color w:val="auto"/>
        </w:rPr>
      </w:pPr>
    </w:p>
    <w:p>
      <w:pPr>
        <w:ind w:left="1400"/>
        <w:spacing w:after="0"/>
        <w:tabs>
          <w:tab w:leader="none" w:pos="3760" w:val="left"/>
        </w:tabs>
        <w:rPr>
          <w:sz w:val="20"/>
          <w:szCs w:val="20"/>
          <w:color w:val="auto"/>
        </w:rPr>
      </w:pPr>
      <w:r>
        <w:rPr>
          <w:rFonts w:ascii="Courier New" w:cs="Courier New" w:eastAsia="Courier New" w:hAnsi="Courier New"/>
          <w:sz w:val="15"/>
          <w:szCs w:val="15"/>
          <w:color w:val="auto"/>
        </w:rPr>
        <w:t>FINANCIAL STATEMENT DATE:</w:t>
      </w:r>
      <w:r>
        <w:rPr>
          <w:sz w:val="20"/>
          <w:szCs w:val="20"/>
          <w:color w:val="auto"/>
        </w:rPr>
        <w:tab/>
      </w:r>
      <w:r>
        <w:rPr>
          <w:rFonts w:ascii="Courier New" w:cs="Courier New" w:eastAsia="Courier New" w:hAnsi="Courier New"/>
          <w:sz w:val="14"/>
          <w:szCs w:val="14"/>
          <w:color w:val="auto"/>
        </w:rPr>
        <w:t>______________, 199__</w:t>
      </w:r>
    </w:p>
    <w:p>
      <w:pPr>
        <w:spacing w:after="0" w:line="309" w:lineRule="exact"/>
        <w:rPr>
          <w:sz w:val="20"/>
          <w:szCs w:val="20"/>
          <w:color w:val="auto"/>
        </w:rPr>
      </w:pPr>
    </w:p>
    <w:p>
      <w:pPr>
        <w:ind w:right="3399" w:firstLine="437"/>
        <w:spacing w:after="0" w:line="381" w:lineRule="auto"/>
        <w:rPr>
          <w:sz w:val="20"/>
          <w:szCs w:val="20"/>
          <w:color w:val="auto"/>
        </w:rPr>
      </w:pPr>
      <w:r>
        <w:rPr>
          <w:rFonts w:ascii="Courier New" w:cs="Courier New" w:eastAsia="Courier New" w:hAnsi="Courier New"/>
          <w:sz w:val="14"/>
          <w:szCs w:val="14"/>
          <w:color w:val="auto"/>
        </w:rPr>
        <w:t>Reference is made to that certain Revolving Credit Agreement dated as of May 14, 1996 (as extended, renewed, amended or restated from time to time,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Agreement") among Micron Technology, Inc. (the "Company"), the several</w:t>
      </w:r>
    </w:p>
    <w:p>
      <w:pPr>
        <w:spacing w:after="0" w:line="34" w:lineRule="exact"/>
        <w:rPr>
          <w:sz w:val="20"/>
          <w:szCs w:val="20"/>
          <w:color w:val="auto"/>
        </w:rPr>
      </w:pPr>
    </w:p>
    <w:p>
      <w:pPr>
        <w:ind w:left="100"/>
        <w:spacing w:after="0"/>
        <w:tabs>
          <w:tab w:leader="none" w:pos="48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financial institutions from time to time party to this Credit Agreement (the</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"Banks"), and Bank of America National Trust and Savings Association, as agent</w:t>
      </w:r>
    </w:p>
    <w:p>
      <w:pPr>
        <w:spacing w:after="0" w:line="34"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jc w:val="center"/>
        <w:ind w:right="3239"/>
        <w:spacing w:after="0"/>
        <w:tabs>
          <w:tab w:leader="none" w:pos="140" w:val="left"/>
        </w:tabs>
        <w:rPr>
          <w:sz w:val="20"/>
          <w:szCs w:val="20"/>
          <w:color w:val="auto"/>
        </w:rPr>
      </w:pPr>
      <w:r>
        <w:rPr>
          <w:rFonts w:ascii="Courier New" w:cs="Courier New" w:eastAsia="Courier New" w:hAnsi="Courier New"/>
          <w:sz w:val="15"/>
          <w:szCs w:val="15"/>
          <w:color w:val="auto"/>
        </w:rPr>
        <w:t>for the Banks (in such capacity, the "Agent").</w:t>
      </w:r>
      <w:r>
        <w:rPr>
          <w:sz w:val="20"/>
          <w:szCs w:val="20"/>
          <w:color w:val="auto"/>
        </w:rPr>
        <w:tab/>
      </w:r>
      <w:r>
        <w:rPr>
          <w:rFonts w:ascii="Courier New" w:cs="Courier New" w:eastAsia="Courier New" w:hAnsi="Courier New"/>
          <w:sz w:val="14"/>
          <w:szCs w:val="14"/>
          <w:color w:val="auto"/>
        </w:rPr>
        <w:t>Unless otherwise defined herein,</w:t>
      </w:r>
    </w:p>
    <w:p>
      <w:pPr>
        <w:ind w:left="3340"/>
        <w:spacing w:after="0" w:line="238" w:lineRule="auto"/>
        <w:rPr>
          <w:sz w:val="20"/>
          <w:szCs w:val="20"/>
          <w:color w:val="auto"/>
        </w:rPr>
      </w:pPr>
      <w:r>
        <w:rPr>
          <w:rFonts w:ascii="Courier New" w:cs="Courier New" w:eastAsia="Courier New" w:hAnsi="Courier New"/>
          <w:sz w:val="15"/>
          <w:szCs w:val="15"/>
          <w:color w:val="auto"/>
        </w:rPr>
        <w:t>-----</w:t>
      </w:r>
    </w:p>
    <w:p>
      <w:pPr>
        <w:ind w:right="3399"/>
        <w:spacing w:after="0" w:line="307" w:lineRule="auto"/>
        <w:rPr>
          <w:sz w:val="20"/>
          <w:szCs w:val="20"/>
          <w:color w:val="auto"/>
        </w:rPr>
      </w:pPr>
      <w:r>
        <w:rPr>
          <w:rFonts w:ascii="Courier New" w:cs="Courier New" w:eastAsia="Courier New" w:hAnsi="Courier New"/>
          <w:sz w:val="15"/>
          <w:szCs w:val="15"/>
          <w:color w:val="auto"/>
        </w:rPr>
        <w:t>capitalized terms used herein have the respective meanings assigned to them in the Credit Agreement.</w:t>
      </w:r>
    </w:p>
    <w:p>
      <w:pPr>
        <w:spacing w:after="0" w:line="44" w:lineRule="exact"/>
        <w:rPr>
          <w:sz w:val="20"/>
          <w:szCs w:val="20"/>
          <w:color w:val="auto"/>
        </w:rPr>
      </w:pPr>
    </w:p>
    <w:p>
      <w:pPr>
        <w:ind w:right="3319" w:firstLine="437"/>
        <w:spacing w:after="0" w:line="264" w:lineRule="auto"/>
        <w:rPr>
          <w:sz w:val="20"/>
          <w:szCs w:val="20"/>
          <w:color w:val="auto"/>
        </w:rPr>
      </w:pPr>
      <w:r>
        <w:rPr>
          <w:rFonts w:ascii="Courier New" w:cs="Courier New" w:eastAsia="Courier New" w:hAnsi="Courier New"/>
          <w:sz w:val="15"/>
          <w:szCs w:val="15"/>
          <w:color w:val="auto"/>
        </w:rPr>
        <w:t>The undersigned Responsible Officer of the Company hereby certifies as of the date hereof that he/she is the [Chief Financial Officer] [Treasurer] of the Company, and that, as such, he/she is authorized to execute and deliver this Certificate to the Banks and the Agent on the behalf of the Company and its consolidated Subsidiaries, and that:</w:t>
      </w:r>
    </w:p>
    <w:p>
      <w:pPr>
        <w:spacing w:after="0" w:line="75"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[Use the following paragraph if this Certificate is delivered in connection with the financial statements required by subsection 6.01(a) of the Credit Agreement.]</w:t>
      </w:r>
    </w:p>
    <w:p>
      <w:pPr>
        <w:spacing w:after="0" w:line="57" w:lineRule="exact"/>
        <w:rPr>
          <w:sz w:val="20"/>
          <w:szCs w:val="20"/>
          <w:color w:val="auto"/>
        </w:rPr>
      </w:pPr>
    </w:p>
    <w:p>
      <w:pPr>
        <w:ind w:left="800" w:hanging="353"/>
        <w:spacing w:after="0"/>
        <w:tabs>
          <w:tab w:leader="none" w:pos="8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Attached as Schedule 1 hereto are true and correct copies of the</w:t>
      </w:r>
    </w:p>
    <w:p>
      <w:pPr>
        <w:spacing w:after="0" w:line="24" w:lineRule="exact"/>
        <w:rPr>
          <w:rFonts w:ascii="Courier New" w:cs="Courier New" w:eastAsia="Courier New" w:hAnsi="Courier New"/>
          <w:sz w:val="15"/>
          <w:szCs w:val="15"/>
          <w:color w:val="auto"/>
        </w:rPr>
      </w:pPr>
    </w:p>
    <w:p>
      <w:pPr>
        <w:ind w:left="18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239"/>
        <w:spacing w:after="0" w:line="254" w:lineRule="auto"/>
        <w:rPr>
          <w:sz w:val="20"/>
          <w:szCs w:val="20"/>
          <w:color w:val="auto"/>
        </w:rPr>
      </w:pPr>
      <w:r>
        <w:rPr>
          <w:rFonts w:ascii="Courier New" w:cs="Courier New" w:eastAsia="Courier New" w:hAnsi="Courier New"/>
          <w:sz w:val="14"/>
          <w:szCs w:val="14"/>
          <w:color w:val="auto"/>
        </w:rPr>
        <w:t>audited consolidated balance sheet of the Company and its Subsidiaries as at the end of the fiscal year ended _______________, 199__ and the related consolidated</w:t>
      </w:r>
    </w:p>
    <w:p>
      <w:pPr>
        <w:spacing w:after="0" w:line="1" w:lineRule="exact"/>
        <w:rPr>
          <w:sz w:val="20"/>
          <w:szCs w:val="20"/>
          <w:color w:val="auto"/>
        </w:rPr>
      </w:pPr>
    </w:p>
    <w:p>
      <w:pPr>
        <w:ind w:right="3239"/>
        <w:spacing w:after="0" w:line="245" w:lineRule="auto"/>
        <w:rPr>
          <w:sz w:val="20"/>
          <w:szCs w:val="20"/>
          <w:color w:val="auto"/>
        </w:rPr>
      </w:pPr>
      <w:r>
        <w:rPr>
          <w:rFonts w:ascii="Courier New" w:cs="Courier New" w:eastAsia="Courier New" w:hAnsi="Courier New"/>
          <w:sz w:val="15"/>
          <w:szCs w:val="15"/>
          <w:color w:val="auto"/>
        </w:rPr>
        <w:t>statements of income or operations, shareholders' equity and cash flows for such year, setting forth in each case in comparative form the figures for the previous fiscal year, accompanied by the opinion of the Independent Auditor, which opinion (a) states that such consolidated financial statements present fairly in all material respects the financial position of the Company as of the date thereof and the results of operations for the periods indicated in conformity with GAAP applied on a basis consistent with prior years, except as otherwise indicated therein, and (b) is not qualified or limited because of a restricted or limited examination by the Independent Auditor of any material portion of the Company's or any Subsidiary's records.</w:t>
      </w:r>
    </w:p>
    <w:p>
      <w:pPr>
        <w:spacing w:after="0" w:line="90"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[Use the following paragraph if this Certificate is delivered in connection with the financial statements required by subsection 6.01(b) of the Credit Agreement.]</w:t>
      </w:r>
    </w:p>
    <w:p>
      <w:pPr>
        <w:spacing w:after="0" w:line="57" w:lineRule="exact"/>
        <w:rPr>
          <w:sz w:val="20"/>
          <w:szCs w:val="20"/>
          <w:color w:val="auto"/>
        </w:rPr>
      </w:pPr>
    </w:p>
    <w:p>
      <w:pPr>
        <w:ind w:left="800" w:hanging="353"/>
        <w:spacing w:after="0"/>
        <w:tabs>
          <w:tab w:leader="none" w:pos="80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Attached as Schedule 1 hereto are true and correct copies of the</w:t>
      </w:r>
    </w:p>
    <w:p>
      <w:pPr>
        <w:spacing w:after="0" w:line="23"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ind w:right="3399"/>
        <w:spacing w:after="0" w:line="237" w:lineRule="auto"/>
        <w:rPr>
          <w:sz w:val="20"/>
          <w:szCs w:val="20"/>
          <w:color w:val="auto"/>
        </w:rPr>
      </w:pPr>
      <w:r>
        <w:rPr>
          <w:rFonts w:ascii="Courier New" w:cs="Courier New" w:eastAsia="Courier New" w:hAnsi="Courier New"/>
          <w:sz w:val="15"/>
          <w:szCs w:val="15"/>
          <w:color w:val="auto"/>
        </w:rPr>
        <w:t>unaudited consolidated balance sheet of the Company and its Subsidiaries as of the end of the fiscal quarter ended __________, 199__ and the related</w:t>
      </w:r>
    </w:p>
    <w:p>
      <w:pPr>
        <w:spacing w:after="0" w:line="1" w:lineRule="exact"/>
        <w:rPr>
          <w:sz w:val="20"/>
          <w:szCs w:val="20"/>
          <w:color w:val="auto"/>
        </w:rPr>
      </w:pPr>
    </w:p>
    <w:p>
      <w:pPr>
        <w:ind w:right="3239"/>
        <w:spacing w:after="0" w:line="251" w:lineRule="auto"/>
        <w:rPr>
          <w:sz w:val="20"/>
          <w:szCs w:val="20"/>
          <w:color w:val="auto"/>
        </w:rPr>
      </w:pPr>
      <w:r>
        <w:rPr>
          <w:rFonts w:ascii="Courier New" w:cs="Courier New" w:eastAsia="Courier New" w:hAnsi="Courier New"/>
          <w:sz w:val="15"/>
          <w:szCs w:val="15"/>
          <w:color w:val="auto"/>
        </w:rPr>
        <w:t>consolidated statements of income for the period commencing on the first day and ending on the last day of such quarter, and statement of cash flows for the year to date, which fairly present in all material respects, in accordance with GAAP (subject to ordinary, good faith year-end audit adjustments and except for the absence of footnotes), the financial position and the results of operations of the Company and the Subsidiaries.</w:t>
      </w:r>
    </w:p>
    <w:p>
      <w:pPr>
        <w:spacing w:after="0" w:line="85" w:lineRule="exact"/>
        <w:rPr>
          <w:sz w:val="20"/>
          <w:szCs w:val="20"/>
          <w:color w:val="auto"/>
        </w:rPr>
      </w:pPr>
    </w:p>
    <w:p>
      <w:pPr>
        <w:ind w:right="3319" w:firstLine="447"/>
        <w:spacing w:after="0" w:line="264" w:lineRule="auto"/>
        <w:tabs>
          <w:tab w:leader="none" w:pos="787"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has reviewed and is familiar with the terms of the Credit Agreement and has made, or has caused to be made under his/her supervision, a detailed review of the transactions and conditions (financial or otherwise) of the Company during the accounting period covered by the attached financial statements.</w:t>
      </w:r>
    </w:p>
    <w:p>
      <w:pPr>
        <w:spacing w:after="0" w:line="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D-1</w:t>
      </w:r>
    </w:p>
    <w:p>
      <w:pPr>
        <w:sectPr>
          <w:pgSz w:w="11900" w:h="16838" w:orient="portrait"/>
          <w:cols w:equalWidth="0" w:num="1">
            <w:col w:w="10239"/>
          </w:cols>
          <w:pgMar w:left="220" w:top="597" w:right="1440" w:bottom="1440" w:gutter="0" w:footer="0" w:header="0"/>
        </w:sectPr>
      </w:pPr>
    </w:p>
    <w:bookmarkStart w:id="94" w:name="page95"/>
    <w:bookmarkEnd w:id="94"/>
    <w:p>
      <w:pPr>
        <w:ind w:right="3319" w:firstLine="447"/>
        <w:spacing w:after="0" w:line="298" w:lineRule="auto"/>
        <w:tabs>
          <w:tab w:leader="none" w:pos="787"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during such period, has observed, performed or satisfied all of its covenants and other agreements, and satisfied every condition in the Credit Agreement to be observed, performed or satisfied by the Company, and the undersigned has no knowledge of any Default or Event of Default.</w:t>
      </w:r>
    </w:p>
    <w:p>
      <w:pPr>
        <w:spacing w:after="0" w:line="53" w:lineRule="exact"/>
        <w:rPr>
          <w:rFonts w:ascii="Courier New" w:cs="Courier New" w:eastAsia="Courier New" w:hAnsi="Courier New"/>
          <w:sz w:val="14"/>
          <w:szCs w:val="14"/>
          <w:color w:val="auto"/>
        </w:rPr>
      </w:pPr>
    </w:p>
    <w:p>
      <w:pPr>
        <w:ind w:right="3319" w:firstLine="447"/>
        <w:spacing w:after="0" w:line="264" w:lineRule="auto"/>
        <w:tabs>
          <w:tab w:leader="none" w:pos="78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the Company contained in Article V of the Credit Agreement are true and correct as though made on and as of the date hereof (except to the extent such representations and warranties relate to an earlier date, in which case they were true and correct as of such earlier date).</w:t>
      </w:r>
    </w:p>
    <w:p>
      <w:pPr>
        <w:spacing w:after="0" w:line="74"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financial covenant analyses and information set forth 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2 attached hereto are true and accurate on and as of the date of this</w:t>
      </w:r>
    </w:p>
    <w:p>
      <w:pPr>
        <w:spacing w:after="0" w:line="34" w:lineRule="exact"/>
        <w:rPr>
          <w:sz w:val="20"/>
          <w:szCs w:val="20"/>
          <w:color w:val="auto"/>
        </w:rPr>
      </w:pPr>
    </w:p>
    <w:p>
      <w:pPr>
        <w:ind w:left="180" w:hanging="170"/>
        <w:spacing w:after="0"/>
        <w:tabs>
          <w:tab w:leader="none" w:pos="18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w:t>
      </w:r>
    </w:p>
    <w:p>
      <w:pPr>
        <w:spacing w:after="0" w:line="1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WITNESS WHEREOF, the undersigned has executed this Certificate as of</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 199__.</w:t>
      </w:r>
    </w:p>
    <w:p>
      <w:pPr>
        <w:spacing w:after="0" w:line="30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MICRON TECHNOLOGY, INC.</w:t>
      </w:r>
    </w:p>
    <w:p>
      <w:pPr>
        <w:spacing w:after="0" w:line="200" w:lineRule="exact"/>
        <w:rPr>
          <w:sz w:val="20"/>
          <w:szCs w:val="20"/>
          <w:color w:val="auto"/>
        </w:rPr>
      </w:pPr>
    </w:p>
    <w:p>
      <w:pPr>
        <w:spacing w:after="0" w:line="30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______________________________________</w:t>
      </w:r>
    </w:p>
    <w:p>
      <w:pPr>
        <w:spacing w:after="0" w:line="24"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Title:</w:t>
      </w:r>
    </w:p>
    <w:p>
      <w:pPr>
        <w:spacing w:after="0" w:line="1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D-2</w:t>
      </w:r>
    </w:p>
    <w:p>
      <w:pPr>
        <w:sectPr>
          <w:pgSz w:w="11900" w:h="16838" w:orient="portrait"/>
          <w:cols w:equalWidth="0" w:num="1">
            <w:col w:w="10239"/>
          </w:cols>
          <w:pgMar w:left="220" w:top="598" w:right="1440" w:bottom="1440" w:gutter="0" w:footer="0" w:header="0"/>
        </w:sectPr>
      </w:pPr>
    </w:p>
    <w:bookmarkStart w:id="95" w:name="page96"/>
    <w:bookmarkEnd w:id="95"/>
    <w:p>
      <w:pPr>
        <w:ind w:left="3070"/>
        <w:spacing w:after="0"/>
        <w:rPr>
          <w:sz w:val="20"/>
          <w:szCs w:val="20"/>
          <w:color w:val="auto"/>
        </w:rPr>
      </w:pPr>
      <w:r>
        <w:rPr>
          <w:rFonts w:ascii="Courier New" w:cs="Courier New" w:eastAsia="Courier New" w:hAnsi="Courier New"/>
          <w:sz w:val="15"/>
          <w:szCs w:val="15"/>
          <w:color w:val="auto"/>
        </w:rPr>
        <w:t>SCHEDULE 2</w:t>
      </w:r>
    </w:p>
    <w:p>
      <w:pPr>
        <w:spacing w:after="0" w:line="23" w:lineRule="exact"/>
        <w:rPr>
          <w:sz w:val="20"/>
          <w:szCs w:val="20"/>
          <w:color w:val="auto"/>
        </w:rPr>
      </w:pPr>
    </w:p>
    <w:p>
      <w:pPr>
        <w:ind w:left="3070"/>
        <w:spacing w:after="0"/>
        <w:rPr>
          <w:sz w:val="20"/>
          <w:szCs w:val="20"/>
          <w:color w:val="auto"/>
        </w:rPr>
      </w:pPr>
      <w:r>
        <w:rPr>
          <w:rFonts w:ascii="Courier New" w:cs="Courier New" w:eastAsia="Courier New" w:hAnsi="Courier New"/>
          <w:sz w:val="15"/>
          <w:szCs w:val="15"/>
          <w:color w:val="auto"/>
        </w:rPr>
        <w:t>----------</w:t>
      </w:r>
    </w:p>
    <w:p>
      <w:pPr>
        <w:ind w:left="2190"/>
        <w:spacing w:after="0" w:line="237" w:lineRule="auto"/>
        <w:rPr>
          <w:sz w:val="20"/>
          <w:szCs w:val="20"/>
          <w:color w:val="auto"/>
        </w:rPr>
      </w:pPr>
      <w:r>
        <w:rPr>
          <w:rFonts w:ascii="Courier New" w:cs="Courier New" w:eastAsia="Courier New" w:hAnsi="Courier New"/>
          <w:sz w:val="15"/>
          <w:szCs w:val="15"/>
          <w:color w:val="auto"/>
        </w:rPr>
        <w:t>to the Compliance Certificate</w:t>
      </w:r>
    </w:p>
    <w:p>
      <w:pPr>
        <w:ind w:left="2970"/>
        <w:spacing w:after="0"/>
        <w:rPr>
          <w:sz w:val="20"/>
          <w:szCs w:val="20"/>
          <w:color w:val="auto"/>
        </w:rPr>
      </w:pPr>
      <w:r>
        <w:rPr>
          <w:rFonts w:ascii="Courier New" w:cs="Courier New" w:eastAsia="Courier New" w:hAnsi="Courier New"/>
          <w:sz w:val="15"/>
          <w:szCs w:val="15"/>
          <w:color w:val="auto"/>
        </w:rPr>
        <w:t>($ in 000's)</w:t>
      </w:r>
    </w:p>
    <w:p>
      <w:pPr>
        <w:spacing w:after="0" w:line="309" w:lineRule="exact"/>
        <w:rPr>
          <w:sz w:val="20"/>
          <w:szCs w:val="20"/>
          <w:color w:val="auto"/>
        </w:rPr>
      </w:pPr>
    </w:p>
    <w:p>
      <w:pPr>
        <w:ind w:left="4630"/>
        <w:spacing w:after="0"/>
        <w:rPr>
          <w:sz w:val="20"/>
          <w:szCs w:val="20"/>
          <w:color w:val="auto"/>
        </w:rPr>
      </w:pPr>
      <w:r>
        <w:rPr>
          <w:rFonts w:ascii="Courier New" w:cs="Courier New" w:eastAsia="Courier New" w:hAnsi="Courier New"/>
          <w:sz w:val="15"/>
          <w:szCs w:val="15"/>
          <w:color w:val="auto"/>
        </w:rPr>
        <w:t>Date: ______________, 199__</w:t>
      </w:r>
    </w:p>
    <w:p>
      <w:pPr>
        <w:spacing w:after="0" w:line="23" w:lineRule="exact"/>
        <w:rPr>
          <w:sz w:val="20"/>
          <w:szCs w:val="20"/>
          <w:color w:val="auto"/>
        </w:rPr>
      </w:pPr>
    </w:p>
    <w:p>
      <w:pPr>
        <w:ind w:left="4630"/>
        <w:spacing w:after="0"/>
        <w:rPr>
          <w:sz w:val="20"/>
          <w:szCs w:val="20"/>
          <w:color w:val="auto"/>
        </w:rPr>
      </w:pPr>
      <w:r>
        <w:rPr>
          <w:rFonts w:ascii="Courier New" w:cs="Courier New" w:eastAsia="Courier New" w:hAnsi="Courier New"/>
          <w:sz w:val="15"/>
          <w:szCs w:val="15"/>
          <w:color w:val="auto"/>
        </w:rPr>
        <w:t>For the fiscal quarter/year</w:t>
      </w:r>
    </w:p>
    <w:p>
      <w:pPr>
        <w:ind w:left="4630"/>
        <w:spacing w:after="0"/>
        <w:rPr>
          <w:sz w:val="20"/>
          <w:szCs w:val="20"/>
          <w:color w:val="auto"/>
        </w:rPr>
      </w:pPr>
      <w:r>
        <w:rPr>
          <w:rFonts w:ascii="Courier New" w:cs="Courier New" w:eastAsia="Courier New" w:hAnsi="Courier New"/>
          <w:sz w:val="15"/>
          <w:szCs w:val="15"/>
          <w:color w:val="auto"/>
        </w:rPr>
        <w:t>ended ______________, 199__</w:t>
      </w:r>
    </w:p>
    <w:p>
      <w:pPr>
        <w:spacing w:after="0" w:line="140" w:lineRule="exact"/>
        <w:rPr>
          <w:sz w:val="20"/>
          <w:szCs w:val="20"/>
          <w:color w:val="auto"/>
        </w:rPr>
      </w:pPr>
    </w:p>
    <w:p>
      <w:pPr>
        <w:ind w:left="6390"/>
        <w:spacing w:after="0"/>
        <w:tabs>
          <w:tab w:leader="none" w:pos="7930" w:val="left"/>
        </w:tabs>
        <w:rPr>
          <w:sz w:val="20"/>
          <w:szCs w:val="20"/>
          <w:color w:val="auto"/>
        </w:rPr>
      </w:pPr>
      <w:r>
        <w:rPr>
          <w:rFonts w:ascii="Courier New" w:cs="Courier New" w:eastAsia="Courier New" w:hAnsi="Courier New"/>
          <w:sz w:val="15"/>
          <w:szCs w:val="15"/>
          <w:color w:val="auto"/>
        </w:rPr>
        <w:t>Actual</w:t>
      </w:r>
      <w:r>
        <w:rPr>
          <w:sz w:val="20"/>
          <w:szCs w:val="20"/>
          <w:color w:val="auto"/>
        </w:rPr>
        <w:tab/>
      </w:r>
      <w:r>
        <w:rPr>
          <w:rFonts w:ascii="Courier New" w:cs="Courier New" w:eastAsia="Courier New" w:hAnsi="Courier New"/>
          <w:sz w:val="15"/>
          <w:szCs w:val="15"/>
          <w:color w:val="auto"/>
        </w:rPr>
        <w:t>Required/Permitted</w:t>
      </w:r>
    </w:p>
    <w:p>
      <w:pPr>
        <w:spacing w:after="0" w:line="24" w:lineRule="exact"/>
        <w:rPr>
          <w:sz w:val="20"/>
          <w:szCs w:val="20"/>
          <w:color w:val="auto"/>
        </w:rPr>
      </w:pPr>
    </w:p>
    <w:p>
      <w:pPr>
        <w:ind w:left="6130"/>
        <w:spacing w:after="0"/>
        <w:tabs>
          <w:tab w:leader="none" w:pos="741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20" w:lineRule="exact"/>
        <w:rPr>
          <w:sz w:val="20"/>
          <w:szCs w:val="20"/>
          <w:color w:val="auto"/>
        </w:rPr>
      </w:pPr>
    </w:p>
    <w:p>
      <w:pPr>
        <w:ind w:left="270" w:hanging="270"/>
        <w:spacing w:after="0"/>
        <w:tabs>
          <w:tab w:leader="none" w:pos="27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7.12:  Adjusted Quick Ratio.</w:t>
      </w:r>
    </w:p>
    <w:p>
      <w:pPr>
        <w:spacing w:after="0" w:line="24" w:lineRule="exact"/>
        <w:rPr>
          <w:rFonts w:ascii="Courier New" w:cs="Courier New" w:eastAsia="Courier New" w:hAnsi="Courier New"/>
          <w:sz w:val="15"/>
          <w:szCs w:val="15"/>
          <w:color w:val="auto"/>
        </w:rPr>
      </w:pPr>
    </w:p>
    <w:p>
      <w:pPr>
        <w:ind w:left="2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270"/>
        <w:spacing w:after="0"/>
        <w:rPr>
          <w:sz w:val="20"/>
          <w:szCs w:val="20"/>
          <w:color w:val="auto"/>
        </w:rPr>
      </w:pPr>
      <w:r>
        <w:rPr>
          <w:rFonts w:ascii="Courier New" w:cs="Courier New" w:eastAsia="Courier New" w:hAnsi="Courier New"/>
          <w:sz w:val="15"/>
          <w:szCs w:val="15"/>
          <w:color w:val="auto"/>
        </w:rPr>
        <w:t>The ratio of:</w:t>
      </w:r>
    </w:p>
    <w:p>
      <w:pPr>
        <w:spacing w:after="0" w:line="24" w:lineRule="exact"/>
        <w:rPr>
          <w:sz w:val="20"/>
          <w:szCs w:val="20"/>
          <w:color w:val="auto"/>
        </w:rPr>
      </w:pPr>
    </w:p>
    <w:p>
      <w:pPr>
        <w:ind w:left="610" w:hanging="348"/>
        <w:spacing w:after="0"/>
        <w:tabs>
          <w:tab w:leader="none" w:pos="61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w:t>
      </w:r>
    </w:p>
    <w:p>
      <w:pPr>
        <w:sectPr>
          <w:pgSz w:w="11900" w:h="16838" w:orient="portrait"/>
          <w:cols w:equalWidth="0" w:num="1">
            <w:col w:w="10750"/>
          </w:cols>
          <w:pgMar w:left="230" w:top="597" w:right="919" w:bottom="1440" w:gutter="0" w:footer="0" w:header="0"/>
        </w:sectPr>
      </w:pPr>
    </w:p>
    <w:p>
      <w:pPr>
        <w:spacing w:after="0" w:line="50" w:lineRule="exact"/>
        <w:rPr>
          <w:sz w:val="20"/>
          <w:szCs w:val="20"/>
          <w:color w:val="auto"/>
        </w:rPr>
      </w:pPr>
    </w:p>
    <w:p>
      <w:pPr>
        <w:ind w:left="610"/>
        <w:spacing w:after="0"/>
        <w:tabs>
          <w:tab w:leader="none" w:pos="1110" w:val="left"/>
        </w:tabs>
        <w:rPr>
          <w:sz w:val="20"/>
          <w:szCs w:val="20"/>
          <w:color w:val="auto"/>
        </w:rPr>
      </w:pPr>
      <w:r>
        <w:rPr>
          <w:rFonts w:ascii="Courier New" w:cs="Courier New" w:eastAsia="Courier New" w:hAnsi="Courier New"/>
          <w:sz w:val="14"/>
          <w:szCs w:val="14"/>
          <w:color w:val="auto"/>
        </w:rPr>
        <w:t>(i)</w:t>
      </w:r>
      <w:r>
        <w:rPr>
          <w:sz w:val="20"/>
          <w:szCs w:val="20"/>
          <w:color w:val="auto"/>
        </w:rPr>
        <w:tab/>
      </w:r>
      <w:r>
        <w:rPr>
          <w:rFonts w:ascii="Courier New" w:cs="Courier New" w:eastAsia="Courier New" w:hAnsi="Courier New"/>
          <w:sz w:val="14"/>
          <w:szCs w:val="14"/>
          <w:color w:val="auto"/>
        </w:rPr>
        <w:t>cash, cash equivalents and liquid investments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w:t>
      </w:r>
    </w:p>
    <w:p>
      <w:pPr>
        <w:spacing w:after="0" w:line="101" w:lineRule="exact"/>
        <w:rPr>
          <w:sz w:val="20"/>
          <w:szCs w:val="20"/>
          <w:color w:val="auto"/>
        </w:rPr>
      </w:pPr>
    </w:p>
    <w:p>
      <w:pPr>
        <w:sectPr>
          <w:pgSz w:w="11900" w:h="16838" w:orient="portrait"/>
          <w:cols w:equalWidth="0" w:num="2">
            <w:col w:w="5410" w:space="720"/>
            <w:col w:w="4620"/>
          </w:cols>
          <w:pgMar w:left="230" w:top="597" w:right="919" w:bottom="1440" w:gutter="0" w:footer="0" w:header="0"/>
          <w:type w:val="continuous"/>
        </w:sectPr>
      </w:pPr>
    </w:p>
    <w:p>
      <w:pPr>
        <w:jc w:val="center"/>
        <w:ind w:right="5330"/>
        <w:spacing w:after="0"/>
        <w:rPr>
          <w:sz w:val="20"/>
          <w:szCs w:val="20"/>
          <w:color w:val="auto"/>
        </w:rPr>
      </w:pPr>
      <w:r>
        <w:rPr>
          <w:rFonts w:ascii="Courier New" w:cs="Courier New" w:eastAsia="Courier New" w:hAnsi="Courier New"/>
          <w:sz w:val="15"/>
          <w:szCs w:val="15"/>
          <w:color w:val="auto"/>
        </w:rPr>
        <w:t>plus</w:t>
      </w:r>
    </w:p>
    <w:p>
      <w:pPr>
        <w:spacing w:after="0" w:line="24" w:lineRule="exact"/>
        <w:rPr>
          <w:sz w:val="20"/>
          <w:szCs w:val="20"/>
          <w:color w:val="auto"/>
        </w:rPr>
      </w:pPr>
    </w:p>
    <w:p>
      <w:pPr>
        <w:jc w:val="center"/>
        <w:ind w:right="533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750"/>
          </w:cols>
          <w:pgMar w:left="230" w:top="597" w:right="919" w:bottom="1440" w:gutter="0" w:footer="0" w:header="0"/>
          <w:type w:val="continuous"/>
        </w:sectPr>
      </w:pPr>
    </w:p>
    <w:p>
      <w:pPr>
        <w:spacing w:after="0" w:line="152" w:lineRule="exact"/>
        <w:rPr>
          <w:sz w:val="20"/>
          <w:szCs w:val="20"/>
          <w:color w:val="auto"/>
        </w:rPr>
      </w:pPr>
    </w:p>
    <w:p>
      <w:pPr>
        <w:ind w:left="610"/>
        <w:spacing w:after="0"/>
        <w:tabs>
          <w:tab w:leader="none" w:pos="1110" w:val="left"/>
        </w:tabs>
        <w:rPr>
          <w:sz w:val="20"/>
          <w:szCs w:val="20"/>
          <w:color w:val="auto"/>
        </w:rPr>
      </w:pPr>
      <w:r>
        <w:rPr>
          <w:rFonts w:ascii="Courier New" w:cs="Courier New" w:eastAsia="Courier New" w:hAnsi="Courier New"/>
          <w:sz w:val="14"/>
          <w:szCs w:val="14"/>
          <w:color w:val="auto"/>
        </w:rPr>
        <w:t>(ii)</w:t>
        <w:tab/>
        <w:t>net trade accounts receivable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w:t>
      </w:r>
    </w:p>
    <w:p>
      <w:pPr>
        <w:spacing w:after="0" w:line="178" w:lineRule="exact"/>
        <w:rPr>
          <w:sz w:val="20"/>
          <w:szCs w:val="20"/>
          <w:color w:val="auto"/>
        </w:rPr>
      </w:pPr>
    </w:p>
    <w:p>
      <w:pPr>
        <w:sectPr>
          <w:pgSz w:w="11900" w:h="16838" w:orient="portrait"/>
          <w:cols w:equalWidth="0" w:num="2">
            <w:col w:w="5410" w:space="720"/>
            <w:col w:w="4620"/>
          </w:cols>
          <w:pgMar w:left="230" w:top="597" w:right="919" w:bottom="1440" w:gutter="0" w:footer="0" w:header="0"/>
          <w:type w:val="continuous"/>
        </w:sectPr>
      </w:pPr>
    </w:p>
    <w:p>
      <w:pPr>
        <w:ind w:left="1830"/>
        <w:spacing w:after="0"/>
        <w:rPr>
          <w:sz w:val="20"/>
          <w:szCs w:val="20"/>
          <w:color w:val="auto"/>
        </w:rPr>
      </w:pPr>
      <w:r>
        <w:rPr>
          <w:rFonts w:ascii="Courier New" w:cs="Courier New" w:eastAsia="Courier New" w:hAnsi="Courier New"/>
          <w:sz w:val="14"/>
          <w:szCs w:val="14"/>
          <w:color w:val="auto"/>
        </w:rPr>
        <w:t>(i) + (ii)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w:t>
      </w:r>
    </w:p>
    <w:p>
      <w:pPr>
        <w:spacing w:after="0" w:line="178" w:lineRule="exact"/>
        <w:rPr>
          <w:sz w:val="20"/>
          <w:szCs w:val="20"/>
          <w:color w:val="auto"/>
        </w:rPr>
      </w:pPr>
    </w:p>
    <w:p>
      <w:pPr>
        <w:sectPr>
          <w:pgSz w:w="11900" w:h="16838" w:orient="portrait"/>
          <w:cols w:equalWidth="0" w:num="3">
            <w:col w:w="4790" w:space="720"/>
            <w:col w:w="80" w:space="540"/>
            <w:col w:w="4620"/>
          </w:cols>
          <w:pgMar w:left="230" w:top="597" w:right="919" w:bottom="1440" w:gutter="0" w:footer="0" w:header="0"/>
          <w:type w:val="continuous"/>
        </w:sectPr>
      </w:pPr>
    </w:p>
    <w:p>
      <w:pPr>
        <w:ind w:left="270"/>
        <w:spacing w:after="0"/>
        <w:tabs>
          <w:tab w:leader="none" w:pos="590" w:val="left"/>
        </w:tabs>
        <w:rPr>
          <w:sz w:val="20"/>
          <w:szCs w:val="20"/>
          <w:color w:val="auto"/>
        </w:rPr>
      </w:pPr>
      <w:r>
        <w:rPr>
          <w:rFonts w:ascii="Courier New" w:cs="Courier New" w:eastAsia="Courier New" w:hAnsi="Courier New"/>
          <w:sz w:val="14"/>
          <w:szCs w:val="14"/>
          <w:color w:val="auto"/>
        </w:rPr>
        <w:t>B.</w:t>
        <w:tab/>
        <w:t>the sum (without duplication) of:</w:t>
      </w:r>
    </w:p>
    <w:p>
      <w:pPr>
        <w:sectPr>
          <w:pgSz w:w="11900" w:h="16838" w:orient="portrait"/>
          <w:cols w:equalWidth="0" w:num="1">
            <w:col w:w="10750"/>
          </w:cols>
          <w:pgMar w:left="230" w:top="597" w:right="919" w:bottom="1440" w:gutter="0" w:footer="0" w:header="0"/>
          <w:type w:val="continuous"/>
        </w:sectPr>
      </w:pPr>
    </w:p>
    <w:p>
      <w:pPr>
        <w:spacing w:after="0" w:line="178" w:lineRule="exact"/>
        <w:rPr>
          <w:sz w:val="20"/>
          <w:szCs w:val="20"/>
          <w:color w:val="auto"/>
        </w:rPr>
      </w:pPr>
    </w:p>
    <w:p>
      <w:pPr>
        <w:ind w:left="610"/>
        <w:spacing w:after="0"/>
        <w:tabs>
          <w:tab w:leader="none" w:pos="1030" w:val="left"/>
        </w:tabs>
        <w:rPr>
          <w:sz w:val="20"/>
          <w:szCs w:val="20"/>
          <w:color w:val="auto"/>
        </w:rPr>
      </w:pPr>
      <w:r>
        <w:rPr>
          <w:rFonts w:ascii="Courier New" w:cs="Courier New" w:eastAsia="Courier New" w:hAnsi="Courier New"/>
          <w:sz w:val="15"/>
          <w:szCs w:val="15"/>
          <w:color w:val="auto"/>
        </w:rPr>
        <w:t>(i)</w:t>
      </w:r>
      <w:r>
        <w:rPr>
          <w:sz w:val="20"/>
          <w:szCs w:val="20"/>
          <w:color w:val="auto"/>
        </w:rPr>
        <w:tab/>
      </w:r>
      <w:r>
        <w:rPr>
          <w:rFonts w:ascii="Courier New" w:cs="Courier New" w:eastAsia="Courier New" w:hAnsi="Courier New"/>
          <w:sz w:val="14"/>
          <w:szCs w:val="14"/>
          <w:color w:val="auto"/>
        </w:rPr>
        <w:t>current liabilities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w:t>
      </w:r>
    </w:p>
    <w:p>
      <w:pPr>
        <w:spacing w:after="0" w:line="177" w:lineRule="exact"/>
        <w:rPr>
          <w:sz w:val="20"/>
          <w:szCs w:val="20"/>
          <w:color w:val="auto"/>
        </w:rPr>
      </w:pPr>
    </w:p>
    <w:p>
      <w:pPr>
        <w:sectPr>
          <w:pgSz w:w="11900" w:h="16838" w:orient="portrait"/>
          <w:cols w:equalWidth="0" w:num="2">
            <w:col w:w="5410" w:space="720"/>
            <w:col w:w="4620"/>
          </w:cols>
          <w:pgMar w:left="230" w:top="597" w:right="919" w:bottom="1440" w:gutter="0" w:footer="0" w:header="0"/>
          <w:type w:val="continuous"/>
        </w:sectPr>
      </w:pPr>
    </w:p>
    <w:p>
      <w:pPr>
        <w:jc w:val="center"/>
        <w:ind w:right="5330"/>
        <w:spacing w:after="0"/>
        <w:rPr>
          <w:sz w:val="20"/>
          <w:szCs w:val="20"/>
          <w:color w:val="auto"/>
        </w:rPr>
      </w:pPr>
      <w:r>
        <w:rPr>
          <w:rFonts w:ascii="Courier New" w:cs="Courier New" w:eastAsia="Courier New" w:hAnsi="Courier New"/>
          <w:sz w:val="15"/>
          <w:szCs w:val="15"/>
          <w:color w:val="auto"/>
        </w:rPr>
        <w:t>plus</w:t>
      </w:r>
    </w:p>
    <w:p>
      <w:pPr>
        <w:spacing w:after="0" w:line="24" w:lineRule="exact"/>
        <w:rPr>
          <w:sz w:val="20"/>
          <w:szCs w:val="20"/>
          <w:color w:val="auto"/>
        </w:rPr>
      </w:pPr>
    </w:p>
    <w:p>
      <w:pPr>
        <w:jc w:val="center"/>
        <w:ind w:right="533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750"/>
          </w:cols>
          <w:pgMar w:left="230" w:top="597" w:right="919" w:bottom="1440" w:gutter="0" w:footer="0" w:header="0"/>
          <w:type w:val="continuous"/>
        </w:sectPr>
      </w:pPr>
    </w:p>
    <w:p>
      <w:pPr>
        <w:spacing w:after="0" w:line="152" w:lineRule="exact"/>
        <w:rPr>
          <w:sz w:val="20"/>
          <w:szCs w:val="20"/>
          <w:color w:val="auto"/>
        </w:rPr>
      </w:pPr>
    </w:p>
    <w:p>
      <w:pPr>
        <w:ind w:left="1130" w:hanging="518"/>
        <w:spacing w:after="0"/>
        <w:tabs>
          <w:tab w:leader="none" w:pos="113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liabilities related to</w:t>
      </w:r>
    </w:p>
    <w:p>
      <w:pPr>
        <w:spacing w:after="0" w:line="24" w:lineRule="exact"/>
        <w:rPr>
          <w:sz w:val="20"/>
          <w:szCs w:val="20"/>
          <w:color w:val="auto"/>
        </w:rPr>
      </w:pPr>
    </w:p>
    <w:tbl>
      <w:tblPr>
        <w:tblLayout w:type="fixed"/>
        <w:tblInd w:w="610" w:type="dxa"/>
        <w:tblCellMar>
          <w:top w:w="0" w:type="dxa"/>
          <w:left w:w="0" w:type="dxa"/>
          <w:bottom w:w="0" w:type="dxa"/>
          <w:right w:w="0" w:type="dxa"/>
        </w:tblCellMar>
      </w:tblPr>
      <w:tr>
        <w:trPr>
          <w:trHeight w:val="245"/>
        </w:trPr>
        <w:tc>
          <w:tcPr>
            <w:tcW w:w="40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customer deposits and loans</w:t>
            </w:r>
          </w:p>
        </w:tc>
        <w:tc>
          <w:tcPr>
            <w:tcW w:w="1320" w:type="dxa"/>
            <w:vAlign w:val="bottom"/>
          </w:tcPr>
          <w:p>
            <w:pPr>
              <w:spacing w:after="0"/>
              <w:rPr>
                <w:sz w:val="21"/>
                <w:szCs w:val="21"/>
                <w:color w:val="auto"/>
              </w:rPr>
            </w:pP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__________</w:t>
            </w:r>
          </w:p>
        </w:tc>
        <w:tc>
          <w:tcPr>
            <w:tcW w:w="1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1"/>
        </w:trPr>
        <w:tc>
          <w:tcPr>
            <w:tcW w:w="4020" w:type="dxa"/>
            <w:vAlign w:val="bottom"/>
          </w:tcPr>
          <w:p>
            <w:pPr>
              <w:jc w:val="right"/>
              <w:ind w:right="1667"/>
              <w:spacing w:after="0"/>
              <w:rPr>
                <w:sz w:val="20"/>
                <w:szCs w:val="20"/>
                <w:color w:val="auto"/>
              </w:rPr>
            </w:pPr>
            <w:r>
              <w:rPr>
                <w:rFonts w:ascii="Courier New" w:cs="Courier New" w:eastAsia="Courier New" w:hAnsi="Courier New"/>
                <w:sz w:val="15"/>
                <w:szCs w:val="15"/>
                <w:color w:val="auto"/>
              </w:rPr>
              <w:t>plus</w:t>
            </w:r>
          </w:p>
        </w:tc>
        <w:tc>
          <w:tcPr>
            <w:tcW w:w="1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020" w:type="dxa"/>
            <w:vAlign w:val="bottom"/>
          </w:tcPr>
          <w:p>
            <w:pPr>
              <w:ind w:left="18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4020" w:type="dxa"/>
            <w:vAlign w:val="bottom"/>
          </w:tcPr>
          <w:p>
            <w:pPr>
              <w:jc w:val="right"/>
              <w:ind w:right="1487"/>
              <w:spacing w:after="0"/>
              <w:rPr>
                <w:sz w:val="20"/>
                <w:szCs w:val="20"/>
                <w:color w:val="auto"/>
              </w:rPr>
            </w:pPr>
            <w:r>
              <w:rPr>
                <w:rFonts w:ascii="Courier New" w:cs="Courier New" w:eastAsia="Courier New" w:hAnsi="Courier New"/>
                <w:sz w:val="15"/>
                <w:szCs w:val="15"/>
                <w:color w:val="auto"/>
                <w:w w:val="96"/>
              </w:rPr>
              <w:t>(iii)  any Loans outstanding</w:t>
            </w:r>
          </w:p>
        </w:tc>
        <w:tc>
          <w:tcPr>
            <w:tcW w:w="1320" w:type="dxa"/>
            <w:vAlign w:val="bottom"/>
          </w:tcPr>
          <w:p>
            <w:pPr>
              <w:spacing w:after="0"/>
              <w:rPr>
                <w:sz w:val="24"/>
                <w:szCs w:val="24"/>
                <w:color w:val="auto"/>
              </w:rPr>
            </w:pP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__________</w:t>
            </w:r>
          </w:p>
        </w:tc>
        <w:tc>
          <w:tcPr>
            <w:tcW w:w="1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4020" w:type="dxa"/>
            <w:vAlign w:val="bottom"/>
          </w:tcPr>
          <w:p>
            <w:pPr>
              <w:jc w:val="right"/>
              <w:ind w:right="1847"/>
              <w:spacing w:after="0"/>
              <w:rPr>
                <w:sz w:val="20"/>
                <w:szCs w:val="20"/>
                <w:color w:val="auto"/>
              </w:rPr>
            </w:pPr>
            <w:r>
              <w:rPr>
                <w:rFonts w:ascii="Courier New" w:cs="Courier New" w:eastAsia="Courier New" w:hAnsi="Courier New"/>
                <w:sz w:val="15"/>
                <w:szCs w:val="15"/>
                <w:color w:val="auto"/>
              </w:rPr>
              <w:t>(i) + (ii) + (iii)</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__________</w:t>
            </w:r>
          </w:p>
        </w:tc>
        <w:tc>
          <w:tcPr>
            <w:tcW w:w="1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020" w:type="dxa"/>
            <w:vAlign w:val="bottom"/>
          </w:tcPr>
          <w:p>
            <w:pPr>
              <w:jc w:val="right"/>
              <w:ind w:right="1847"/>
              <w:spacing w:after="0"/>
              <w:rPr>
                <w:sz w:val="20"/>
                <w:szCs w:val="20"/>
                <w:color w:val="auto"/>
              </w:rPr>
            </w:pPr>
            <w:r>
              <w:rPr>
                <w:rFonts w:ascii="Courier New" w:cs="Courier New" w:eastAsia="Courier New" w:hAnsi="Courier New"/>
                <w:sz w:val="15"/>
                <w:szCs w:val="15"/>
                <w:color w:val="auto"/>
              </w:rPr>
              <w:t>A</w:t>
            </w: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60" w:type="dxa"/>
            <w:vAlign w:val="bottom"/>
            <w:gridSpan w:val="2"/>
            <w:vMerge w:val="restart"/>
          </w:tcPr>
          <w:p>
            <w:pPr>
              <w:ind w:left="1480"/>
              <w:spacing w:after="0"/>
              <w:rPr>
                <w:sz w:val="20"/>
                <w:szCs w:val="20"/>
                <w:color w:val="auto"/>
              </w:rPr>
            </w:pPr>
            <w:r>
              <w:rPr>
                <w:rFonts w:ascii="Courier New" w:cs="Courier New" w:eastAsia="Courier New" w:hAnsi="Courier New"/>
                <w:sz w:val="15"/>
                <w:szCs w:val="15"/>
                <w:color w:val="auto"/>
              </w:rPr>
              <w:t>Not less than:</w:t>
            </w: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02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vMerge w:val="continue"/>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020" w:type="dxa"/>
            <w:vAlign w:val="bottom"/>
          </w:tcPr>
          <w:p>
            <w:pPr>
              <w:jc w:val="right"/>
              <w:ind w:right="1847"/>
              <w:spacing w:after="0"/>
              <w:rPr>
                <w:sz w:val="20"/>
                <w:szCs w:val="20"/>
                <w:color w:val="auto"/>
              </w:rPr>
            </w:pPr>
            <w:r>
              <w:rPr>
                <w:rFonts w:ascii="Courier New" w:cs="Courier New" w:eastAsia="Courier New" w:hAnsi="Courier New"/>
                <w:sz w:val="15"/>
                <w:szCs w:val="15"/>
                <w:color w:val="auto"/>
              </w:rPr>
              <w:t>B</w:t>
            </w:r>
          </w:p>
        </w:tc>
        <w:tc>
          <w:tcPr>
            <w:tcW w:w="1320" w:type="dxa"/>
            <w:vAlign w:val="bottom"/>
          </w:tcPr>
          <w:p>
            <w:pPr>
              <w:spacing w:after="0"/>
              <w:rPr>
                <w:sz w:val="21"/>
                <w:szCs w:val="21"/>
                <w:color w:val="auto"/>
              </w:rPr>
            </w:pP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21"/>
                <w:szCs w:val="21"/>
                <w:color w:val="auto"/>
              </w:rPr>
            </w:pPr>
          </w:p>
        </w:tc>
        <w:tc>
          <w:tcPr>
            <w:tcW w:w="17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w w:val="95"/>
              </w:rPr>
              <w:t>As of the Last Day</w:t>
            </w:r>
          </w:p>
        </w:tc>
        <w:tc>
          <w:tcPr>
            <w:tcW w:w="0" w:type="dxa"/>
            <w:vAlign w:val="bottom"/>
          </w:tcPr>
          <w:p>
            <w:pPr>
              <w:spacing w:after="0"/>
              <w:rPr>
                <w:sz w:val="1"/>
                <w:szCs w:val="1"/>
                <w:color w:val="auto"/>
              </w:rPr>
            </w:pPr>
          </w:p>
        </w:tc>
      </w:tr>
      <w:tr>
        <w:trPr>
          <w:trHeight w:val="91"/>
        </w:trPr>
        <w:tc>
          <w:tcPr>
            <w:tcW w:w="40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3060" w:type="dxa"/>
            <w:vAlign w:val="bottom"/>
            <w:gridSpan w:val="2"/>
            <w:vMerge w:val="restart"/>
          </w:tcPr>
          <w:p>
            <w:pPr>
              <w:ind w:left="1480"/>
              <w:spacing w:after="0"/>
              <w:rPr>
                <w:sz w:val="20"/>
                <w:szCs w:val="20"/>
                <w:color w:val="auto"/>
              </w:rPr>
            </w:pPr>
            <w:r>
              <w:rPr>
                <w:rFonts w:ascii="Courier New" w:cs="Courier New" w:eastAsia="Courier New" w:hAnsi="Courier New"/>
                <w:sz w:val="15"/>
                <w:szCs w:val="15"/>
                <w:color w:val="auto"/>
              </w:rPr>
              <w:t>Minimum Adjusted</w:t>
            </w:r>
          </w:p>
        </w:tc>
        <w:tc>
          <w:tcPr>
            <w:tcW w:w="1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of the Fiscal</w:t>
            </w:r>
          </w:p>
        </w:tc>
        <w:tc>
          <w:tcPr>
            <w:tcW w:w="0" w:type="dxa"/>
            <w:vAlign w:val="bottom"/>
          </w:tcPr>
          <w:p>
            <w:pPr>
              <w:spacing w:after="0"/>
              <w:rPr>
                <w:sz w:val="1"/>
                <w:szCs w:val="1"/>
                <w:color w:val="auto"/>
              </w:rPr>
            </w:pPr>
          </w:p>
        </w:tc>
      </w:tr>
      <w:tr>
        <w:trPr>
          <w:trHeight w:val="168"/>
        </w:trPr>
        <w:tc>
          <w:tcPr>
            <w:tcW w:w="4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60" w:type="dxa"/>
            <w:vAlign w:val="bottom"/>
            <w:gridSpan w:val="2"/>
          </w:tcPr>
          <w:p>
            <w:pPr>
              <w:jc w:val="center"/>
              <w:ind w:left="1307"/>
              <w:spacing w:after="0" w:line="168" w:lineRule="exact"/>
              <w:rPr>
                <w:sz w:val="20"/>
                <w:szCs w:val="20"/>
                <w:color w:val="auto"/>
              </w:rPr>
            </w:pPr>
            <w:r>
              <w:rPr>
                <w:rFonts w:ascii="Courier New" w:cs="Courier New" w:eastAsia="Courier New" w:hAnsi="Courier New"/>
                <w:sz w:val="15"/>
                <w:szCs w:val="15"/>
                <w:color w:val="auto"/>
                <w:w w:val="96"/>
              </w:rPr>
              <w:t>Quick Ratio</w:t>
            </w:r>
          </w:p>
        </w:tc>
        <w:tc>
          <w:tcPr>
            <w:tcW w:w="1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Quarter Ending</w:t>
            </w:r>
          </w:p>
        </w:tc>
        <w:tc>
          <w:tcPr>
            <w:tcW w:w="0" w:type="dxa"/>
            <w:vAlign w:val="bottom"/>
          </w:tcPr>
          <w:p>
            <w:pPr>
              <w:spacing w:after="0"/>
              <w:rPr>
                <w:sz w:val="1"/>
                <w:szCs w:val="1"/>
                <w:color w:val="auto"/>
              </w:rPr>
            </w:pPr>
          </w:p>
        </w:tc>
      </w:tr>
      <w:tr>
        <w:trPr>
          <w:trHeight w:val="245"/>
        </w:trPr>
        <w:tc>
          <w:tcPr>
            <w:tcW w:w="40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060" w:type="dxa"/>
            <w:vAlign w:val="bottom"/>
            <w:gridSpan w:val="2"/>
          </w:tcPr>
          <w:p>
            <w:pPr>
              <w:ind w:left="1480"/>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59"/>
        </w:trPr>
        <w:tc>
          <w:tcPr>
            <w:tcW w:w="40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880" w:type="dxa"/>
            <w:vAlign w:val="bottom"/>
          </w:tcPr>
          <w:p>
            <w:pPr>
              <w:ind w:left="1480"/>
              <w:spacing w:after="0"/>
              <w:rPr>
                <w:sz w:val="20"/>
                <w:szCs w:val="20"/>
                <w:color w:val="auto"/>
              </w:rPr>
            </w:pPr>
            <w:r>
              <w:rPr>
                <w:rFonts w:ascii="Courier New" w:cs="Courier New" w:eastAsia="Courier New" w:hAnsi="Courier New"/>
                <w:sz w:val="15"/>
                <w:szCs w:val="15"/>
                <w:color w:val="auto"/>
              </w:rPr>
              <w:t>0.45</w:t>
            </w:r>
          </w:p>
        </w:tc>
        <w:tc>
          <w:tcPr>
            <w:tcW w:w="118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8"/>
              </w:rPr>
              <w:t>to 1.00</w:t>
            </w: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August 29, 1996</w:t>
            </w:r>
          </w:p>
        </w:tc>
        <w:tc>
          <w:tcPr>
            <w:tcW w:w="0" w:type="dxa"/>
            <w:vAlign w:val="bottom"/>
          </w:tcPr>
          <w:p>
            <w:pPr>
              <w:spacing w:after="0"/>
              <w:rPr>
                <w:sz w:val="1"/>
                <w:szCs w:val="1"/>
                <w:color w:val="auto"/>
              </w:rPr>
            </w:pPr>
          </w:p>
        </w:tc>
      </w:tr>
      <w:tr>
        <w:trPr>
          <w:trHeight w:val="168"/>
        </w:trPr>
        <w:tc>
          <w:tcPr>
            <w:tcW w:w="4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80" w:type="dxa"/>
            <w:vAlign w:val="bottom"/>
          </w:tcPr>
          <w:p>
            <w:pPr>
              <w:ind w:left="1480"/>
              <w:spacing w:after="0" w:line="168" w:lineRule="exact"/>
              <w:rPr>
                <w:sz w:val="20"/>
                <w:szCs w:val="20"/>
                <w:color w:val="auto"/>
              </w:rPr>
            </w:pPr>
            <w:r>
              <w:rPr>
                <w:rFonts w:ascii="Courier New" w:cs="Courier New" w:eastAsia="Courier New" w:hAnsi="Courier New"/>
                <w:sz w:val="15"/>
                <w:szCs w:val="15"/>
                <w:color w:val="auto"/>
              </w:rPr>
              <w:t>0.40</w:t>
            </w:r>
          </w:p>
        </w:tc>
        <w:tc>
          <w:tcPr>
            <w:tcW w:w="118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8"/>
              </w:rPr>
              <w:t>to 1.00</w:t>
            </w:r>
          </w:p>
        </w:tc>
        <w:tc>
          <w:tcPr>
            <w:tcW w:w="1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November 28, 1996</w:t>
            </w:r>
          </w:p>
        </w:tc>
        <w:tc>
          <w:tcPr>
            <w:tcW w:w="0" w:type="dxa"/>
            <w:vAlign w:val="bottom"/>
          </w:tcPr>
          <w:p>
            <w:pPr>
              <w:spacing w:after="0"/>
              <w:rPr>
                <w:sz w:val="1"/>
                <w:szCs w:val="1"/>
                <w:color w:val="auto"/>
              </w:rPr>
            </w:pPr>
          </w:p>
        </w:tc>
      </w:tr>
      <w:tr>
        <w:trPr>
          <w:trHeight w:val="168"/>
        </w:trPr>
        <w:tc>
          <w:tcPr>
            <w:tcW w:w="4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80" w:type="dxa"/>
            <w:vAlign w:val="bottom"/>
          </w:tcPr>
          <w:p>
            <w:pPr>
              <w:ind w:left="1480"/>
              <w:spacing w:after="0" w:line="168" w:lineRule="exact"/>
              <w:rPr>
                <w:sz w:val="20"/>
                <w:szCs w:val="20"/>
                <w:color w:val="auto"/>
              </w:rPr>
            </w:pPr>
            <w:r>
              <w:rPr>
                <w:rFonts w:ascii="Courier New" w:cs="Courier New" w:eastAsia="Courier New" w:hAnsi="Courier New"/>
                <w:sz w:val="15"/>
                <w:szCs w:val="15"/>
                <w:color w:val="auto"/>
              </w:rPr>
              <w:t>0.40</w:t>
            </w:r>
          </w:p>
        </w:tc>
        <w:tc>
          <w:tcPr>
            <w:tcW w:w="118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8"/>
              </w:rPr>
              <w:t>to 1.00</w:t>
            </w:r>
          </w:p>
        </w:tc>
        <w:tc>
          <w:tcPr>
            <w:tcW w:w="1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February 27, 1997</w:t>
            </w:r>
          </w:p>
        </w:tc>
        <w:tc>
          <w:tcPr>
            <w:tcW w:w="0" w:type="dxa"/>
            <w:vAlign w:val="bottom"/>
          </w:tcPr>
          <w:p>
            <w:pPr>
              <w:spacing w:after="0"/>
              <w:rPr>
                <w:sz w:val="1"/>
                <w:szCs w:val="1"/>
                <w:color w:val="auto"/>
              </w:rPr>
            </w:pPr>
          </w:p>
        </w:tc>
      </w:tr>
      <w:tr>
        <w:trPr>
          <w:trHeight w:val="168"/>
        </w:trPr>
        <w:tc>
          <w:tcPr>
            <w:tcW w:w="4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80" w:type="dxa"/>
            <w:vAlign w:val="bottom"/>
          </w:tcPr>
          <w:p>
            <w:pPr>
              <w:ind w:left="1480"/>
              <w:spacing w:after="0" w:line="168" w:lineRule="exact"/>
              <w:rPr>
                <w:sz w:val="20"/>
                <w:szCs w:val="20"/>
                <w:color w:val="auto"/>
              </w:rPr>
            </w:pPr>
            <w:r>
              <w:rPr>
                <w:rFonts w:ascii="Courier New" w:cs="Courier New" w:eastAsia="Courier New" w:hAnsi="Courier New"/>
                <w:sz w:val="15"/>
                <w:szCs w:val="15"/>
                <w:color w:val="auto"/>
              </w:rPr>
              <w:t>0.40</w:t>
            </w:r>
          </w:p>
        </w:tc>
        <w:tc>
          <w:tcPr>
            <w:tcW w:w="118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8"/>
              </w:rPr>
              <w:t>to 1.00</w:t>
            </w:r>
          </w:p>
        </w:tc>
        <w:tc>
          <w:tcPr>
            <w:tcW w:w="1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May 29, 1997</w:t>
            </w:r>
          </w:p>
        </w:tc>
        <w:tc>
          <w:tcPr>
            <w:tcW w:w="0" w:type="dxa"/>
            <w:vAlign w:val="bottom"/>
          </w:tcPr>
          <w:p>
            <w:pPr>
              <w:spacing w:after="0"/>
              <w:rPr>
                <w:sz w:val="1"/>
                <w:szCs w:val="1"/>
                <w:color w:val="auto"/>
              </w:rPr>
            </w:pPr>
          </w:p>
        </w:tc>
      </w:tr>
      <w:tr>
        <w:trPr>
          <w:trHeight w:val="168"/>
        </w:trPr>
        <w:tc>
          <w:tcPr>
            <w:tcW w:w="4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80" w:type="dxa"/>
            <w:vAlign w:val="bottom"/>
          </w:tcPr>
          <w:p>
            <w:pPr>
              <w:ind w:left="1480"/>
              <w:spacing w:after="0" w:line="168" w:lineRule="exact"/>
              <w:rPr>
                <w:sz w:val="20"/>
                <w:szCs w:val="20"/>
                <w:color w:val="auto"/>
              </w:rPr>
            </w:pPr>
            <w:r>
              <w:rPr>
                <w:rFonts w:ascii="Courier New" w:cs="Courier New" w:eastAsia="Courier New" w:hAnsi="Courier New"/>
                <w:sz w:val="15"/>
                <w:szCs w:val="15"/>
                <w:color w:val="auto"/>
              </w:rPr>
              <w:t>0.50</w:t>
            </w:r>
          </w:p>
        </w:tc>
        <w:tc>
          <w:tcPr>
            <w:tcW w:w="118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8"/>
              </w:rPr>
              <w:t>to 1.00</w:t>
            </w:r>
          </w:p>
        </w:tc>
        <w:tc>
          <w:tcPr>
            <w:tcW w:w="1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August 28, 1997</w:t>
            </w:r>
          </w:p>
        </w:tc>
        <w:tc>
          <w:tcPr>
            <w:tcW w:w="0" w:type="dxa"/>
            <w:vAlign w:val="bottom"/>
          </w:tcPr>
          <w:p>
            <w:pPr>
              <w:spacing w:after="0"/>
              <w:rPr>
                <w:sz w:val="1"/>
                <w:szCs w:val="1"/>
                <w:color w:val="auto"/>
              </w:rPr>
            </w:pPr>
          </w:p>
        </w:tc>
      </w:tr>
      <w:tr>
        <w:trPr>
          <w:trHeight w:val="168"/>
        </w:trPr>
        <w:tc>
          <w:tcPr>
            <w:tcW w:w="4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80" w:type="dxa"/>
            <w:vAlign w:val="bottom"/>
          </w:tcPr>
          <w:p>
            <w:pPr>
              <w:ind w:left="1480"/>
              <w:spacing w:after="0" w:line="168" w:lineRule="exact"/>
              <w:rPr>
                <w:sz w:val="20"/>
                <w:szCs w:val="20"/>
                <w:color w:val="auto"/>
              </w:rPr>
            </w:pPr>
            <w:r>
              <w:rPr>
                <w:rFonts w:ascii="Courier New" w:cs="Courier New" w:eastAsia="Courier New" w:hAnsi="Courier New"/>
                <w:sz w:val="15"/>
                <w:szCs w:val="15"/>
                <w:color w:val="auto"/>
              </w:rPr>
              <w:t>0.50</w:t>
            </w:r>
          </w:p>
        </w:tc>
        <w:tc>
          <w:tcPr>
            <w:tcW w:w="118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8"/>
              </w:rPr>
              <w:t>to 1.00</w:t>
            </w:r>
          </w:p>
        </w:tc>
        <w:tc>
          <w:tcPr>
            <w:tcW w:w="1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November 27, 1997</w:t>
            </w:r>
          </w:p>
        </w:tc>
        <w:tc>
          <w:tcPr>
            <w:tcW w:w="0" w:type="dxa"/>
            <w:vAlign w:val="bottom"/>
          </w:tcPr>
          <w:p>
            <w:pPr>
              <w:spacing w:after="0"/>
              <w:rPr>
                <w:sz w:val="1"/>
                <w:szCs w:val="1"/>
                <w:color w:val="auto"/>
              </w:rPr>
            </w:pPr>
          </w:p>
        </w:tc>
      </w:tr>
      <w:tr>
        <w:trPr>
          <w:trHeight w:val="168"/>
        </w:trPr>
        <w:tc>
          <w:tcPr>
            <w:tcW w:w="4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80" w:type="dxa"/>
            <w:vAlign w:val="bottom"/>
          </w:tcPr>
          <w:p>
            <w:pPr>
              <w:ind w:left="1480"/>
              <w:spacing w:after="0" w:line="168" w:lineRule="exact"/>
              <w:rPr>
                <w:sz w:val="20"/>
                <w:szCs w:val="20"/>
                <w:color w:val="auto"/>
              </w:rPr>
            </w:pPr>
            <w:r>
              <w:rPr>
                <w:rFonts w:ascii="Courier New" w:cs="Courier New" w:eastAsia="Courier New" w:hAnsi="Courier New"/>
                <w:sz w:val="15"/>
                <w:szCs w:val="15"/>
                <w:color w:val="auto"/>
              </w:rPr>
              <w:t>0.50</w:t>
            </w:r>
          </w:p>
        </w:tc>
        <w:tc>
          <w:tcPr>
            <w:tcW w:w="118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8"/>
              </w:rPr>
              <w:t>to 1.00</w:t>
            </w:r>
          </w:p>
        </w:tc>
        <w:tc>
          <w:tcPr>
            <w:tcW w:w="1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February 26, 1998</w:t>
            </w:r>
          </w:p>
        </w:tc>
        <w:tc>
          <w:tcPr>
            <w:tcW w:w="0" w:type="dxa"/>
            <w:vAlign w:val="bottom"/>
          </w:tcPr>
          <w:p>
            <w:pPr>
              <w:spacing w:after="0"/>
              <w:rPr>
                <w:sz w:val="1"/>
                <w:szCs w:val="1"/>
                <w:color w:val="auto"/>
              </w:rPr>
            </w:pPr>
          </w:p>
        </w:tc>
      </w:tr>
      <w:tr>
        <w:trPr>
          <w:trHeight w:val="168"/>
        </w:trPr>
        <w:tc>
          <w:tcPr>
            <w:tcW w:w="4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80" w:type="dxa"/>
            <w:vAlign w:val="bottom"/>
          </w:tcPr>
          <w:p>
            <w:pPr>
              <w:ind w:left="1480"/>
              <w:spacing w:after="0" w:line="168" w:lineRule="exact"/>
              <w:rPr>
                <w:sz w:val="20"/>
                <w:szCs w:val="20"/>
                <w:color w:val="auto"/>
              </w:rPr>
            </w:pPr>
            <w:r>
              <w:rPr>
                <w:rFonts w:ascii="Courier New" w:cs="Courier New" w:eastAsia="Courier New" w:hAnsi="Courier New"/>
                <w:sz w:val="15"/>
                <w:szCs w:val="15"/>
                <w:color w:val="auto"/>
              </w:rPr>
              <w:t>0.70</w:t>
            </w:r>
          </w:p>
        </w:tc>
        <w:tc>
          <w:tcPr>
            <w:tcW w:w="118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8"/>
              </w:rPr>
              <w:t>to 1.00</w:t>
            </w:r>
          </w:p>
        </w:tc>
        <w:tc>
          <w:tcPr>
            <w:tcW w:w="1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May 28, 1998</w:t>
            </w:r>
          </w:p>
        </w:tc>
        <w:tc>
          <w:tcPr>
            <w:tcW w:w="0" w:type="dxa"/>
            <w:vAlign w:val="bottom"/>
          </w:tcPr>
          <w:p>
            <w:pPr>
              <w:spacing w:after="0"/>
              <w:rPr>
                <w:sz w:val="1"/>
                <w:szCs w:val="1"/>
                <w:color w:val="auto"/>
              </w:rPr>
            </w:pPr>
          </w:p>
        </w:tc>
      </w:tr>
      <w:tr>
        <w:trPr>
          <w:trHeight w:val="245"/>
        </w:trPr>
        <w:tc>
          <w:tcPr>
            <w:tcW w:w="40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and thereafter</w:t>
            </w:r>
          </w:p>
        </w:tc>
        <w:tc>
          <w:tcPr>
            <w:tcW w:w="0" w:type="dxa"/>
            <w:vAlign w:val="bottom"/>
          </w:tcPr>
          <w:p>
            <w:pPr>
              <w:spacing w:after="0"/>
              <w:rPr>
                <w:sz w:val="1"/>
                <w:szCs w:val="1"/>
                <w:color w:val="auto"/>
              </w:rPr>
            </w:pPr>
          </w:p>
        </w:tc>
      </w:tr>
      <w:tr>
        <w:trPr>
          <w:trHeight w:val="505"/>
        </w:trPr>
        <w:tc>
          <w:tcPr>
            <w:tcW w:w="402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D-3</w:t>
            </w:r>
          </w:p>
        </w:tc>
        <w:tc>
          <w:tcPr>
            <w:tcW w:w="1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50"/>
          </w:cols>
          <w:pgMar w:left="230" w:top="597" w:right="919" w:bottom="1440" w:gutter="0" w:footer="0" w:header="0"/>
          <w:type w:val="continuous"/>
        </w:sectPr>
      </w:pPr>
    </w:p>
    <w:bookmarkStart w:id="96" w:name="page97"/>
    <w:bookmarkEnd w:id="96"/>
    <w:p>
      <w:pPr>
        <w:ind w:left="6400"/>
        <w:spacing w:after="0"/>
        <w:tabs>
          <w:tab w:leader="none" w:pos="7940" w:val="left"/>
        </w:tabs>
        <w:rPr>
          <w:sz w:val="20"/>
          <w:szCs w:val="20"/>
          <w:color w:val="auto"/>
        </w:rPr>
      </w:pPr>
      <w:r>
        <w:rPr>
          <w:rFonts w:ascii="Courier New" w:cs="Courier New" w:eastAsia="Courier New" w:hAnsi="Courier New"/>
          <w:sz w:val="15"/>
          <w:szCs w:val="15"/>
          <w:color w:val="auto"/>
        </w:rPr>
        <w:t>Actual</w:t>
      </w:r>
      <w:r>
        <w:rPr>
          <w:sz w:val="20"/>
          <w:szCs w:val="20"/>
          <w:color w:val="auto"/>
        </w:rPr>
        <w:tab/>
      </w:r>
      <w:r>
        <w:rPr>
          <w:rFonts w:ascii="Courier New" w:cs="Courier New" w:eastAsia="Courier New" w:hAnsi="Courier New"/>
          <w:sz w:val="15"/>
          <w:szCs w:val="15"/>
          <w:color w:val="auto"/>
        </w:rPr>
        <w:t>Required/Permitted</w:t>
      </w:r>
    </w:p>
    <w:p>
      <w:pPr>
        <w:spacing w:after="0" w:line="24" w:lineRule="exact"/>
        <w:rPr>
          <w:sz w:val="20"/>
          <w:szCs w:val="20"/>
          <w:color w:val="auto"/>
        </w:rPr>
      </w:pPr>
    </w:p>
    <w:p>
      <w:pPr>
        <w:ind w:left="6140"/>
        <w:spacing w:after="0"/>
        <w:tabs>
          <w:tab w:leader="none" w:pos="7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40" w:lineRule="exact"/>
        <w:rPr>
          <w:sz w:val="20"/>
          <w:szCs w:val="20"/>
          <w:color w:val="auto"/>
        </w:rPr>
      </w:pPr>
    </w:p>
    <w:p>
      <w:pPr>
        <w:ind w:left="360" w:hanging="350"/>
        <w:spacing w:after="0"/>
        <w:tabs>
          <w:tab w:leader="none" w:pos="36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7.13:  Consolidated Tangible Net Worth.</w:t>
      </w:r>
    </w:p>
    <w:p>
      <w:pPr>
        <w:spacing w:after="0" w:line="24" w:lineRule="exact"/>
        <w:rPr>
          <w:rFonts w:ascii="Courier New" w:cs="Courier New" w:eastAsia="Courier New" w:hAnsi="Courier New"/>
          <w:sz w:val="15"/>
          <w:szCs w:val="15"/>
          <w:color w:val="auto"/>
        </w:rPr>
      </w:pP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60" w:right="8380"/>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Consolidated Tangible Net Worth: A. total stockholders' equity</w:t>
      </w:r>
    </w:p>
    <w:p>
      <w:pPr>
        <w:ind w:left="6140"/>
        <w:spacing w:after="0" w:line="238" w:lineRule="auto"/>
        <w:rPr>
          <w:sz w:val="20"/>
          <w:szCs w:val="20"/>
          <w:color w:val="auto"/>
        </w:rPr>
      </w:pPr>
      <w:r>
        <w:rPr>
          <w:rFonts w:ascii="Courier New" w:cs="Courier New" w:eastAsia="Courier New" w:hAnsi="Courier New"/>
          <w:sz w:val="15"/>
          <w:szCs w:val="15"/>
          <w:color w:val="auto"/>
        </w:rPr>
        <w:t>__________</w:t>
      </w:r>
    </w:p>
    <w:p>
      <w:pPr>
        <w:jc w:val="center"/>
        <w:ind w:right="6640"/>
        <w:spacing w:after="0" w:line="238" w:lineRule="auto"/>
        <w:rPr>
          <w:sz w:val="20"/>
          <w:szCs w:val="20"/>
          <w:color w:val="auto"/>
        </w:rPr>
      </w:pPr>
      <w:r>
        <w:rPr>
          <w:rFonts w:ascii="Courier New" w:cs="Courier New" w:eastAsia="Courier New" w:hAnsi="Courier New"/>
          <w:sz w:val="15"/>
          <w:szCs w:val="15"/>
          <w:color w:val="auto"/>
        </w:rPr>
        <w:t>less</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ind w:left="700" w:right="6020" w:hanging="340"/>
        <w:spacing w:after="0" w:line="254" w:lineRule="auto"/>
        <w:tabs>
          <w:tab w:leader="none" w:pos="70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net book value of all assets including deferred charges, leasehold conversion costs, franchise rights, non-compete agreements, research and development costs, capitalized costs associated with software development expenses, goodwill, unamortized debt discounts,</w:t>
      </w:r>
    </w:p>
    <w:tbl>
      <w:tblPr>
        <w:tblLayout w:type="fixed"/>
        <w:tblInd w:w="700" w:type="dxa"/>
        <w:tblCellMar>
          <w:top w:w="0" w:type="dxa"/>
          <w:left w:w="0" w:type="dxa"/>
          <w:bottom w:w="0" w:type="dxa"/>
          <w:right w:w="0" w:type="dxa"/>
        </w:tblCellMar>
      </w:tblPr>
      <w:tr>
        <w:trPr>
          <w:trHeight w:val="144"/>
        </w:trPr>
        <w:tc>
          <w:tcPr>
            <w:tcW w:w="4860" w:type="dxa"/>
            <w:vAlign w:val="bottom"/>
          </w:tcPr>
          <w:p>
            <w:pPr>
              <w:spacing w:after="0" w:line="144" w:lineRule="exact"/>
              <w:rPr>
                <w:sz w:val="20"/>
                <w:szCs w:val="20"/>
                <w:color w:val="auto"/>
              </w:rPr>
            </w:pPr>
            <w:r>
              <w:rPr>
                <w:rFonts w:ascii="Courier New" w:cs="Courier New" w:eastAsia="Courier New" w:hAnsi="Courier New"/>
                <w:sz w:val="15"/>
                <w:szCs w:val="15"/>
                <w:color w:val="auto"/>
                <w:w w:val="99"/>
              </w:rPr>
              <w:t>patents, patent applications, trademarks, trade names,</w:t>
            </w:r>
          </w:p>
        </w:tc>
        <w:tc>
          <w:tcPr>
            <w:tcW w:w="16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__________</w:t>
            </w:r>
          </w:p>
        </w:tc>
        <w:tc>
          <w:tcPr>
            <w:tcW w:w="18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and copyrights and licenses</w:t>
            </w:r>
          </w:p>
        </w:tc>
        <w:tc>
          <w:tcPr>
            <w:tcW w:w="1660" w:type="dxa"/>
            <w:vAlign w:val="bottom"/>
            <w:vMerge w:val="continue"/>
          </w:tcPr>
          <w:p>
            <w:pPr>
              <w:spacing w:after="0"/>
              <w:rPr>
                <w:sz w:val="14"/>
                <w:szCs w:val="14"/>
                <w:color w:val="auto"/>
              </w:rPr>
            </w:pPr>
          </w:p>
        </w:tc>
        <w:tc>
          <w:tcPr>
            <w:tcW w:w="18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60" w:type="dxa"/>
            <w:vAlign w:val="bottom"/>
          </w:tcPr>
          <w:p>
            <w:pPr>
              <w:ind w:left="1680"/>
              <w:spacing w:after="0" w:line="168" w:lineRule="exact"/>
              <w:rPr>
                <w:sz w:val="20"/>
                <w:szCs w:val="20"/>
                <w:color w:val="auto"/>
              </w:rPr>
            </w:pPr>
            <w:r>
              <w:rPr>
                <w:rFonts w:ascii="Courier New" w:cs="Courier New" w:eastAsia="Courier New" w:hAnsi="Courier New"/>
                <w:sz w:val="15"/>
                <w:szCs w:val="15"/>
                <w:color w:val="auto"/>
              </w:rPr>
              <w:t>A - B</w:t>
            </w:r>
          </w:p>
        </w:tc>
        <w:tc>
          <w:tcPr>
            <w:tcW w:w="1660" w:type="dxa"/>
            <w:vAlign w:val="bottom"/>
          </w:tcPr>
          <w:p>
            <w:pPr>
              <w:jc w:val="right"/>
              <w:ind w:right="1367"/>
              <w:spacing w:after="0" w:line="168" w:lineRule="exact"/>
              <w:rPr>
                <w:sz w:val="20"/>
                <w:szCs w:val="20"/>
                <w:color w:val="auto"/>
              </w:rPr>
            </w:pPr>
            <w:r>
              <w:rPr>
                <w:rFonts w:ascii="Courier New" w:cs="Courier New" w:eastAsia="Courier New" w:hAnsi="Courier New"/>
                <w:sz w:val="15"/>
                <w:szCs w:val="15"/>
                <w:color w:val="auto"/>
              </w:rPr>
              <w:t>=</w:t>
            </w:r>
          </w:p>
        </w:tc>
        <w:tc>
          <w:tcPr>
            <w:tcW w:w="4320" w:type="dxa"/>
            <w:vAlign w:val="bottom"/>
            <w:gridSpan w:val="2"/>
            <w:vMerge w:val="restart"/>
          </w:tcPr>
          <w:p>
            <w:pPr>
              <w:ind w:left="220"/>
              <w:spacing w:after="0"/>
              <w:rPr>
                <w:sz w:val="20"/>
                <w:szCs w:val="20"/>
                <w:color w:val="auto"/>
              </w:rPr>
            </w:pPr>
            <w:r>
              <w:rPr>
                <w:rFonts w:ascii="Courier New" w:cs="Courier New" w:eastAsia="Courier New" w:hAnsi="Courier New"/>
                <w:sz w:val="15"/>
                <w:szCs w:val="15"/>
                <w:color w:val="auto"/>
              </w:rPr>
              <w:t>Not to be less than the sum of:</w:t>
            </w:r>
          </w:p>
        </w:tc>
        <w:tc>
          <w:tcPr>
            <w:tcW w:w="0" w:type="dxa"/>
            <w:vAlign w:val="bottom"/>
          </w:tcPr>
          <w:p>
            <w:pPr>
              <w:spacing w:after="0"/>
              <w:rPr>
                <w:sz w:val="1"/>
                <w:szCs w:val="1"/>
                <w:color w:val="auto"/>
              </w:rPr>
            </w:pPr>
          </w:p>
        </w:tc>
      </w:tr>
      <w:tr>
        <w:trPr>
          <w:trHeight w:val="168"/>
        </w:trPr>
        <w:tc>
          <w:tcPr>
            <w:tcW w:w="4860" w:type="dxa"/>
            <w:vAlign w:val="bottom"/>
          </w:tcPr>
          <w:p>
            <w:pPr>
              <w:spacing w:after="0"/>
              <w:rPr>
                <w:sz w:val="14"/>
                <w:szCs w:val="14"/>
                <w:color w:val="auto"/>
              </w:rPr>
            </w:pP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8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880" w:type="dxa"/>
            <w:vAlign w:val="bottom"/>
          </w:tcPr>
          <w:p>
            <w:pPr>
              <w:ind w:left="220"/>
              <w:spacing w:after="0"/>
              <w:rPr>
                <w:sz w:val="20"/>
                <w:szCs w:val="20"/>
                <w:color w:val="auto"/>
              </w:rPr>
            </w:pPr>
            <w:r>
              <w:rPr>
                <w:rFonts w:ascii="Courier New" w:cs="Courier New" w:eastAsia="Courier New" w:hAnsi="Courier New"/>
                <w:sz w:val="15"/>
                <w:szCs w:val="15"/>
                <w:color w:val="auto"/>
              </w:rPr>
              <w:t>A.  $2,172,333,000</w:t>
            </w:r>
          </w:p>
        </w:tc>
        <w:tc>
          <w:tcPr>
            <w:tcW w:w="2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8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88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4"/>
              </w:rPr>
              <w:t>plus</w:t>
            </w:r>
          </w:p>
        </w:tc>
        <w:tc>
          <w:tcPr>
            <w:tcW w:w="2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8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320" w:type="dxa"/>
            <w:vAlign w:val="bottom"/>
            <w:gridSpan w:val="2"/>
          </w:tcPr>
          <w:p>
            <w:pPr>
              <w:jc w:val="center"/>
              <w:ind w:right="8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336"/>
        </w:trPr>
        <w:tc>
          <w:tcPr>
            <w:tcW w:w="4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32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6"/>
              </w:rPr>
              <w:t>B.  75% of Consolidated Net Income (not reduced</w:t>
            </w:r>
          </w:p>
        </w:tc>
        <w:tc>
          <w:tcPr>
            <w:tcW w:w="0" w:type="dxa"/>
            <w:vAlign w:val="bottom"/>
          </w:tcPr>
          <w:p>
            <w:pPr>
              <w:spacing w:after="0"/>
              <w:rPr>
                <w:sz w:val="1"/>
                <w:szCs w:val="1"/>
                <w:color w:val="auto"/>
              </w:rPr>
            </w:pPr>
          </w:p>
        </w:tc>
      </w:tr>
      <w:tr>
        <w:trPr>
          <w:trHeight w:val="259"/>
        </w:trPr>
        <w:tc>
          <w:tcPr>
            <w:tcW w:w="48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by Consolidated Net Loss) earned in each</w:t>
            </w:r>
          </w:p>
        </w:tc>
        <w:tc>
          <w:tcPr>
            <w:tcW w:w="0" w:type="dxa"/>
            <w:vAlign w:val="bottom"/>
          </w:tcPr>
          <w:p>
            <w:pPr>
              <w:spacing w:after="0"/>
              <w:rPr>
                <w:sz w:val="1"/>
                <w:szCs w:val="1"/>
                <w:color w:val="auto"/>
              </w:rPr>
            </w:pPr>
          </w:p>
        </w:tc>
      </w:tr>
      <w:tr>
        <w:trPr>
          <w:trHeight w:val="168"/>
        </w:trPr>
        <w:tc>
          <w:tcPr>
            <w:tcW w:w="48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32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rPr>
              <w:t>quarterly accounting period commencing</w:t>
            </w:r>
          </w:p>
        </w:tc>
        <w:tc>
          <w:tcPr>
            <w:tcW w:w="0" w:type="dxa"/>
            <w:vAlign w:val="bottom"/>
          </w:tcPr>
          <w:p>
            <w:pPr>
              <w:spacing w:after="0"/>
              <w:rPr>
                <w:sz w:val="1"/>
                <w:szCs w:val="1"/>
                <w:color w:val="auto"/>
              </w:rPr>
            </w:pPr>
          </w:p>
        </w:tc>
      </w:tr>
      <w:tr>
        <w:trPr>
          <w:trHeight w:val="245"/>
        </w:trPr>
        <w:tc>
          <w:tcPr>
            <w:tcW w:w="48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880" w:type="dxa"/>
            <w:vAlign w:val="bottom"/>
          </w:tcPr>
          <w:p>
            <w:pPr>
              <w:ind w:left="580"/>
              <w:spacing w:after="0"/>
              <w:rPr>
                <w:sz w:val="20"/>
                <w:szCs w:val="20"/>
                <w:color w:val="auto"/>
              </w:rPr>
            </w:pPr>
            <w:r>
              <w:rPr>
                <w:rFonts w:ascii="Courier New" w:cs="Courier New" w:eastAsia="Courier New" w:hAnsi="Courier New"/>
                <w:sz w:val="15"/>
                <w:szCs w:val="15"/>
                <w:color w:val="auto"/>
              </w:rPr>
              <w:t>after 5/14/96</w:t>
            </w:r>
          </w:p>
        </w:tc>
        <w:tc>
          <w:tcPr>
            <w:tcW w:w="2440" w:type="dxa"/>
            <w:vAlign w:val="bottom"/>
          </w:tcPr>
          <w:p>
            <w:pPr>
              <w:jc w:val="right"/>
              <w:ind w:right="1487"/>
              <w:spacing w:after="0"/>
              <w:rPr>
                <w:sz w:val="20"/>
                <w:szCs w:val="20"/>
                <w:color w:val="auto"/>
              </w:rPr>
            </w:pPr>
            <w:r>
              <w:rPr>
                <w:rFonts w:ascii="Courier New" w:cs="Courier New" w:eastAsia="Courier New" w:hAnsi="Courier New"/>
                <w:sz w:val="15"/>
                <w:szCs w:val="15"/>
                <w:color w:val="auto"/>
                <w:w w:val="95"/>
              </w:rPr>
              <w:t>__________</w:t>
            </w:r>
          </w:p>
        </w:tc>
        <w:tc>
          <w:tcPr>
            <w:tcW w:w="0" w:type="dxa"/>
            <w:vAlign w:val="bottom"/>
          </w:tcPr>
          <w:p>
            <w:pPr>
              <w:spacing w:after="0"/>
              <w:rPr>
                <w:sz w:val="1"/>
                <w:szCs w:val="1"/>
                <w:color w:val="auto"/>
              </w:rPr>
            </w:pPr>
          </w:p>
        </w:tc>
      </w:tr>
      <w:tr>
        <w:trPr>
          <w:trHeight w:val="259"/>
        </w:trPr>
        <w:tc>
          <w:tcPr>
            <w:tcW w:w="48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88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4"/>
              </w:rPr>
              <w:t>plus</w:t>
            </w:r>
          </w:p>
        </w:tc>
        <w:tc>
          <w:tcPr>
            <w:tcW w:w="2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8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320" w:type="dxa"/>
            <w:vAlign w:val="bottom"/>
            <w:gridSpan w:val="2"/>
          </w:tcPr>
          <w:p>
            <w:pPr>
              <w:jc w:val="center"/>
              <w:ind w:right="8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9"/>
        </w:trPr>
        <w:tc>
          <w:tcPr>
            <w:tcW w:w="48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3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  100% of increase in Consolidated Tangible</w:t>
            </w:r>
          </w:p>
        </w:tc>
        <w:tc>
          <w:tcPr>
            <w:tcW w:w="0" w:type="dxa"/>
            <w:vAlign w:val="bottom"/>
          </w:tcPr>
          <w:p>
            <w:pPr>
              <w:spacing w:after="0"/>
              <w:rPr>
                <w:sz w:val="1"/>
                <w:szCs w:val="1"/>
                <w:color w:val="auto"/>
              </w:rPr>
            </w:pPr>
          </w:p>
        </w:tc>
      </w:tr>
      <w:tr>
        <w:trPr>
          <w:trHeight w:val="168"/>
        </w:trPr>
        <w:tc>
          <w:tcPr>
            <w:tcW w:w="48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32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rPr>
              <w:t>Net Worth from certain equity securities</w:t>
            </w:r>
          </w:p>
        </w:tc>
        <w:tc>
          <w:tcPr>
            <w:tcW w:w="0" w:type="dxa"/>
            <w:vAlign w:val="bottom"/>
          </w:tcPr>
          <w:p>
            <w:pPr>
              <w:spacing w:after="0"/>
              <w:rPr>
                <w:sz w:val="1"/>
                <w:szCs w:val="1"/>
                <w:color w:val="auto"/>
              </w:rPr>
            </w:pPr>
          </w:p>
        </w:tc>
      </w:tr>
      <w:tr>
        <w:trPr>
          <w:trHeight w:val="168"/>
        </w:trPr>
        <w:tc>
          <w:tcPr>
            <w:tcW w:w="48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32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rPr>
              <w:t>issued after 5/14/96   __________</w:t>
            </w:r>
          </w:p>
        </w:tc>
        <w:tc>
          <w:tcPr>
            <w:tcW w:w="0" w:type="dxa"/>
            <w:vAlign w:val="bottom"/>
          </w:tcPr>
          <w:p>
            <w:pPr>
              <w:spacing w:after="0"/>
              <w:rPr>
                <w:sz w:val="1"/>
                <w:szCs w:val="1"/>
                <w:color w:val="auto"/>
              </w:rPr>
            </w:pPr>
          </w:p>
        </w:tc>
      </w:tr>
      <w:tr>
        <w:trPr>
          <w:trHeight w:val="168"/>
        </w:trPr>
        <w:tc>
          <w:tcPr>
            <w:tcW w:w="48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A + B + C</w:t>
            </w:r>
          </w:p>
        </w:tc>
        <w:tc>
          <w:tcPr>
            <w:tcW w:w="2440" w:type="dxa"/>
            <w:vAlign w:val="bottom"/>
          </w:tcPr>
          <w:p>
            <w:pPr>
              <w:jc w:val="right"/>
              <w:ind w:right="20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8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44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5"/>
        </w:trPr>
        <w:tc>
          <w:tcPr>
            <w:tcW w:w="4860" w:type="dxa"/>
            <w:vAlign w:val="bottom"/>
          </w:tcPr>
          <w:p>
            <w:pPr>
              <w:ind w:left="2640"/>
              <w:spacing w:after="0"/>
              <w:rPr>
                <w:sz w:val="20"/>
                <w:szCs w:val="20"/>
                <w:color w:val="auto"/>
              </w:rPr>
            </w:pPr>
            <w:r>
              <w:rPr>
                <w:rFonts w:ascii="Courier New" w:cs="Courier New" w:eastAsia="Courier New" w:hAnsi="Courier New"/>
                <w:sz w:val="15"/>
                <w:szCs w:val="15"/>
                <w:color w:val="auto"/>
              </w:rPr>
              <w:t>D-4</w:t>
            </w:r>
          </w:p>
        </w:tc>
        <w:tc>
          <w:tcPr>
            <w:tcW w:w="16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40"/>
          </w:cols>
          <w:pgMar w:left="220" w:top="766" w:right="13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00" w:type="dxa"/>
            <w:vAlign w:val="bottom"/>
          </w:tcPr>
          <w:p>
            <w:pPr>
              <w:ind w:left="480"/>
              <w:spacing w:after="0"/>
              <w:rPr>
                <w:sz w:val="20"/>
                <w:szCs w:val="20"/>
                <w:color w:val="auto"/>
              </w:rPr>
            </w:pPr>
            <w:r>
              <w:rPr>
                <w:rFonts w:ascii="Courier New" w:cs="Courier New" w:eastAsia="Courier New" w:hAnsi="Courier New"/>
                <w:sz w:val="15"/>
                <w:szCs w:val="15"/>
                <w:color w:val="auto"/>
              </w:rPr>
              <w:t>Actual</w:t>
            </w:r>
          </w:p>
        </w:tc>
        <w:tc>
          <w:tcPr>
            <w:tcW w:w="284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7"/>
              </w:rPr>
              <w:t>Required/Permitted</w:t>
            </w:r>
          </w:p>
        </w:tc>
        <w:tc>
          <w:tcPr>
            <w:tcW w:w="0" w:type="dxa"/>
            <w:vAlign w:val="bottom"/>
          </w:tcPr>
          <w:p>
            <w:pPr>
              <w:spacing w:after="0"/>
              <w:rPr>
                <w:sz w:val="1"/>
                <w:szCs w:val="1"/>
                <w:color w:val="auto"/>
              </w:rPr>
            </w:pPr>
          </w:p>
        </w:tc>
      </w:tr>
      <w:tr>
        <w:trPr>
          <w:trHeight w:val="245"/>
        </w:trPr>
        <w:tc>
          <w:tcPr>
            <w:tcW w:w="5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260" w:type="dxa"/>
            <w:vAlign w:val="bottom"/>
          </w:tcPr>
          <w:p>
            <w:pPr>
              <w:jc w:val="right"/>
              <w:ind w:right="2207"/>
              <w:spacing w:after="0"/>
              <w:rPr>
                <w:sz w:val="20"/>
                <w:szCs w:val="20"/>
                <w:color w:val="auto"/>
              </w:rPr>
            </w:pPr>
            <w:r>
              <w:rPr>
                <w:rFonts w:ascii="Courier New" w:cs="Courier New" w:eastAsia="Courier New" w:hAnsi="Courier New"/>
                <w:sz w:val="15"/>
                <w:szCs w:val="15"/>
                <w:color w:val="auto"/>
                <w:w w:val="96"/>
              </w:rPr>
              <w:t>3.  Section 7.14:  Leverage Ratio.</w:t>
            </w:r>
          </w:p>
        </w:tc>
        <w:tc>
          <w:tcPr>
            <w:tcW w:w="6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260" w:type="dxa"/>
            <w:vAlign w:val="bottom"/>
          </w:tcPr>
          <w:p>
            <w:pPr>
              <w:ind w:left="360"/>
              <w:spacing w:after="0"/>
              <w:rPr>
                <w:sz w:val="20"/>
                <w:szCs w:val="20"/>
                <w:color w:val="auto"/>
              </w:rPr>
            </w:pPr>
            <w:r>
              <w:rPr>
                <w:rFonts w:ascii="Courier New" w:cs="Courier New" w:eastAsia="Courier New" w:hAnsi="Courier New"/>
                <w:sz w:val="15"/>
                <w:szCs w:val="15"/>
                <w:color w:val="auto"/>
              </w:rPr>
              <w:t>The ratio of:</w:t>
            </w:r>
          </w:p>
        </w:tc>
        <w:tc>
          <w:tcPr>
            <w:tcW w:w="6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260" w:type="dxa"/>
            <w:vAlign w:val="bottom"/>
          </w:tcPr>
          <w:p>
            <w:pPr>
              <w:ind w:left="360"/>
              <w:spacing w:after="0"/>
              <w:rPr>
                <w:sz w:val="20"/>
                <w:szCs w:val="20"/>
                <w:color w:val="auto"/>
              </w:rPr>
            </w:pPr>
            <w:r>
              <w:rPr>
                <w:rFonts w:ascii="Courier New" w:cs="Courier New" w:eastAsia="Courier New" w:hAnsi="Courier New"/>
                <w:sz w:val="15"/>
                <w:szCs w:val="15"/>
                <w:color w:val="auto"/>
              </w:rPr>
              <w:t>A.  Consolidated Adjusted Total Liabilities</w:t>
            </w:r>
          </w:p>
        </w:tc>
        <w:tc>
          <w:tcPr>
            <w:tcW w:w="660" w:type="dxa"/>
            <w:vAlign w:val="bottom"/>
          </w:tcPr>
          <w:p>
            <w:pPr>
              <w:spacing w:after="0"/>
              <w:rPr>
                <w:sz w:val="22"/>
                <w:szCs w:val="22"/>
                <w:color w:val="auto"/>
              </w:rPr>
            </w:pPr>
          </w:p>
        </w:tc>
        <w:tc>
          <w:tcPr>
            <w:tcW w:w="130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__________</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260" w:type="dxa"/>
            <w:vAlign w:val="bottom"/>
          </w:tcPr>
          <w:p>
            <w:pPr>
              <w:ind w:left="700"/>
              <w:spacing w:after="0"/>
              <w:rPr>
                <w:sz w:val="20"/>
                <w:szCs w:val="20"/>
                <w:color w:val="auto"/>
              </w:rPr>
            </w:pPr>
            <w:r>
              <w:rPr>
                <w:rFonts w:ascii="Courier New" w:cs="Courier New" w:eastAsia="Courier New" w:hAnsi="Courier New"/>
                <w:sz w:val="15"/>
                <w:szCs w:val="15"/>
                <w:color w:val="auto"/>
              </w:rPr>
              <w:t>(i)   total liabilities</w:t>
            </w:r>
          </w:p>
        </w:tc>
        <w:tc>
          <w:tcPr>
            <w:tcW w:w="66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260" w:type="dxa"/>
            <w:vAlign w:val="bottom"/>
          </w:tcPr>
          <w:p>
            <w:pPr>
              <w:ind w:left="2380"/>
              <w:spacing w:after="0"/>
              <w:rPr>
                <w:sz w:val="20"/>
                <w:szCs w:val="20"/>
                <w:color w:val="auto"/>
              </w:rPr>
            </w:pPr>
            <w:r>
              <w:rPr>
                <w:rFonts w:ascii="Courier New" w:cs="Courier New" w:eastAsia="Courier New" w:hAnsi="Courier New"/>
                <w:sz w:val="15"/>
                <w:szCs w:val="15"/>
                <w:color w:val="auto"/>
              </w:rPr>
              <w:t>plus</w:t>
            </w:r>
          </w:p>
        </w:tc>
        <w:tc>
          <w:tcPr>
            <w:tcW w:w="6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260" w:type="dxa"/>
            <w:vAlign w:val="bottom"/>
          </w:tcPr>
          <w:p>
            <w:pPr>
              <w:jc w:val="right"/>
              <w:ind w:right="23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5260" w:type="dxa"/>
            <w:vAlign w:val="bottom"/>
          </w:tcPr>
          <w:p>
            <w:pPr>
              <w:ind w:left="700"/>
              <w:spacing w:after="0"/>
              <w:rPr>
                <w:sz w:val="20"/>
                <w:szCs w:val="20"/>
                <w:color w:val="auto"/>
              </w:rPr>
            </w:pPr>
            <w:r>
              <w:rPr>
                <w:rFonts w:ascii="Courier New" w:cs="Courier New" w:eastAsia="Courier New" w:hAnsi="Courier New"/>
                <w:sz w:val="15"/>
                <w:szCs w:val="15"/>
                <w:color w:val="auto"/>
              </w:rPr>
              <w:t>(ii)  certain off-balance sheet obligations</w:t>
            </w:r>
          </w:p>
        </w:tc>
        <w:tc>
          <w:tcPr>
            <w:tcW w:w="660" w:type="dxa"/>
            <w:vAlign w:val="bottom"/>
          </w:tcPr>
          <w:p>
            <w:pPr>
              <w:spacing w:after="0"/>
              <w:rPr>
                <w:sz w:val="24"/>
                <w:szCs w:val="24"/>
                <w:color w:val="auto"/>
              </w:rPr>
            </w:pPr>
          </w:p>
        </w:tc>
        <w:tc>
          <w:tcPr>
            <w:tcW w:w="130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__________</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6"/>
        </w:trPr>
        <w:tc>
          <w:tcPr>
            <w:tcW w:w="5260" w:type="dxa"/>
            <w:vAlign w:val="bottom"/>
          </w:tcPr>
          <w:p>
            <w:pPr>
              <w:jc w:val="right"/>
              <w:ind w:right="2207"/>
              <w:spacing w:after="0"/>
              <w:rPr>
                <w:sz w:val="20"/>
                <w:szCs w:val="20"/>
                <w:color w:val="auto"/>
              </w:rPr>
            </w:pPr>
            <w:r>
              <w:rPr>
                <w:rFonts w:ascii="Courier New" w:cs="Courier New" w:eastAsia="Courier New" w:hAnsi="Courier New"/>
                <w:sz w:val="15"/>
                <w:szCs w:val="15"/>
                <w:color w:val="auto"/>
              </w:rPr>
              <w:t>(i) + (ii)</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220"/>
              <w:spacing w:after="0"/>
              <w:rPr>
                <w:sz w:val="20"/>
                <w:szCs w:val="20"/>
                <w:color w:val="auto"/>
              </w:rPr>
            </w:pPr>
            <w:r>
              <w:rPr>
                <w:rFonts w:ascii="Courier New" w:cs="Courier New" w:eastAsia="Courier New" w:hAnsi="Courier New"/>
                <w:sz w:val="15"/>
                <w:szCs w:val="15"/>
                <w:color w:val="auto"/>
              </w:rPr>
              <w:t>_________</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260" w:type="dxa"/>
            <w:vAlign w:val="bottom"/>
          </w:tcPr>
          <w:p>
            <w:pPr>
              <w:ind w:left="360"/>
              <w:spacing w:after="0"/>
              <w:rPr>
                <w:sz w:val="20"/>
                <w:szCs w:val="20"/>
                <w:color w:val="auto"/>
              </w:rPr>
            </w:pPr>
            <w:r>
              <w:rPr>
                <w:rFonts w:ascii="Courier New" w:cs="Courier New" w:eastAsia="Courier New" w:hAnsi="Courier New"/>
                <w:sz w:val="15"/>
                <w:szCs w:val="15"/>
                <w:color w:val="auto"/>
              </w:rPr>
              <w:t>B.  Consolidated Tangible Net Worth: (from #2 above)</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220"/>
              <w:spacing w:after="0"/>
              <w:rPr>
                <w:sz w:val="20"/>
                <w:szCs w:val="20"/>
                <w:color w:val="auto"/>
              </w:rPr>
            </w:pPr>
            <w:r>
              <w:rPr>
                <w:rFonts w:ascii="Courier New" w:cs="Courier New" w:eastAsia="Courier New" w:hAnsi="Courier New"/>
                <w:sz w:val="15"/>
                <w:szCs w:val="15"/>
                <w:color w:val="auto"/>
              </w:rPr>
              <w:t>__________</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260" w:type="dxa"/>
            <w:vAlign w:val="bottom"/>
          </w:tcPr>
          <w:p>
            <w:pPr>
              <w:ind w:left="2460"/>
              <w:spacing w:after="0"/>
              <w:rPr>
                <w:sz w:val="20"/>
                <w:szCs w:val="20"/>
                <w:color w:val="auto"/>
              </w:rPr>
            </w:pPr>
            <w:r>
              <w:rPr>
                <w:rFonts w:ascii="Courier New" w:cs="Courier New" w:eastAsia="Courier New" w:hAnsi="Courier New"/>
                <w:sz w:val="15"/>
                <w:szCs w:val="15"/>
                <w:color w:val="auto"/>
              </w:rPr>
              <w:t>A</w:t>
            </w:r>
          </w:p>
        </w:tc>
        <w:tc>
          <w:tcPr>
            <w:tcW w:w="6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260" w:type="dxa"/>
            <w:vAlign w:val="bottom"/>
          </w:tcPr>
          <w:p>
            <w:pPr>
              <w:jc w:val="right"/>
              <w:ind w:right="23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vMerge w:val="continue"/>
          </w:tcPr>
          <w:p>
            <w:pPr>
              <w:spacing w:after="0"/>
              <w:rPr>
                <w:sz w:val="14"/>
                <w:szCs w:val="14"/>
                <w:color w:val="auto"/>
              </w:rPr>
            </w:pPr>
          </w:p>
        </w:tc>
        <w:tc>
          <w:tcPr>
            <w:tcW w:w="130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28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Not greater than 0.75 to 1.00</w:t>
            </w:r>
          </w:p>
        </w:tc>
        <w:tc>
          <w:tcPr>
            <w:tcW w:w="0" w:type="dxa"/>
            <w:vAlign w:val="bottom"/>
          </w:tcPr>
          <w:p>
            <w:pPr>
              <w:spacing w:after="0"/>
              <w:rPr>
                <w:sz w:val="1"/>
                <w:szCs w:val="1"/>
                <w:color w:val="auto"/>
              </w:rPr>
            </w:pPr>
          </w:p>
        </w:tc>
      </w:tr>
      <w:tr>
        <w:trPr>
          <w:trHeight w:val="245"/>
        </w:trPr>
        <w:tc>
          <w:tcPr>
            <w:tcW w:w="5260" w:type="dxa"/>
            <w:vAlign w:val="bottom"/>
          </w:tcPr>
          <w:p>
            <w:pPr>
              <w:ind w:left="2460"/>
              <w:spacing w:after="0"/>
              <w:rPr>
                <w:sz w:val="20"/>
                <w:szCs w:val="20"/>
                <w:color w:val="auto"/>
              </w:rPr>
            </w:pPr>
            <w:r>
              <w:rPr>
                <w:rFonts w:ascii="Courier New" w:cs="Courier New" w:eastAsia="Courier New" w:hAnsi="Courier New"/>
                <w:sz w:val="15"/>
                <w:szCs w:val="15"/>
                <w:color w:val="auto"/>
              </w:rPr>
              <w:t>B</w:t>
            </w:r>
          </w:p>
        </w:tc>
        <w:tc>
          <w:tcPr>
            <w:tcW w:w="66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2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73"/>
        </w:trPr>
        <w:tc>
          <w:tcPr>
            <w:tcW w:w="5260" w:type="dxa"/>
            <w:vAlign w:val="bottom"/>
          </w:tcPr>
          <w:p>
            <w:pPr>
              <w:ind w:left="3240"/>
              <w:spacing w:after="0"/>
              <w:rPr>
                <w:sz w:val="20"/>
                <w:szCs w:val="20"/>
                <w:color w:val="auto"/>
              </w:rPr>
            </w:pPr>
            <w:r>
              <w:rPr>
                <w:rFonts w:ascii="Courier New" w:cs="Courier New" w:eastAsia="Courier New" w:hAnsi="Courier New"/>
                <w:sz w:val="15"/>
                <w:szCs w:val="15"/>
                <w:color w:val="auto"/>
              </w:rPr>
              <w:t>D-5</w:t>
            </w: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932" w:right="1440" w:bottom="1440" w:gutter="0" w:footer="0" w:header="0"/>
        </w:sectPr>
      </w:pPr>
    </w:p>
    <w:bookmarkStart w:id="98" w:name="page99"/>
    <w:bookmarkEnd w:id="98"/>
    <w:p>
      <w:pPr>
        <w:ind w:left="6400"/>
        <w:spacing w:after="0"/>
        <w:tabs>
          <w:tab w:leader="none" w:pos="7940" w:val="left"/>
        </w:tabs>
        <w:rPr>
          <w:sz w:val="20"/>
          <w:szCs w:val="20"/>
          <w:color w:val="auto"/>
        </w:rPr>
      </w:pPr>
      <w:r>
        <w:rPr>
          <w:rFonts w:ascii="Courier New" w:cs="Courier New" w:eastAsia="Courier New" w:hAnsi="Courier New"/>
          <w:sz w:val="15"/>
          <w:szCs w:val="15"/>
          <w:color w:val="auto"/>
        </w:rPr>
        <w:t>Actual</w:t>
      </w:r>
      <w:r>
        <w:rPr>
          <w:sz w:val="20"/>
          <w:szCs w:val="20"/>
          <w:color w:val="auto"/>
        </w:rPr>
        <w:tab/>
      </w:r>
      <w:r>
        <w:rPr>
          <w:rFonts w:ascii="Courier New" w:cs="Courier New" w:eastAsia="Courier New" w:hAnsi="Courier New"/>
          <w:sz w:val="15"/>
          <w:szCs w:val="15"/>
          <w:color w:val="auto"/>
        </w:rPr>
        <w:t>Required/Permitted</w:t>
      </w:r>
    </w:p>
    <w:p>
      <w:pPr>
        <w:spacing w:after="0" w:line="24" w:lineRule="exact"/>
        <w:rPr>
          <w:sz w:val="20"/>
          <w:szCs w:val="20"/>
          <w:color w:val="auto"/>
        </w:rPr>
      </w:pPr>
    </w:p>
    <w:p>
      <w:pPr>
        <w:ind w:left="6140"/>
        <w:spacing w:after="0"/>
        <w:tabs>
          <w:tab w:leader="none" w:pos="7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40" w:lineRule="exact"/>
        <w:rPr>
          <w:sz w:val="20"/>
          <w:szCs w:val="20"/>
          <w:color w:val="auto"/>
        </w:rPr>
      </w:pPr>
    </w:p>
    <w:p>
      <w:pPr>
        <w:ind w:left="360" w:hanging="350"/>
        <w:spacing w:after="0"/>
        <w:tabs>
          <w:tab w:leader="none" w:pos="36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7.15:  Minimum Cash Flow.</w:t>
      </w:r>
    </w:p>
    <w:p>
      <w:pPr>
        <w:spacing w:after="0" w:line="2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ind w:left="700" w:hanging="340"/>
        <w:spacing w:after="0" w:line="237" w:lineRule="auto"/>
        <w:tabs>
          <w:tab w:leader="none" w:pos="70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means the sum of:</w:t>
      </w:r>
    </w:p>
    <w:tbl>
      <w:tblPr>
        <w:tblLayout w:type="fixed"/>
        <w:tblInd w:w="700" w:type="dxa"/>
        <w:tblCellMar>
          <w:top w:w="0" w:type="dxa"/>
          <w:left w:w="0" w:type="dxa"/>
          <w:bottom w:w="0" w:type="dxa"/>
          <w:right w:w="0" w:type="dxa"/>
        </w:tblCellMar>
      </w:tblPr>
      <w:tr>
        <w:trPr>
          <w:trHeight w:val="143"/>
        </w:trPr>
        <w:tc>
          <w:tcPr>
            <w:tcW w:w="440" w:type="dxa"/>
            <w:vAlign w:val="bottom"/>
          </w:tcPr>
          <w:p>
            <w:pPr>
              <w:spacing w:after="0" w:line="143" w:lineRule="exact"/>
              <w:rPr>
                <w:sz w:val="20"/>
                <w:szCs w:val="20"/>
                <w:color w:val="auto"/>
              </w:rPr>
            </w:pPr>
            <w:r>
              <w:rPr>
                <w:rFonts w:ascii="Courier New" w:cs="Courier New" w:eastAsia="Courier New" w:hAnsi="Courier New"/>
                <w:sz w:val="15"/>
                <w:szCs w:val="15"/>
                <w:color w:val="auto"/>
              </w:rPr>
              <w:t>(i)</w:t>
            </w:r>
          </w:p>
        </w:tc>
        <w:tc>
          <w:tcPr>
            <w:tcW w:w="3760" w:type="dxa"/>
            <w:vAlign w:val="bottom"/>
          </w:tcPr>
          <w:p>
            <w:pPr>
              <w:ind w:left="100"/>
              <w:spacing w:after="0" w:line="143" w:lineRule="exact"/>
              <w:rPr>
                <w:sz w:val="20"/>
                <w:szCs w:val="20"/>
                <w:color w:val="auto"/>
              </w:rPr>
            </w:pPr>
            <w:r>
              <w:rPr>
                <w:rFonts w:ascii="Courier New" w:cs="Courier New" w:eastAsia="Courier New" w:hAnsi="Courier New"/>
                <w:sz w:val="15"/>
                <w:szCs w:val="15"/>
                <w:color w:val="auto"/>
              </w:rPr>
              <w:t>Consolidated Net Income</w:t>
            </w:r>
          </w:p>
        </w:tc>
        <w:tc>
          <w:tcPr>
            <w:tcW w:w="1100" w:type="dxa"/>
            <w:vAlign w:val="bottom"/>
          </w:tcPr>
          <w:p>
            <w:pPr>
              <w:spacing w:after="0"/>
              <w:rPr>
                <w:sz w:val="12"/>
                <w:szCs w:val="12"/>
                <w:color w:val="auto"/>
              </w:rPr>
            </w:pPr>
          </w:p>
        </w:tc>
        <w:tc>
          <w:tcPr>
            <w:tcW w:w="1540" w:type="dxa"/>
            <w:vAlign w:val="bottom"/>
          </w:tcPr>
          <w:p>
            <w:pPr>
              <w:ind w:left="140"/>
              <w:spacing w:after="0" w:line="143" w:lineRule="exact"/>
              <w:rPr>
                <w:sz w:val="20"/>
                <w:szCs w:val="20"/>
                <w:color w:val="auto"/>
              </w:rPr>
            </w:pPr>
            <w:r>
              <w:rPr>
                <w:rFonts w:ascii="Courier New" w:cs="Courier New" w:eastAsia="Courier New" w:hAnsi="Courier New"/>
                <w:sz w:val="15"/>
                <w:szCs w:val="15"/>
                <w:color w:val="auto"/>
              </w:rPr>
              <w:t>__________</w:t>
            </w:r>
          </w:p>
        </w:tc>
        <w:tc>
          <w:tcPr>
            <w:tcW w:w="1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Courier New" w:cs="Courier New" w:eastAsia="Courier New" w:hAnsi="Courier New"/>
                <w:sz w:val="15"/>
                <w:szCs w:val="15"/>
                <w:color w:val="auto"/>
              </w:rPr>
              <w:t>(or Consolidated Net Loss)</w:t>
            </w:r>
          </w:p>
        </w:tc>
        <w:tc>
          <w:tcPr>
            <w:tcW w:w="1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40" w:type="dxa"/>
            <w:vAlign w:val="bottom"/>
          </w:tcPr>
          <w:p>
            <w:pPr>
              <w:spacing w:after="0"/>
              <w:rPr>
                <w:sz w:val="22"/>
                <w:szCs w:val="22"/>
                <w:color w:val="auto"/>
              </w:rPr>
            </w:pPr>
          </w:p>
        </w:tc>
        <w:tc>
          <w:tcPr>
            <w:tcW w:w="3760" w:type="dxa"/>
            <w:vAlign w:val="bottom"/>
          </w:tcPr>
          <w:p>
            <w:pPr>
              <w:jc w:val="center"/>
              <w:ind w:right="867"/>
              <w:spacing w:after="0"/>
              <w:rPr>
                <w:sz w:val="20"/>
                <w:szCs w:val="20"/>
                <w:color w:val="auto"/>
              </w:rPr>
            </w:pPr>
            <w:r>
              <w:rPr>
                <w:rFonts w:ascii="Courier New" w:cs="Courier New" w:eastAsia="Courier New" w:hAnsi="Courier New"/>
                <w:sz w:val="15"/>
                <w:szCs w:val="15"/>
                <w:color w:val="auto"/>
                <w:w w:val="94"/>
              </w:rPr>
              <w:t>plus</w:t>
            </w:r>
          </w:p>
        </w:tc>
        <w:tc>
          <w:tcPr>
            <w:tcW w:w="1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3760" w:type="dxa"/>
            <w:vAlign w:val="bottom"/>
          </w:tcPr>
          <w:p>
            <w:pPr>
              <w:jc w:val="center"/>
              <w:ind w:right="887"/>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(ii)</w:t>
            </w:r>
          </w:p>
        </w:tc>
        <w:tc>
          <w:tcPr>
            <w:tcW w:w="3760" w:type="dxa"/>
            <w:vAlign w:val="bottom"/>
          </w:tcPr>
          <w:p>
            <w:pPr>
              <w:ind w:left="100"/>
              <w:spacing w:after="0"/>
              <w:rPr>
                <w:sz w:val="20"/>
                <w:szCs w:val="20"/>
                <w:color w:val="auto"/>
              </w:rPr>
            </w:pPr>
            <w:r>
              <w:rPr>
                <w:rFonts w:ascii="Courier New" w:cs="Courier New" w:eastAsia="Courier New" w:hAnsi="Courier New"/>
                <w:sz w:val="15"/>
                <w:szCs w:val="15"/>
                <w:color w:val="auto"/>
              </w:rPr>
              <w:t>consolidated interest expense/1/</w:t>
            </w:r>
          </w:p>
        </w:tc>
        <w:tc>
          <w:tcPr>
            <w:tcW w:w="1100" w:type="dxa"/>
            <w:vAlign w:val="bottom"/>
          </w:tcPr>
          <w:p>
            <w:pPr>
              <w:spacing w:after="0"/>
              <w:rPr>
                <w:sz w:val="24"/>
                <w:szCs w:val="24"/>
                <w:color w:val="auto"/>
              </w:rPr>
            </w:pPr>
          </w:p>
        </w:tc>
        <w:tc>
          <w:tcPr>
            <w:tcW w:w="1540" w:type="dxa"/>
            <w:vAlign w:val="bottom"/>
          </w:tcPr>
          <w:p>
            <w:pPr>
              <w:ind w:left="140"/>
              <w:spacing w:after="0"/>
              <w:rPr>
                <w:sz w:val="20"/>
                <w:szCs w:val="20"/>
                <w:color w:val="auto"/>
              </w:rPr>
            </w:pPr>
            <w:r>
              <w:rPr>
                <w:rFonts w:ascii="Courier New" w:cs="Courier New" w:eastAsia="Courier New" w:hAnsi="Courier New"/>
                <w:sz w:val="15"/>
                <w:szCs w:val="15"/>
                <w:color w:val="auto"/>
              </w:rPr>
              <w:t>__________</w:t>
            </w:r>
          </w:p>
        </w:tc>
        <w:tc>
          <w:tcPr>
            <w:tcW w:w="1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40" w:type="dxa"/>
            <w:vAlign w:val="bottom"/>
          </w:tcPr>
          <w:p>
            <w:pPr>
              <w:spacing w:after="0"/>
              <w:rPr>
                <w:sz w:val="22"/>
                <w:szCs w:val="22"/>
                <w:color w:val="auto"/>
              </w:rPr>
            </w:pPr>
          </w:p>
        </w:tc>
        <w:tc>
          <w:tcPr>
            <w:tcW w:w="3760" w:type="dxa"/>
            <w:vAlign w:val="bottom"/>
          </w:tcPr>
          <w:p>
            <w:pPr>
              <w:jc w:val="center"/>
              <w:ind w:right="867"/>
              <w:spacing w:after="0"/>
              <w:rPr>
                <w:sz w:val="20"/>
                <w:szCs w:val="20"/>
                <w:color w:val="auto"/>
              </w:rPr>
            </w:pPr>
            <w:r>
              <w:rPr>
                <w:rFonts w:ascii="Courier New" w:cs="Courier New" w:eastAsia="Courier New" w:hAnsi="Courier New"/>
                <w:sz w:val="15"/>
                <w:szCs w:val="15"/>
                <w:color w:val="auto"/>
                <w:w w:val="94"/>
              </w:rPr>
              <w:t>plus</w:t>
            </w:r>
          </w:p>
        </w:tc>
        <w:tc>
          <w:tcPr>
            <w:tcW w:w="1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3760" w:type="dxa"/>
            <w:vAlign w:val="bottom"/>
          </w:tcPr>
          <w:p>
            <w:pPr>
              <w:jc w:val="center"/>
              <w:ind w:right="887"/>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(iii)</w:t>
            </w:r>
          </w:p>
        </w:tc>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income tax expense/1/</w:t>
            </w:r>
          </w:p>
        </w:tc>
        <w:tc>
          <w:tcPr>
            <w:tcW w:w="1100" w:type="dxa"/>
            <w:vAlign w:val="bottom"/>
          </w:tcPr>
          <w:p>
            <w:pPr>
              <w:spacing w:after="0"/>
              <w:rPr>
                <w:sz w:val="24"/>
                <w:szCs w:val="24"/>
                <w:color w:val="auto"/>
              </w:rPr>
            </w:pPr>
          </w:p>
        </w:tc>
        <w:tc>
          <w:tcPr>
            <w:tcW w:w="1540" w:type="dxa"/>
            <w:vAlign w:val="bottom"/>
          </w:tcPr>
          <w:p>
            <w:pPr>
              <w:ind w:left="140"/>
              <w:spacing w:after="0"/>
              <w:rPr>
                <w:sz w:val="20"/>
                <w:szCs w:val="20"/>
                <w:color w:val="auto"/>
              </w:rPr>
            </w:pPr>
            <w:r>
              <w:rPr>
                <w:rFonts w:ascii="Courier New" w:cs="Courier New" w:eastAsia="Courier New" w:hAnsi="Courier New"/>
                <w:sz w:val="15"/>
                <w:szCs w:val="15"/>
                <w:color w:val="auto"/>
              </w:rPr>
              <w:t>__________</w:t>
            </w:r>
          </w:p>
        </w:tc>
        <w:tc>
          <w:tcPr>
            <w:tcW w:w="1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40" w:type="dxa"/>
            <w:vAlign w:val="bottom"/>
          </w:tcPr>
          <w:p>
            <w:pPr>
              <w:spacing w:after="0"/>
              <w:rPr>
                <w:sz w:val="22"/>
                <w:szCs w:val="22"/>
                <w:color w:val="auto"/>
              </w:rPr>
            </w:pPr>
          </w:p>
        </w:tc>
        <w:tc>
          <w:tcPr>
            <w:tcW w:w="3760" w:type="dxa"/>
            <w:vAlign w:val="bottom"/>
          </w:tcPr>
          <w:p>
            <w:pPr>
              <w:jc w:val="center"/>
              <w:ind w:right="867"/>
              <w:spacing w:after="0"/>
              <w:rPr>
                <w:sz w:val="20"/>
                <w:szCs w:val="20"/>
                <w:color w:val="auto"/>
              </w:rPr>
            </w:pPr>
            <w:r>
              <w:rPr>
                <w:rFonts w:ascii="Courier New" w:cs="Courier New" w:eastAsia="Courier New" w:hAnsi="Courier New"/>
                <w:sz w:val="15"/>
                <w:szCs w:val="15"/>
                <w:color w:val="auto"/>
                <w:w w:val="94"/>
              </w:rPr>
              <w:t>plus</w:t>
            </w:r>
          </w:p>
        </w:tc>
        <w:tc>
          <w:tcPr>
            <w:tcW w:w="1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3760" w:type="dxa"/>
            <w:vAlign w:val="bottom"/>
          </w:tcPr>
          <w:p>
            <w:pPr>
              <w:jc w:val="center"/>
              <w:ind w:right="887"/>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(iv)</w:t>
            </w:r>
          </w:p>
        </w:tc>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depreciation expense/1/</w:t>
            </w:r>
          </w:p>
        </w:tc>
        <w:tc>
          <w:tcPr>
            <w:tcW w:w="1100" w:type="dxa"/>
            <w:vAlign w:val="bottom"/>
          </w:tcPr>
          <w:p>
            <w:pPr>
              <w:spacing w:after="0"/>
              <w:rPr>
                <w:sz w:val="24"/>
                <w:szCs w:val="24"/>
                <w:color w:val="auto"/>
              </w:rPr>
            </w:pPr>
          </w:p>
        </w:tc>
        <w:tc>
          <w:tcPr>
            <w:tcW w:w="1540" w:type="dxa"/>
            <w:vAlign w:val="bottom"/>
          </w:tcPr>
          <w:p>
            <w:pPr>
              <w:ind w:left="140"/>
              <w:spacing w:after="0"/>
              <w:rPr>
                <w:sz w:val="20"/>
                <w:szCs w:val="20"/>
                <w:color w:val="auto"/>
              </w:rPr>
            </w:pPr>
            <w:r>
              <w:rPr>
                <w:rFonts w:ascii="Courier New" w:cs="Courier New" w:eastAsia="Courier New" w:hAnsi="Courier New"/>
                <w:sz w:val="15"/>
                <w:szCs w:val="15"/>
                <w:color w:val="auto"/>
              </w:rPr>
              <w:t>__________</w:t>
            </w:r>
          </w:p>
        </w:tc>
        <w:tc>
          <w:tcPr>
            <w:tcW w:w="1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40" w:type="dxa"/>
            <w:vAlign w:val="bottom"/>
          </w:tcPr>
          <w:p>
            <w:pPr>
              <w:spacing w:after="0"/>
              <w:rPr>
                <w:sz w:val="22"/>
                <w:szCs w:val="22"/>
                <w:color w:val="auto"/>
              </w:rPr>
            </w:pPr>
          </w:p>
        </w:tc>
        <w:tc>
          <w:tcPr>
            <w:tcW w:w="3760" w:type="dxa"/>
            <w:vAlign w:val="bottom"/>
          </w:tcPr>
          <w:p>
            <w:pPr>
              <w:jc w:val="center"/>
              <w:ind w:right="867"/>
              <w:spacing w:after="0"/>
              <w:rPr>
                <w:sz w:val="20"/>
                <w:szCs w:val="20"/>
                <w:color w:val="auto"/>
              </w:rPr>
            </w:pPr>
            <w:r>
              <w:rPr>
                <w:rFonts w:ascii="Courier New" w:cs="Courier New" w:eastAsia="Courier New" w:hAnsi="Courier New"/>
                <w:sz w:val="15"/>
                <w:szCs w:val="15"/>
                <w:color w:val="auto"/>
                <w:w w:val="94"/>
              </w:rPr>
              <w:t>plus</w:t>
            </w:r>
          </w:p>
        </w:tc>
        <w:tc>
          <w:tcPr>
            <w:tcW w:w="1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3760" w:type="dxa"/>
            <w:vAlign w:val="bottom"/>
          </w:tcPr>
          <w:p>
            <w:pPr>
              <w:jc w:val="center"/>
              <w:ind w:right="887"/>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(v)</w:t>
            </w:r>
          </w:p>
        </w:tc>
        <w:tc>
          <w:tcPr>
            <w:tcW w:w="3760" w:type="dxa"/>
            <w:vAlign w:val="bottom"/>
          </w:tcPr>
          <w:p>
            <w:pPr>
              <w:spacing w:after="0"/>
              <w:rPr>
                <w:sz w:val="20"/>
                <w:szCs w:val="20"/>
                <w:color w:val="auto"/>
              </w:rPr>
            </w:pPr>
            <w:r>
              <w:rPr>
                <w:rFonts w:ascii="Courier New" w:cs="Courier New" w:eastAsia="Courier New" w:hAnsi="Courier New"/>
                <w:sz w:val="15"/>
                <w:szCs w:val="15"/>
                <w:color w:val="auto"/>
              </w:rPr>
              <w:t>amortization expense/1/</w:t>
            </w:r>
          </w:p>
        </w:tc>
        <w:tc>
          <w:tcPr>
            <w:tcW w:w="1100" w:type="dxa"/>
            <w:vAlign w:val="bottom"/>
          </w:tcPr>
          <w:p>
            <w:pPr>
              <w:spacing w:after="0"/>
              <w:rPr>
                <w:sz w:val="24"/>
                <w:szCs w:val="24"/>
                <w:color w:val="auto"/>
              </w:rPr>
            </w:pPr>
          </w:p>
        </w:tc>
        <w:tc>
          <w:tcPr>
            <w:tcW w:w="1540" w:type="dxa"/>
            <w:vAlign w:val="bottom"/>
          </w:tcPr>
          <w:p>
            <w:pPr>
              <w:ind w:left="140"/>
              <w:spacing w:after="0"/>
              <w:rPr>
                <w:sz w:val="20"/>
                <w:szCs w:val="20"/>
                <w:color w:val="auto"/>
              </w:rPr>
            </w:pPr>
            <w:r>
              <w:rPr>
                <w:rFonts w:ascii="Courier New" w:cs="Courier New" w:eastAsia="Courier New" w:hAnsi="Courier New"/>
                <w:sz w:val="15"/>
                <w:szCs w:val="15"/>
                <w:color w:val="auto"/>
              </w:rPr>
              <w:t>__________</w:t>
            </w:r>
          </w:p>
        </w:tc>
        <w:tc>
          <w:tcPr>
            <w:tcW w:w="1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40" w:type="dxa"/>
            <w:vAlign w:val="bottom"/>
          </w:tcPr>
          <w:p>
            <w:pPr>
              <w:spacing w:after="0"/>
              <w:rPr>
                <w:sz w:val="22"/>
                <w:szCs w:val="22"/>
                <w:color w:val="auto"/>
              </w:rPr>
            </w:pPr>
          </w:p>
        </w:tc>
        <w:tc>
          <w:tcPr>
            <w:tcW w:w="3760" w:type="dxa"/>
            <w:vAlign w:val="bottom"/>
          </w:tcPr>
          <w:p>
            <w:pPr>
              <w:spacing w:after="0"/>
              <w:rPr>
                <w:sz w:val="20"/>
                <w:szCs w:val="20"/>
                <w:color w:val="auto"/>
              </w:rPr>
            </w:pPr>
            <w:r>
              <w:rPr>
                <w:rFonts w:ascii="Courier New" w:cs="Courier New" w:eastAsia="Courier New" w:hAnsi="Courier New"/>
                <w:sz w:val="15"/>
                <w:szCs w:val="15"/>
                <w:color w:val="auto"/>
              </w:rPr>
              <w:t>(i) + (ii) + (iii) + (iv) + (v)</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880" w:type="dxa"/>
            <w:vAlign w:val="bottom"/>
            <w:gridSpan w:val="2"/>
          </w:tcPr>
          <w:p>
            <w:pPr>
              <w:ind w:left="1440"/>
              <w:spacing w:after="0"/>
              <w:rPr>
                <w:sz w:val="20"/>
                <w:szCs w:val="20"/>
                <w:color w:val="auto"/>
              </w:rPr>
            </w:pPr>
            <w:r>
              <w:rPr>
                <w:rFonts w:ascii="Courier New" w:cs="Courier New" w:eastAsia="Courier New" w:hAnsi="Courier New"/>
                <w:sz w:val="15"/>
                <w:szCs w:val="15"/>
                <w:color w:val="auto"/>
              </w:rPr>
              <w:t>Not less than:</w:t>
            </w: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21"/>
                <w:szCs w:val="21"/>
                <w:color w:val="auto"/>
              </w:rPr>
            </w:pPr>
          </w:p>
        </w:tc>
        <w:tc>
          <w:tcPr>
            <w:tcW w:w="172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For the</w:t>
            </w:r>
          </w:p>
        </w:tc>
        <w:tc>
          <w:tcPr>
            <w:tcW w:w="0" w:type="dxa"/>
            <w:vAlign w:val="bottom"/>
          </w:tcPr>
          <w:p>
            <w:pPr>
              <w:spacing w:after="0"/>
              <w:rPr>
                <w:sz w:val="1"/>
                <w:szCs w:val="1"/>
                <w:color w:val="auto"/>
              </w:rPr>
            </w:pPr>
          </w:p>
        </w:tc>
      </w:tr>
      <w:tr>
        <w:trPr>
          <w:trHeight w:val="91"/>
        </w:trPr>
        <w:tc>
          <w:tcPr>
            <w:tcW w:w="4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880" w:type="dxa"/>
            <w:vAlign w:val="bottom"/>
            <w:gridSpan w:val="2"/>
            <w:vMerge w:val="restart"/>
          </w:tcPr>
          <w:p>
            <w:pPr>
              <w:ind w:left="1440"/>
              <w:spacing w:after="0"/>
              <w:rPr>
                <w:sz w:val="20"/>
                <w:szCs w:val="20"/>
                <w:color w:val="auto"/>
              </w:rPr>
            </w:pPr>
            <w:r>
              <w:rPr>
                <w:rFonts w:ascii="Courier New" w:cs="Courier New" w:eastAsia="Courier New" w:hAnsi="Courier New"/>
                <w:sz w:val="15"/>
                <w:szCs w:val="15"/>
                <w:color w:val="auto"/>
              </w:rPr>
              <w:t>Minimum EBITDA</w:t>
            </w:r>
          </w:p>
        </w:tc>
        <w:tc>
          <w:tcPr>
            <w:tcW w:w="1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80" w:type="dxa"/>
            <w:vAlign w:val="bottom"/>
            <w:gridSpan w:val="2"/>
            <w:vMerge w:val="continue"/>
          </w:tcPr>
          <w:p>
            <w:pPr>
              <w:spacing w:after="0"/>
              <w:rPr>
                <w:sz w:val="14"/>
                <w:szCs w:val="14"/>
                <w:color w:val="auto"/>
              </w:rPr>
            </w:pPr>
          </w:p>
        </w:tc>
        <w:tc>
          <w:tcPr>
            <w:tcW w:w="1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Quarter Ending</w:t>
            </w: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80" w:type="dxa"/>
            <w:vAlign w:val="bottom"/>
            <w:gridSpan w:val="2"/>
          </w:tcPr>
          <w:p>
            <w:pPr>
              <w:ind w:left="144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4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40" w:type="dxa"/>
            <w:vAlign w:val="bottom"/>
          </w:tcPr>
          <w:p>
            <w:pPr>
              <w:ind w:left="1440"/>
              <w:spacing w:after="0"/>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70,000,000</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August 29, 1996</w:t>
            </w: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ind w:left="1440"/>
              <w:spacing w:after="0" w:line="168" w:lineRule="exact"/>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100,000,000</w:t>
            </w:r>
          </w:p>
        </w:tc>
        <w:tc>
          <w:tcPr>
            <w:tcW w:w="1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November 28, 1996</w:t>
            </w: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ind w:left="1440"/>
              <w:spacing w:after="0" w:line="168" w:lineRule="exact"/>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110,000,000</w:t>
            </w:r>
          </w:p>
        </w:tc>
        <w:tc>
          <w:tcPr>
            <w:tcW w:w="1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February 27, 1997</w:t>
            </w: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ind w:left="1440"/>
              <w:spacing w:after="0" w:line="168" w:lineRule="exact"/>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165,000,000</w:t>
            </w:r>
          </w:p>
        </w:tc>
        <w:tc>
          <w:tcPr>
            <w:tcW w:w="1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May 29, 1997</w:t>
            </w: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ind w:left="1440"/>
              <w:spacing w:after="0" w:line="168" w:lineRule="exact"/>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205,000,000</w:t>
            </w:r>
          </w:p>
        </w:tc>
        <w:tc>
          <w:tcPr>
            <w:tcW w:w="1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August 28, 1997</w:t>
            </w: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ind w:left="1440"/>
              <w:spacing w:after="0" w:line="168" w:lineRule="exact"/>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215,000,000</w:t>
            </w:r>
          </w:p>
        </w:tc>
        <w:tc>
          <w:tcPr>
            <w:tcW w:w="1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November 27, 1997</w:t>
            </w: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ind w:left="1440"/>
              <w:spacing w:after="0" w:line="168" w:lineRule="exact"/>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230,000,000</w:t>
            </w:r>
          </w:p>
        </w:tc>
        <w:tc>
          <w:tcPr>
            <w:tcW w:w="1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February 26, 1998</w:t>
            </w: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ind w:left="1440"/>
              <w:spacing w:after="0" w:line="168" w:lineRule="exact"/>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250,000,000</w:t>
            </w:r>
          </w:p>
        </w:tc>
        <w:tc>
          <w:tcPr>
            <w:tcW w:w="1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May 28, 1998</w:t>
            </w: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ind w:left="1440"/>
              <w:spacing w:after="0" w:line="168" w:lineRule="exact"/>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300,000,000</w:t>
            </w:r>
          </w:p>
        </w:tc>
        <w:tc>
          <w:tcPr>
            <w:tcW w:w="1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September 3, 1998</w:t>
            </w:r>
          </w:p>
        </w:tc>
        <w:tc>
          <w:tcPr>
            <w:tcW w:w="0" w:type="dxa"/>
            <w:vAlign w:val="bottom"/>
          </w:tcPr>
          <w:p>
            <w:pPr>
              <w:spacing w:after="0"/>
              <w:rPr>
                <w:sz w:val="1"/>
                <w:szCs w:val="1"/>
                <w:color w:val="auto"/>
              </w:rPr>
            </w:pPr>
          </w:p>
        </w:tc>
      </w:tr>
      <w:tr>
        <w:trPr>
          <w:trHeight w:val="194"/>
        </w:trPr>
        <w:tc>
          <w:tcPr>
            <w:tcW w:w="4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and thereafter</w:t>
            </w:r>
          </w:p>
        </w:tc>
        <w:tc>
          <w:tcPr>
            <w:tcW w:w="0" w:type="dxa"/>
            <w:vAlign w:val="bottom"/>
          </w:tcPr>
          <w:p>
            <w:pPr>
              <w:spacing w:after="0"/>
              <w:rPr>
                <w:sz w:val="1"/>
                <w:szCs w:val="1"/>
                <w:color w:val="auto"/>
              </w:rPr>
            </w:pPr>
          </w:p>
        </w:tc>
      </w:tr>
    </w:tbl>
    <w:p>
      <w:pPr>
        <w:ind w:left="280" w:hanging="270"/>
        <w:spacing w:after="0" w:line="237" w:lineRule="auto"/>
        <w:tabs>
          <w:tab w:leader="none" w:pos="2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7.16:  Maximum Consolidated Net Loss.</w:t>
      </w:r>
    </w:p>
    <w:p>
      <w:pPr>
        <w:ind w:left="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Net Loss for the fiscal quarter ending:</w:t>
      </w:r>
    </w:p>
    <w:p>
      <w:pPr>
        <w:sectPr>
          <w:pgSz w:w="11900" w:h="16838" w:orient="portrait"/>
          <w:cols w:equalWidth="0" w:num="1">
            <w:col w:w="10600"/>
          </w:cols>
          <w:pgMar w:left="220" w:top="934" w:right="1079" w:bottom="1440" w:gutter="0" w:footer="0" w:header="0"/>
        </w:sectPr>
      </w:pPr>
    </w:p>
    <w:p>
      <w:pPr>
        <w:spacing w:after="0" w:line="14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August 29, 1996</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greater than $25,000,000</w:t>
      </w:r>
    </w:p>
    <w:p>
      <w:pPr>
        <w:spacing w:after="0" w:line="178" w:lineRule="exact"/>
        <w:rPr>
          <w:sz w:val="20"/>
          <w:szCs w:val="20"/>
          <w:color w:val="auto"/>
        </w:rPr>
      </w:pPr>
    </w:p>
    <w:p>
      <w:pPr>
        <w:sectPr>
          <w:pgSz w:w="11900" w:h="16838" w:orient="portrait"/>
          <w:cols w:equalWidth="0" w:num="3">
            <w:col w:w="5420" w:space="720"/>
            <w:col w:w="860" w:space="440"/>
            <w:col w:w="3160"/>
          </w:cols>
          <w:pgMar w:left="220" w:top="934" w:right="1079"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November 28, 1996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Not greater than $15,000,000</w:t>
      </w:r>
    </w:p>
    <w:p>
      <w:pPr>
        <w:spacing w:after="0" w:line="178" w:lineRule="exact"/>
        <w:rPr>
          <w:sz w:val="20"/>
          <w:szCs w:val="20"/>
          <w:color w:val="auto"/>
        </w:rPr>
      </w:pPr>
    </w:p>
    <w:p>
      <w:pPr>
        <w:sectPr>
          <w:pgSz w:w="11900" w:h="16838" w:orient="portrait"/>
          <w:cols w:equalWidth="0" w:num="3">
            <w:col w:w="5420" w:space="720"/>
            <w:col w:w="860" w:space="440"/>
            <w:col w:w="3160"/>
          </w:cols>
          <w:pgMar w:left="220" w:top="934" w:right="1079"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February 27, 1997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Not greater than $5,000,000</w:t>
      </w:r>
    </w:p>
    <w:p>
      <w:pPr>
        <w:spacing w:after="0" w:line="200" w:lineRule="exact"/>
        <w:rPr>
          <w:sz w:val="20"/>
          <w:szCs w:val="20"/>
          <w:color w:val="auto"/>
        </w:rPr>
      </w:pPr>
    </w:p>
    <w:p>
      <w:pPr>
        <w:sectPr>
          <w:pgSz w:w="11900" w:h="16838" w:orient="portrait"/>
          <w:cols w:equalWidth="0" w:num="3">
            <w:col w:w="5420" w:space="720"/>
            <w:col w:w="860" w:space="440"/>
            <w:col w:w="3160"/>
          </w:cols>
          <w:pgMar w:left="220" w:top="934" w:right="1079"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To the extent deductible in determining Consolidated Net Income or</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Consolidated Net Loss.</w:t>
      </w:r>
    </w:p>
    <w:p>
      <w:pPr>
        <w:spacing w:after="0" w:line="14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D-6</w:t>
      </w:r>
    </w:p>
    <w:p>
      <w:pPr>
        <w:sectPr>
          <w:pgSz w:w="11900" w:h="16838" w:orient="portrait"/>
          <w:cols w:equalWidth="0" w:num="1">
            <w:col w:w="10600"/>
          </w:cols>
          <w:pgMar w:left="220" w:top="934" w:right="107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170"/>
        </w:trPr>
        <w:tc>
          <w:tcPr>
            <w:tcW w:w="5300" w:type="dxa"/>
            <w:vAlign w:val="bottom"/>
          </w:tcPr>
          <w:p>
            <w:pPr>
              <w:spacing w:after="0"/>
              <w:rPr>
                <w:sz w:val="14"/>
                <w:szCs w:val="14"/>
                <w:color w:val="auto"/>
              </w:rPr>
            </w:pPr>
          </w:p>
        </w:tc>
        <w:tc>
          <w:tcPr>
            <w:tcW w:w="1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Actual</w:t>
            </w:r>
          </w:p>
        </w:tc>
        <w:tc>
          <w:tcPr>
            <w:tcW w:w="3080" w:type="dxa"/>
            <w:vAlign w:val="bottom"/>
          </w:tcPr>
          <w:p>
            <w:pPr>
              <w:ind w:left="700"/>
              <w:spacing w:after="0"/>
              <w:rPr>
                <w:sz w:val="20"/>
                <w:szCs w:val="20"/>
                <w:color w:val="auto"/>
              </w:rPr>
            </w:pPr>
            <w:r>
              <w:rPr>
                <w:rFonts w:ascii="Courier New" w:cs="Courier New" w:eastAsia="Courier New" w:hAnsi="Courier New"/>
                <w:sz w:val="15"/>
                <w:szCs w:val="15"/>
                <w:color w:val="auto"/>
              </w:rPr>
              <w:t>Required/Permitted</w:t>
            </w:r>
          </w:p>
        </w:tc>
        <w:tc>
          <w:tcPr>
            <w:tcW w:w="0" w:type="dxa"/>
            <w:vAlign w:val="bottom"/>
          </w:tcPr>
          <w:p>
            <w:pPr>
              <w:spacing w:after="0"/>
              <w:rPr>
                <w:sz w:val="1"/>
                <w:szCs w:val="1"/>
                <w:color w:val="auto"/>
              </w:rPr>
            </w:pPr>
          </w:p>
        </w:tc>
      </w:tr>
      <w:tr>
        <w:trPr>
          <w:trHeight w:val="245"/>
        </w:trPr>
        <w:tc>
          <w:tcPr>
            <w:tcW w:w="5300" w:type="dxa"/>
            <w:vAlign w:val="bottom"/>
          </w:tcPr>
          <w:p>
            <w:pPr>
              <w:spacing w:after="0"/>
              <w:rPr>
                <w:sz w:val="21"/>
                <w:szCs w:val="21"/>
                <w:color w:val="auto"/>
              </w:rPr>
            </w:pPr>
          </w:p>
        </w:tc>
        <w:tc>
          <w:tcPr>
            <w:tcW w:w="1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300" w:type="dxa"/>
            <w:vAlign w:val="bottom"/>
          </w:tcPr>
          <w:p>
            <w:pPr>
              <w:spacing w:after="0"/>
              <w:rPr>
                <w:sz w:val="20"/>
                <w:szCs w:val="20"/>
                <w:color w:val="auto"/>
              </w:rPr>
            </w:pPr>
            <w:r>
              <w:rPr>
                <w:rFonts w:ascii="Courier New" w:cs="Courier New" w:eastAsia="Courier New" w:hAnsi="Courier New"/>
                <w:sz w:val="15"/>
                <w:szCs w:val="15"/>
                <w:color w:val="auto"/>
              </w:rPr>
              <w:t>6.  Section 7.01(j):  Purchase Money Liens.</w:t>
            </w:r>
          </w:p>
        </w:tc>
        <w:tc>
          <w:tcPr>
            <w:tcW w:w="196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3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300" w:type="dxa"/>
            <w:vAlign w:val="bottom"/>
          </w:tcPr>
          <w:p>
            <w:pPr>
              <w:ind w:left="360"/>
              <w:spacing w:after="0"/>
              <w:rPr>
                <w:sz w:val="20"/>
                <w:szCs w:val="20"/>
                <w:color w:val="auto"/>
              </w:rPr>
            </w:pPr>
            <w:r>
              <w:rPr>
                <w:rFonts w:ascii="Courier New" w:cs="Courier New" w:eastAsia="Courier New" w:hAnsi="Courier New"/>
                <w:sz w:val="15"/>
                <w:szCs w:val="15"/>
                <w:color w:val="auto"/>
              </w:rPr>
              <w:t>Indebtedness secured by purchase money and other</w:t>
            </w:r>
          </w:p>
        </w:tc>
        <w:tc>
          <w:tcPr>
            <w:tcW w:w="1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$__________</w:t>
            </w:r>
          </w:p>
        </w:tc>
        <w:tc>
          <w:tcPr>
            <w:tcW w:w="30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w w:val="96"/>
              </w:rPr>
              <w:t>Not to exceed 20% of consolidated</w:t>
            </w:r>
          </w:p>
        </w:tc>
        <w:tc>
          <w:tcPr>
            <w:tcW w:w="0" w:type="dxa"/>
            <w:vAlign w:val="bottom"/>
          </w:tcPr>
          <w:p>
            <w:pPr>
              <w:spacing w:after="0"/>
              <w:rPr>
                <w:sz w:val="1"/>
                <w:szCs w:val="1"/>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similar security interests  =</w:t>
            </w:r>
          </w:p>
        </w:tc>
        <w:tc>
          <w:tcPr>
            <w:tcW w:w="1960" w:type="dxa"/>
            <w:vAlign w:val="bottom"/>
            <w:vMerge w:val="continue"/>
          </w:tcPr>
          <w:p>
            <w:pPr>
              <w:spacing w:after="0"/>
              <w:rPr>
                <w:sz w:val="14"/>
                <w:szCs w:val="14"/>
                <w:color w:val="auto"/>
              </w:rPr>
            </w:pPr>
          </w:p>
        </w:tc>
        <w:tc>
          <w:tcPr>
            <w:tcW w:w="3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property, plant and</w:t>
            </w:r>
          </w:p>
        </w:tc>
        <w:tc>
          <w:tcPr>
            <w:tcW w:w="0" w:type="dxa"/>
            <w:vAlign w:val="bottom"/>
          </w:tcPr>
          <w:p>
            <w:pPr>
              <w:spacing w:after="0"/>
              <w:rPr>
                <w:sz w:val="1"/>
                <w:szCs w:val="1"/>
                <w:color w:val="auto"/>
              </w:rPr>
            </w:pPr>
          </w:p>
        </w:tc>
      </w:tr>
      <w:tr>
        <w:trPr>
          <w:trHeight w:val="245"/>
        </w:trPr>
        <w:tc>
          <w:tcPr>
            <w:tcW w:w="53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equipment = $_______________</w:t>
            </w:r>
          </w:p>
        </w:tc>
        <w:tc>
          <w:tcPr>
            <w:tcW w:w="0" w:type="dxa"/>
            <w:vAlign w:val="bottom"/>
          </w:tcPr>
          <w:p>
            <w:pPr>
              <w:spacing w:after="0"/>
              <w:rPr>
                <w:sz w:val="1"/>
                <w:szCs w:val="1"/>
                <w:color w:val="auto"/>
              </w:rPr>
            </w:pPr>
          </w:p>
        </w:tc>
      </w:tr>
      <w:tr>
        <w:trPr>
          <w:trHeight w:val="259"/>
        </w:trPr>
        <w:tc>
          <w:tcPr>
            <w:tcW w:w="5300" w:type="dxa"/>
            <w:vAlign w:val="bottom"/>
          </w:tcPr>
          <w:p>
            <w:pPr>
              <w:spacing w:after="0"/>
              <w:rPr>
                <w:sz w:val="20"/>
                <w:szCs w:val="20"/>
                <w:color w:val="auto"/>
              </w:rPr>
            </w:pPr>
            <w:r>
              <w:rPr>
                <w:rFonts w:ascii="Courier New" w:cs="Courier New" w:eastAsia="Courier New" w:hAnsi="Courier New"/>
                <w:sz w:val="15"/>
                <w:szCs w:val="15"/>
                <w:color w:val="auto"/>
              </w:rPr>
              <w:t>7.  Section 7.01(q):  Secured Swap Obligations.</w:t>
            </w:r>
          </w:p>
        </w:tc>
        <w:tc>
          <w:tcPr>
            <w:tcW w:w="196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3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300" w:type="dxa"/>
            <w:vAlign w:val="bottom"/>
          </w:tcPr>
          <w:p>
            <w:pPr>
              <w:ind w:left="360"/>
              <w:spacing w:after="0"/>
              <w:rPr>
                <w:sz w:val="20"/>
                <w:szCs w:val="20"/>
                <w:color w:val="auto"/>
              </w:rPr>
            </w:pPr>
            <w:r>
              <w:rPr>
                <w:rFonts w:ascii="Courier New" w:cs="Courier New" w:eastAsia="Courier New" w:hAnsi="Courier New"/>
                <w:sz w:val="15"/>
                <w:szCs w:val="15"/>
                <w:color w:val="auto"/>
              </w:rPr>
              <w:t>Permitted Swap Obligations secured by cash</w:t>
            </w:r>
          </w:p>
        </w:tc>
        <w:tc>
          <w:tcPr>
            <w:tcW w:w="1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$__________</w:t>
            </w:r>
          </w:p>
        </w:tc>
        <w:tc>
          <w:tcPr>
            <w:tcW w:w="30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w w:val="99"/>
              </w:rPr>
              <w:t>Not to exceed 5% of consolidated</w:t>
            </w:r>
          </w:p>
        </w:tc>
        <w:tc>
          <w:tcPr>
            <w:tcW w:w="0" w:type="dxa"/>
            <w:vAlign w:val="bottom"/>
          </w:tcPr>
          <w:p>
            <w:pPr>
              <w:spacing w:after="0"/>
              <w:rPr>
                <w:sz w:val="1"/>
                <w:szCs w:val="1"/>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collateral or government securities  =</w:t>
            </w:r>
          </w:p>
        </w:tc>
        <w:tc>
          <w:tcPr>
            <w:tcW w:w="1960" w:type="dxa"/>
            <w:vAlign w:val="bottom"/>
            <w:vMerge w:val="continue"/>
          </w:tcPr>
          <w:p>
            <w:pPr>
              <w:spacing w:after="0"/>
              <w:rPr>
                <w:sz w:val="14"/>
                <w:szCs w:val="14"/>
                <w:color w:val="auto"/>
              </w:rPr>
            </w:pPr>
          </w:p>
        </w:tc>
        <w:tc>
          <w:tcPr>
            <w:tcW w:w="3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3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w w:val="96"/>
              </w:rPr>
              <w:t>tangible fixed assets = $________</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360" w:hanging="350"/>
        <w:spacing w:after="0"/>
        <w:tabs>
          <w:tab w:leader="none" w:pos="36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7.03(c):  Disposition of Material Assets.</w:t>
      </w:r>
    </w:p>
    <w:p>
      <w:pPr>
        <w:spacing w:after="0" w:line="24"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Aggregate fair market value of all material assets</w:t>
            </w:r>
          </w:p>
        </w:tc>
        <w:tc>
          <w:tcPr>
            <w:tcW w:w="14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$__________</w:t>
            </w:r>
          </w:p>
        </w:tc>
        <w:tc>
          <w:tcPr>
            <w:tcW w:w="31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w w:val="96"/>
              </w:rPr>
              <w:t>Not to exceed 10% of consolidated</w:t>
            </w:r>
          </w:p>
        </w:tc>
        <w:tc>
          <w:tcPr>
            <w:tcW w:w="0" w:type="dxa"/>
            <w:vAlign w:val="bottom"/>
          </w:tcPr>
          <w:p>
            <w:pPr>
              <w:spacing w:after="0"/>
              <w:rPr>
                <w:sz w:val="1"/>
                <w:szCs w:val="1"/>
                <w:color w:val="auto"/>
              </w:rPr>
            </w:pP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sold outside of ordinary course of business</w:t>
            </w:r>
          </w:p>
        </w:tc>
        <w:tc>
          <w:tcPr>
            <w:tcW w:w="1480" w:type="dxa"/>
            <w:vAlign w:val="bottom"/>
          </w:tcPr>
          <w:p>
            <w:pPr>
              <w:jc w:val="right"/>
              <w:ind w:right="1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vMerge w:val="continue"/>
          </w:tcPr>
          <w:p>
            <w:pPr>
              <w:spacing w:after="0"/>
              <w:rPr>
                <w:sz w:val="14"/>
                <w:szCs w:val="14"/>
                <w:color w:val="auto"/>
              </w:rPr>
            </w:pPr>
          </w:p>
        </w:tc>
        <w:tc>
          <w:tcPr>
            <w:tcW w:w="3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120" w:type="dxa"/>
            <w:vAlign w:val="bottom"/>
          </w:tcPr>
          <w:p>
            <w:pPr>
              <w:ind w:left="220"/>
              <w:spacing w:after="0"/>
              <w:rPr>
                <w:sz w:val="20"/>
                <w:szCs w:val="20"/>
                <w:color w:val="auto"/>
              </w:rPr>
            </w:pPr>
            <w:r>
              <w:rPr>
                <w:rFonts w:ascii="Courier New" w:cs="Courier New" w:eastAsia="Courier New" w:hAnsi="Courier New"/>
                <w:sz w:val="15"/>
                <w:szCs w:val="15"/>
                <w:color w:val="auto"/>
              </w:rPr>
              <w:t>tangible assets = $_________</w:t>
            </w:r>
          </w:p>
        </w:tc>
        <w:tc>
          <w:tcPr>
            <w:tcW w:w="0" w:type="dxa"/>
            <w:vAlign w:val="bottom"/>
          </w:tcPr>
          <w:p>
            <w:pPr>
              <w:spacing w:after="0"/>
              <w:rPr>
                <w:sz w:val="1"/>
                <w:szCs w:val="1"/>
                <w:color w:val="auto"/>
              </w:rPr>
            </w:pPr>
          </w:p>
        </w:tc>
      </w:tr>
      <w:tr>
        <w:trPr>
          <w:trHeight w:val="259"/>
        </w:trPr>
        <w:tc>
          <w:tcPr>
            <w:tcW w:w="4260" w:type="dxa"/>
            <w:vAlign w:val="bottom"/>
          </w:tcPr>
          <w:p>
            <w:pPr>
              <w:spacing w:after="0"/>
              <w:rPr>
                <w:sz w:val="20"/>
                <w:szCs w:val="20"/>
                <w:color w:val="auto"/>
              </w:rPr>
            </w:pPr>
            <w:r>
              <w:rPr>
                <w:rFonts w:ascii="Courier New" w:cs="Courier New" w:eastAsia="Courier New" w:hAnsi="Courier New"/>
                <w:sz w:val="15"/>
                <w:szCs w:val="15"/>
                <w:color w:val="auto"/>
              </w:rPr>
              <w:t>9.  Section 7.05(c):  Affiliate Investments.</w:t>
            </w:r>
          </w:p>
        </w:tc>
        <w:tc>
          <w:tcPr>
            <w:tcW w:w="14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2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4260" w:type="dxa"/>
            <w:vAlign w:val="bottom"/>
          </w:tcPr>
          <w:p>
            <w:pPr>
              <w:ind w:left="360"/>
              <w:spacing w:after="0"/>
              <w:rPr>
                <w:sz w:val="20"/>
                <w:szCs w:val="20"/>
                <w:color w:val="auto"/>
              </w:rPr>
            </w:pPr>
            <w:r>
              <w:rPr>
                <w:rFonts w:ascii="Courier New" w:cs="Courier New" w:eastAsia="Courier New" w:hAnsi="Courier New"/>
                <w:sz w:val="15"/>
                <w:szCs w:val="15"/>
                <w:color w:val="auto"/>
                <w:w w:val="97"/>
              </w:rPr>
              <w:t>Investment to or in Micron Electronics, Inc.</w:t>
            </w:r>
          </w:p>
        </w:tc>
        <w:tc>
          <w:tcPr>
            <w:tcW w:w="1480" w:type="dxa"/>
            <w:vAlign w:val="bottom"/>
          </w:tcPr>
          <w:p>
            <w:pPr>
              <w:jc w:val="right"/>
              <w:ind w:right="118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$__________</w:t>
            </w:r>
          </w:p>
        </w:tc>
        <w:tc>
          <w:tcPr>
            <w:tcW w:w="3120" w:type="dxa"/>
            <w:vAlign w:val="bottom"/>
          </w:tcPr>
          <w:p>
            <w:pPr>
              <w:ind w:left="220"/>
              <w:spacing w:after="0"/>
              <w:rPr>
                <w:sz w:val="20"/>
                <w:szCs w:val="20"/>
                <w:color w:val="auto"/>
              </w:rPr>
            </w:pPr>
            <w:r>
              <w:rPr>
                <w:rFonts w:ascii="Courier New" w:cs="Courier New" w:eastAsia="Courier New" w:hAnsi="Courier New"/>
                <w:sz w:val="15"/>
                <w:szCs w:val="15"/>
                <w:color w:val="auto"/>
              </w:rPr>
              <w:t>Not to exceed $100,000,000</w:t>
            </w:r>
          </w:p>
        </w:tc>
        <w:tc>
          <w:tcPr>
            <w:tcW w:w="0" w:type="dxa"/>
            <w:vAlign w:val="bottom"/>
          </w:tcPr>
          <w:p>
            <w:pPr>
              <w:spacing w:after="0"/>
              <w:rPr>
                <w:sz w:val="1"/>
                <w:szCs w:val="1"/>
                <w:color w:val="auto"/>
              </w:rPr>
            </w:pPr>
          </w:p>
        </w:tc>
      </w:tr>
      <w:tr>
        <w:trPr>
          <w:trHeight w:val="259"/>
        </w:trPr>
        <w:tc>
          <w:tcPr>
            <w:tcW w:w="57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Investments to or in any other non-Wholly-Owned Subsidiary</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$__________</w:t>
            </w:r>
          </w:p>
        </w:tc>
        <w:tc>
          <w:tcPr>
            <w:tcW w:w="3120" w:type="dxa"/>
            <w:vAlign w:val="bottom"/>
          </w:tcPr>
          <w:p>
            <w:pPr>
              <w:ind w:left="220"/>
              <w:spacing w:after="0"/>
              <w:rPr>
                <w:sz w:val="20"/>
                <w:szCs w:val="20"/>
                <w:color w:val="auto"/>
              </w:rPr>
            </w:pPr>
            <w:r>
              <w:rPr>
                <w:rFonts w:ascii="Courier New" w:cs="Courier New" w:eastAsia="Courier New" w:hAnsi="Courier New"/>
                <w:sz w:val="15"/>
                <w:szCs w:val="15"/>
                <w:color w:val="auto"/>
                <w:w w:val="99"/>
              </w:rPr>
              <w:t>Not to exceed 5% of Consolidated</w:t>
            </w:r>
          </w:p>
        </w:tc>
        <w:tc>
          <w:tcPr>
            <w:tcW w:w="0" w:type="dxa"/>
            <w:vAlign w:val="bottom"/>
          </w:tcPr>
          <w:p>
            <w:pPr>
              <w:spacing w:after="0"/>
              <w:rPr>
                <w:sz w:val="1"/>
                <w:szCs w:val="1"/>
                <w:color w:val="auto"/>
              </w:rPr>
            </w:pPr>
          </w:p>
        </w:tc>
      </w:tr>
      <w:tr>
        <w:trPr>
          <w:trHeight w:val="245"/>
        </w:trPr>
        <w:tc>
          <w:tcPr>
            <w:tcW w:w="4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120" w:type="dxa"/>
            <w:vAlign w:val="bottom"/>
          </w:tcPr>
          <w:p>
            <w:pPr>
              <w:ind w:left="220"/>
              <w:spacing w:after="0"/>
              <w:rPr>
                <w:sz w:val="20"/>
                <w:szCs w:val="20"/>
                <w:color w:val="auto"/>
              </w:rPr>
            </w:pPr>
            <w:r>
              <w:rPr>
                <w:rFonts w:ascii="Courier New" w:cs="Courier New" w:eastAsia="Courier New" w:hAnsi="Courier New"/>
                <w:sz w:val="15"/>
                <w:szCs w:val="15"/>
                <w:color w:val="auto"/>
                <w:w w:val="99"/>
              </w:rPr>
              <w:t>Tangible Net Worth = $__________</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60" w:hanging="350"/>
        <w:spacing w:after="0"/>
        <w:tabs>
          <w:tab w:leader="none" w:pos="36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7.05(e):  Acquisitions or Minority Investments.</w:t>
      </w:r>
    </w:p>
    <w:p>
      <w:pPr>
        <w:spacing w:after="0" w:line="24"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consideration (including assumption of debt) or</w:t>
      </w:r>
    </w:p>
    <w:tbl>
      <w:tblPr>
        <w:tblLayout w:type="fixed"/>
        <w:tblInd w:w="0" w:type="dxa"/>
        <w:tblCellMar>
          <w:top w:w="0" w:type="dxa"/>
          <w:left w:w="0" w:type="dxa"/>
          <w:bottom w:w="0" w:type="dxa"/>
          <w:right w:w="0" w:type="dxa"/>
        </w:tblCellMar>
      </w:tblPr>
      <w:tr>
        <w:trPr>
          <w:trHeight w:val="166"/>
        </w:trPr>
        <w:tc>
          <w:tcPr>
            <w:tcW w:w="2240" w:type="dxa"/>
            <w:vAlign w:val="bottom"/>
          </w:tcPr>
          <w:p>
            <w:pPr>
              <w:ind w:left="360"/>
              <w:spacing w:after="0" w:line="167" w:lineRule="exact"/>
              <w:rPr>
                <w:sz w:val="20"/>
                <w:szCs w:val="20"/>
                <w:color w:val="auto"/>
              </w:rPr>
            </w:pPr>
            <w:r>
              <w:rPr>
                <w:rFonts w:ascii="Courier New" w:cs="Courier New" w:eastAsia="Courier New" w:hAnsi="Courier New"/>
                <w:sz w:val="15"/>
                <w:szCs w:val="15"/>
                <w:color w:val="auto"/>
                <w:w w:val="98"/>
              </w:rPr>
              <w:t>assets contributed in</w:t>
            </w:r>
          </w:p>
        </w:tc>
        <w:tc>
          <w:tcPr>
            <w:tcW w:w="3460" w:type="dxa"/>
            <w:vAlign w:val="bottom"/>
          </w:tcPr>
          <w:p>
            <w:pPr>
              <w:ind w:left="40"/>
              <w:spacing w:after="0" w:line="167" w:lineRule="exact"/>
              <w:rPr>
                <w:sz w:val="20"/>
                <w:szCs w:val="20"/>
                <w:color w:val="auto"/>
              </w:rPr>
            </w:pPr>
            <w:r>
              <w:rPr>
                <w:rFonts w:ascii="Courier New" w:cs="Courier New" w:eastAsia="Courier New" w:hAnsi="Courier New"/>
                <w:sz w:val="15"/>
                <w:szCs w:val="15"/>
                <w:color w:val="auto"/>
              </w:rPr>
              <w:t>order to consummate Acquisitions or</w:t>
            </w:r>
          </w:p>
        </w:tc>
        <w:tc>
          <w:tcPr>
            <w:tcW w:w="15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$__________</w:t>
            </w:r>
          </w:p>
        </w:tc>
        <w:tc>
          <w:tcPr>
            <w:tcW w:w="31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w w:val="96"/>
              </w:rPr>
              <w:t>Not to exceed 25% of consolidated</w:t>
            </w:r>
          </w:p>
        </w:tc>
        <w:tc>
          <w:tcPr>
            <w:tcW w:w="0" w:type="dxa"/>
            <w:vAlign w:val="bottom"/>
          </w:tcPr>
          <w:p>
            <w:pPr>
              <w:spacing w:after="0"/>
              <w:rPr>
                <w:sz w:val="1"/>
                <w:szCs w:val="1"/>
                <w:color w:val="auto"/>
              </w:rPr>
            </w:pPr>
          </w:p>
        </w:tc>
      </w:tr>
      <w:tr>
        <w:trPr>
          <w:trHeight w:val="168"/>
        </w:trPr>
        <w:tc>
          <w:tcPr>
            <w:tcW w:w="2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minority Investments</w:t>
            </w:r>
          </w:p>
        </w:tc>
        <w:tc>
          <w:tcPr>
            <w:tcW w:w="3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vMerge w:val="continue"/>
          </w:tcPr>
          <w:p>
            <w:pPr>
              <w:spacing w:after="0"/>
              <w:rPr>
                <w:sz w:val="14"/>
                <w:szCs w:val="14"/>
                <w:color w:val="auto"/>
              </w:rPr>
            </w:pPr>
          </w:p>
        </w:tc>
        <w:tc>
          <w:tcPr>
            <w:tcW w:w="3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24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120" w:type="dxa"/>
            <w:vAlign w:val="bottom"/>
          </w:tcPr>
          <w:p>
            <w:pPr>
              <w:ind w:left="220"/>
              <w:spacing w:after="0"/>
              <w:rPr>
                <w:sz w:val="20"/>
                <w:szCs w:val="20"/>
                <w:color w:val="auto"/>
              </w:rPr>
            </w:pPr>
            <w:r>
              <w:rPr>
                <w:rFonts w:ascii="Courier New" w:cs="Courier New" w:eastAsia="Courier New" w:hAnsi="Courier New"/>
                <w:sz w:val="15"/>
                <w:szCs w:val="15"/>
                <w:color w:val="auto"/>
              </w:rPr>
              <w:t>tangible assets = $__________</w:t>
            </w:r>
          </w:p>
        </w:tc>
        <w:tc>
          <w:tcPr>
            <w:tcW w:w="0" w:type="dxa"/>
            <w:vAlign w:val="bottom"/>
          </w:tcPr>
          <w:p>
            <w:pPr>
              <w:spacing w:after="0"/>
              <w:rPr>
                <w:sz w:val="1"/>
                <w:szCs w:val="1"/>
                <w:color w:val="auto"/>
              </w:rPr>
            </w:pPr>
          </w:p>
        </w:tc>
      </w:tr>
      <w:tr>
        <w:trPr>
          <w:trHeight w:val="259"/>
        </w:trPr>
        <w:tc>
          <w:tcPr>
            <w:tcW w:w="5700" w:type="dxa"/>
            <w:vAlign w:val="bottom"/>
            <w:gridSpan w:val="2"/>
          </w:tcPr>
          <w:p>
            <w:pPr>
              <w:spacing w:after="0"/>
              <w:rPr>
                <w:sz w:val="20"/>
                <w:szCs w:val="20"/>
                <w:color w:val="auto"/>
              </w:rPr>
            </w:pPr>
            <w:r>
              <w:rPr>
                <w:rFonts w:ascii="Courier New" w:cs="Courier New" w:eastAsia="Courier New" w:hAnsi="Courier New"/>
                <w:sz w:val="15"/>
                <w:szCs w:val="15"/>
                <w:color w:val="auto"/>
              </w:rPr>
              <w:t>11. Section 7.05(l):  Other Investments.</w:t>
            </w:r>
          </w:p>
        </w:tc>
        <w:tc>
          <w:tcPr>
            <w:tcW w:w="15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7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7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Investments not otherwise permitted by Section 7.05  =</w:t>
            </w:r>
          </w:p>
        </w:tc>
        <w:tc>
          <w:tcPr>
            <w:tcW w:w="1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$__________</w:t>
            </w:r>
          </w:p>
        </w:tc>
        <w:tc>
          <w:tcPr>
            <w:tcW w:w="3120" w:type="dxa"/>
            <w:vAlign w:val="bottom"/>
          </w:tcPr>
          <w:p>
            <w:pPr>
              <w:ind w:left="220"/>
              <w:spacing w:after="0"/>
              <w:rPr>
                <w:sz w:val="20"/>
                <w:szCs w:val="20"/>
                <w:color w:val="auto"/>
              </w:rPr>
            </w:pPr>
            <w:r>
              <w:rPr>
                <w:rFonts w:ascii="Courier New" w:cs="Courier New" w:eastAsia="Courier New" w:hAnsi="Courier New"/>
                <w:sz w:val="15"/>
                <w:szCs w:val="15"/>
                <w:color w:val="auto"/>
                <w:w w:val="99"/>
              </w:rPr>
              <w:t>Not to exceed 2% of consolidated</w:t>
            </w:r>
          </w:p>
        </w:tc>
        <w:tc>
          <w:tcPr>
            <w:tcW w:w="0" w:type="dxa"/>
            <w:vAlign w:val="bottom"/>
          </w:tcPr>
          <w:p>
            <w:pPr>
              <w:spacing w:after="0"/>
              <w:rPr>
                <w:sz w:val="1"/>
                <w:szCs w:val="1"/>
                <w:color w:val="auto"/>
              </w:rPr>
            </w:pPr>
          </w:p>
        </w:tc>
      </w:tr>
      <w:tr>
        <w:trPr>
          <w:trHeight w:val="245"/>
        </w:trPr>
        <w:tc>
          <w:tcPr>
            <w:tcW w:w="224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120" w:type="dxa"/>
            <w:vAlign w:val="bottom"/>
          </w:tcPr>
          <w:p>
            <w:pPr>
              <w:ind w:left="220"/>
              <w:spacing w:after="0"/>
              <w:rPr>
                <w:sz w:val="20"/>
                <w:szCs w:val="20"/>
                <w:color w:val="auto"/>
              </w:rPr>
            </w:pPr>
            <w:r>
              <w:rPr>
                <w:rFonts w:ascii="Courier New" w:cs="Courier New" w:eastAsia="Courier New" w:hAnsi="Courier New"/>
                <w:sz w:val="15"/>
                <w:szCs w:val="15"/>
                <w:color w:val="auto"/>
              </w:rPr>
              <w:t>tangible assets = $__________</w:t>
            </w:r>
          </w:p>
        </w:tc>
        <w:tc>
          <w:tcPr>
            <w:tcW w:w="0" w:type="dxa"/>
            <w:vAlign w:val="bottom"/>
          </w:tcPr>
          <w:p>
            <w:pPr>
              <w:spacing w:after="0"/>
              <w:rPr>
                <w:sz w:val="1"/>
                <w:szCs w:val="1"/>
                <w:color w:val="auto"/>
              </w:rPr>
            </w:pPr>
          </w:p>
        </w:tc>
      </w:tr>
      <w:tr>
        <w:trPr>
          <w:trHeight w:val="259"/>
        </w:trPr>
        <w:tc>
          <w:tcPr>
            <w:tcW w:w="5700" w:type="dxa"/>
            <w:vAlign w:val="bottom"/>
            <w:gridSpan w:val="2"/>
          </w:tcPr>
          <w:p>
            <w:pPr>
              <w:spacing w:after="0"/>
              <w:rPr>
                <w:sz w:val="20"/>
                <w:szCs w:val="20"/>
                <w:color w:val="auto"/>
              </w:rPr>
            </w:pPr>
            <w:r>
              <w:rPr>
                <w:rFonts w:ascii="Courier New" w:cs="Courier New" w:eastAsia="Courier New" w:hAnsi="Courier New"/>
                <w:sz w:val="15"/>
                <w:szCs w:val="15"/>
                <w:color w:val="auto"/>
              </w:rPr>
              <w:t>12. Section 7.06(h):  Third-Party Indebtedness.</w:t>
            </w:r>
          </w:p>
        </w:tc>
        <w:tc>
          <w:tcPr>
            <w:tcW w:w="15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7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7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Indebtedness incurred by Subsidiaries from Persons other</w:t>
            </w:r>
          </w:p>
        </w:tc>
        <w:tc>
          <w:tcPr>
            <w:tcW w:w="15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7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than the Company or another Subsidiary (excluding</w:t>
            </w:r>
          </w:p>
        </w:tc>
        <w:tc>
          <w:tcPr>
            <w:tcW w:w="15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$__________</w:t>
            </w:r>
          </w:p>
        </w:tc>
        <w:tc>
          <w:tcPr>
            <w:tcW w:w="31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Not to exceed $100,000,000</w:t>
            </w:r>
          </w:p>
        </w:tc>
        <w:tc>
          <w:tcPr>
            <w:tcW w:w="0" w:type="dxa"/>
            <w:vAlign w:val="bottom"/>
          </w:tcPr>
          <w:p>
            <w:pPr>
              <w:spacing w:after="0"/>
              <w:rPr>
                <w:sz w:val="1"/>
                <w:szCs w:val="1"/>
                <w:color w:val="auto"/>
              </w:rPr>
            </w:pPr>
          </w:p>
        </w:tc>
      </w:tr>
      <w:tr>
        <w:trPr>
          <w:trHeight w:val="245"/>
        </w:trPr>
        <w:tc>
          <w:tcPr>
            <w:tcW w:w="57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Indebtedness permitted under subsection 7.06(d))  =</w:t>
            </w:r>
          </w:p>
        </w:tc>
        <w:tc>
          <w:tcPr>
            <w:tcW w:w="1520" w:type="dxa"/>
            <w:vAlign w:val="bottom"/>
            <w:vMerge w:val="continue"/>
          </w:tcPr>
          <w:p>
            <w:pPr>
              <w:spacing w:after="0"/>
              <w:rPr>
                <w:sz w:val="21"/>
                <w:szCs w:val="21"/>
                <w:color w:val="auto"/>
              </w:rPr>
            </w:pPr>
          </w:p>
        </w:tc>
        <w:tc>
          <w:tcPr>
            <w:tcW w:w="3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jc w:val="right"/>
        <w:ind w:right="3340"/>
        <w:spacing w:after="0"/>
        <w:rPr>
          <w:sz w:val="20"/>
          <w:szCs w:val="20"/>
          <w:color w:val="auto"/>
        </w:rPr>
      </w:pPr>
      <w:r>
        <w:rPr>
          <w:rFonts w:ascii="Courier New" w:cs="Courier New" w:eastAsia="Courier New" w:hAnsi="Courier New"/>
          <w:sz w:val="15"/>
          <w:szCs w:val="15"/>
          <w:color w:val="auto"/>
        </w:rPr>
        <w:t>Pages D-7 and D-8 to be furnished (1) as of</w:t>
      </w:r>
    </w:p>
    <w:p>
      <w:pPr>
        <w:spacing w:after="0" w:line="23" w:lineRule="exact"/>
        <w:rPr>
          <w:sz w:val="20"/>
          <w:szCs w:val="20"/>
          <w:color w:val="auto"/>
        </w:rPr>
      </w:pPr>
    </w:p>
    <w:p>
      <w:pPr>
        <w:jc w:val="right"/>
        <w:ind w:right="3340"/>
        <w:spacing w:after="0"/>
        <w:rPr>
          <w:sz w:val="20"/>
          <w:szCs w:val="20"/>
          <w:color w:val="auto"/>
        </w:rPr>
      </w:pPr>
      <w:r>
        <w:rPr>
          <w:rFonts w:ascii="Courier New" w:cs="Courier New" w:eastAsia="Courier New" w:hAnsi="Courier New"/>
          <w:sz w:val="15"/>
          <w:szCs w:val="15"/>
          <w:color w:val="auto"/>
        </w:rPr>
        <w:t>the end of each fiscal year and (2) as and</w:t>
      </w:r>
    </w:p>
    <w:p>
      <w:pPr>
        <w:jc w:val="right"/>
        <w:ind w:right="3340"/>
        <w:spacing w:after="0"/>
        <w:rPr>
          <w:sz w:val="20"/>
          <w:szCs w:val="20"/>
          <w:color w:val="auto"/>
        </w:rPr>
      </w:pPr>
      <w:r>
        <w:rPr>
          <w:rFonts w:ascii="Courier New" w:cs="Courier New" w:eastAsia="Courier New" w:hAnsi="Courier New"/>
          <w:sz w:val="15"/>
          <w:szCs w:val="15"/>
          <w:color w:val="auto"/>
        </w:rPr>
        <w:t>when requested by Agent or Majority Banks</w:t>
      </w:r>
    </w:p>
    <w:p>
      <w:pPr>
        <w:spacing w:after="0" w:line="1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D-7</w:t>
      </w:r>
    </w:p>
    <w:p>
      <w:pPr>
        <w:sectPr>
          <w:pgSz w:w="11900" w:h="16838" w:orient="portrait"/>
          <w:cols w:equalWidth="0" w:num="1">
            <w:col w:w="10340"/>
          </w:cols>
          <w:pgMar w:left="220" w:top="932" w:right="1339" w:bottom="1440" w:gutter="0" w:footer="0" w:header="0"/>
        </w:sectPr>
      </w:pPr>
    </w:p>
    <w:bookmarkStart w:id="100" w:name="page101"/>
    <w:bookmarkEnd w:id="100"/>
    <w:p>
      <w:pPr>
        <w:ind w:left="6400"/>
        <w:spacing w:after="0"/>
        <w:tabs>
          <w:tab w:leader="none" w:pos="7940" w:val="left"/>
        </w:tabs>
        <w:rPr>
          <w:sz w:val="20"/>
          <w:szCs w:val="20"/>
          <w:color w:val="auto"/>
        </w:rPr>
      </w:pPr>
      <w:r>
        <w:rPr>
          <w:rFonts w:ascii="Courier New" w:cs="Courier New" w:eastAsia="Courier New" w:hAnsi="Courier New"/>
          <w:sz w:val="15"/>
          <w:szCs w:val="15"/>
          <w:color w:val="auto"/>
        </w:rPr>
        <w:t>Actual</w:t>
      </w:r>
      <w:r>
        <w:rPr>
          <w:sz w:val="20"/>
          <w:szCs w:val="20"/>
          <w:color w:val="auto"/>
        </w:rPr>
        <w:tab/>
      </w:r>
      <w:r>
        <w:rPr>
          <w:rFonts w:ascii="Courier New" w:cs="Courier New" w:eastAsia="Courier New" w:hAnsi="Courier New"/>
          <w:sz w:val="15"/>
          <w:szCs w:val="15"/>
          <w:color w:val="auto"/>
        </w:rPr>
        <w:t>Required/Permitted</w:t>
      </w:r>
    </w:p>
    <w:p>
      <w:pPr>
        <w:spacing w:after="0" w:line="24" w:lineRule="exact"/>
        <w:rPr>
          <w:sz w:val="20"/>
          <w:szCs w:val="20"/>
          <w:color w:val="auto"/>
        </w:rPr>
      </w:pPr>
    </w:p>
    <w:p>
      <w:pPr>
        <w:ind w:left="6140"/>
        <w:spacing w:after="0"/>
        <w:tabs>
          <w:tab w:leader="none" w:pos="7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40" w:lineRule="exact"/>
        <w:rPr>
          <w:sz w:val="20"/>
          <w:szCs w:val="20"/>
          <w:color w:val="auto"/>
        </w:rPr>
      </w:pPr>
    </w:p>
    <w:p>
      <w:pPr>
        <w:ind w:left="360" w:hanging="350"/>
        <w:spacing w:after="0"/>
        <w:tabs>
          <w:tab w:leader="none" w:pos="36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7.06(j):  Subordinated Debt/Senior Unsecured Debt.</w:t>
      </w:r>
    </w:p>
    <w:p>
      <w:pPr>
        <w:spacing w:after="0" w:line="24" w:lineRule="exact"/>
        <w:rPr>
          <w:rFonts w:ascii="Courier New" w:cs="Courier New" w:eastAsia="Courier New" w:hAnsi="Courier New"/>
          <w:sz w:val="15"/>
          <w:szCs w:val="15"/>
          <w:color w:val="auto"/>
        </w:rPr>
      </w:pP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tbl>
      <w:tblPr>
        <w:tblLayout w:type="fixed"/>
        <w:tblInd w:w="360" w:type="dxa"/>
        <w:tblCellMar>
          <w:top w:w="0" w:type="dxa"/>
          <w:left w:w="0" w:type="dxa"/>
          <w:bottom w:w="0" w:type="dxa"/>
          <w:right w:w="0" w:type="dxa"/>
        </w:tblCellMar>
      </w:tblPr>
      <w:tr>
        <w:trPr>
          <w:trHeight w:val="245"/>
        </w:trPr>
        <w:tc>
          <w:tcPr>
            <w:tcW w:w="400" w:type="dxa"/>
            <w:vAlign w:val="bottom"/>
          </w:tcPr>
          <w:p>
            <w:pPr>
              <w:spacing w:after="0"/>
              <w:rPr>
                <w:sz w:val="20"/>
                <w:szCs w:val="20"/>
                <w:color w:val="auto"/>
              </w:rPr>
            </w:pPr>
            <w:r>
              <w:rPr>
                <w:rFonts w:ascii="Courier New" w:cs="Courier New" w:eastAsia="Courier New" w:hAnsi="Courier New"/>
                <w:sz w:val="15"/>
                <w:szCs w:val="15"/>
                <w:color w:val="auto"/>
              </w:rPr>
              <w:t>(i)</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Subordinated Debt  =</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707"/>
              <w:spacing w:after="0"/>
              <w:rPr>
                <w:sz w:val="20"/>
                <w:szCs w:val="20"/>
                <w:color w:val="auto"/>
              </w:rPr>
            </w:pPr>
            <w:r>
              <w:rPr>
                <w:rFonts w:ascii="Courier New" w:cs="Courier New" w:eastAsia="Courier New" w:hAnsi="Courier New"/>
                <w:sz w:val="15"/>
                <w:szCs w:val="15"/>
                <w:color w:val="auto"/>
                <w:w w:val="95"/>
              </w:rPr>
              <w:t>__________</w:t>
            </w: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400" w:type="dxa"/>
            <w:vAlign w:val="bottom"/>
          </w:tcPr>
          <w:p>
            <w:pPr>
              <w:spacing w:after="0"/>
              <w:rPr>
                <w:sz w:val="24"/>
                <w:szCs w:val="24"/>
                <w:color w:val="auto"/>
              </w:rPr>
            </w:pPr>
          </w:p>
        </w:tc>
        <w:tc>
          <w:tcPr>
            <w:tcW w:w="3800" w:type="dxa"/>
            <w:vAlign w:val="bottom"/>
          </w:tcPr>
          <w:p>
            <w:pPr>
              <w:ind w:left="1520"/>
              <w:spacing w:after="0"/>
              <w:rPr>
                <w:sz w:val="20"/>
                <w:szCs w:val="20"/>
                <w:color w:val="auto"/>
              </w:rPr>
            </w:pPr>
            <w:r>
              <w:rPr>
                <w:rFonts w:ascii="Courier New" w:cs="Courier New" w:eastAsia="Courier New" w:hAnsi="Courier New"/>
                <w:sz w:val="15"/>
                <w:szCs w:val="15"/>
                <w:color w:val="auto"/>
              </w:rPr>
              <w:t>plus</w:t>
            </w: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00" w:type="dxa"/>
            <w:vAlign w:val="bottom"/>
          </w:tcPr>
          <w:p>
            <w:pPr>
              <w:spacing w:after="0"/>
              <w:rPr>
                <w:sz w:val="20"/>
                <w:szCs w:val="20"/>
                <w:color w:val="auto"/>
              </w:rPr>
            </w:pPr>
            <w:r>
              <w:rPr>
                <w:rFonts w:ascii="Courier New" w:cs="Courier New" w:eastAsia="Courier New" w:hAnsi="Courier New"/>
                <w:sz w:val="15"/>
                <w:szCs w:val="15"/>
                <w:color w:val="auto"/>
              </w:rPr>
              <w:t>(ii)</w:t>
            </w:r>
          </w:p>
        </w:tc>
        <w:tc>
          <w:tcPr>
            <w:tcW w:w="3800" w:type="dxa"/>
            <w:vAlign w:val="bottom"/>
          </w:tcPr>
          <w:p>
            <w:pPr>
              <w:ind w:left="120"/>
              <w:spacing w:after="0"/>
              <w:rPr>
                <w:sz w:val="20"/>
                <w:szCs w:val="20"/>
                <w:color w:val="auto"/>
              </w:rPr>
            </w:pPr>
            <w:r>
              <w:rPr>
                <w:rFonts w:ascii="Courier New" w:cs="Courier New" w:eastAsia="Courier New" w:hAnsi="Courier New"/>
                <w:sz w:val="15"/>
                <w:szCs w:val="15"/>
                <w:color w:val="auto"/>
              </w:rPr>
              <w:t>Senior Unsecured Debt  =</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707"/>
              <w:spacing w:after="0"/>
              <w:rPr>
                <w:sz w:val="20"/>
                <w:szCs w:val="20"/>
                <w:color w:val="auto"/>
              </w:rPr>
            </w:pPr>
            <w:r>
              <w:rPr>
                <w:rFonts w:ascii="Courier New" w:cs="Courier New" w:eastAsia="Courier New" w:hAnsi="Courier New"/>
                <w:sz w:val="15"/>
                <w:szCs w:val="15"/>
                <w:color w:val="auto"/>
                <w:w w:val="95"/>
              </w:rPr>
              <w:t>__________</w:t>
            </w:r>
          </w:p>
        </w:tc>
        <w:tc>
          <w:tcPr>
            <w:tcW w:w="3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00" w:type="dxa"/>
            <w:vAlign w:val="bottom"/>
          </w:tcPr>
          <w:p>
            <w:pPr>
              <w:spacing w:after="0"/>
              <w:rPr>
                <w:sz w:val="14"/>
                <w:szCs w:val="14"/>
                <w:color w:val="auto"/>
              </w:rPr>
            </w:pPr>
          </w:p>
        </w:tc>
        <w:tc>
          <w:tcPr>
            <w:tcW w:w="38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(i) + (ii)  =</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720" w:type="dxa"/>
            <w:vAlign w:val="bottom"/>
            <w:gridSpan w:val="2"/>
          </w:tcPr>
          <w:p>
            <w:pPr>
              <w:ind w:left="1320"/>
              <w:spacing w:after="0" w:line="168" w:lineRule="exact"/>
              <w:rPr>
                <w:sz w:val="20"/>
                <w:szCs w:val="20"/>
                <w:color w:val="auto"/>
              </w:rPr>
            </w:pPr>
            <w:r>
              <w:rPr>
                <w:rFonts w:ascii="Courier New" w:cs="Courier New" w:eastAsia="Courier New" w:hAnsi="Courier New"/>
                <w:sz w:val="15"/>
                <w:szCs w:val="15"/>
                <w:color w:val="auto"/>
              </w:rPr>
              <w:t>Not to exceed the greater of:</w:t>
            </w:r>
          </w:p>
        </w:tc>
        <w:tc>
          <w:tcPr>
            <w:tcW w:w="0" w:type="dxa"/>
            <w:vAlign w:val="bottom"/>
          </w:tcPr>
          <w:p>
            <w:pPr>
              <w:spacing w:after="0"/>
              <w:rPr>
                <w:sz w:val="1"/>
                <w:szCs w:val="1"/>
                <w:color w:val="auto"/>
              </w:rPr>
            </w:pPr>
          </w:p>
        </w:tc>
      </w:tr>
      <w:tr>
        <w:trPr>
          <w:trHeight w:val="168"/>
        </w:trPr>
        <w:tc>
          <w:tcPr>
            <w:tcW w:w="4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5"/>
              </w:rPr>
              <w:t>==========</w:t>
            </w:r>
          </w:p>
        </w:tc>
        <w:tc>
          <w:tcPr>
            <w:tcW w:w="30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$150,000,000</w:t>
            </w:r>
          </w:p>
        </w:tc>
        <w:tc>
          <w:tcPr>
            <w:tcW w:w="0" w:type="dxa"/>
            <w:vAlign w:val="bottom"/>
          </w:tcPr>
          <w:p>
            <w:pPr>
              <w:spacing w:after="0"/>
              <w:rPr>
                <w:sz w:val="1"/>
                <w:szCs w:val="1"/>
                <w:color w:val="auto"/>
              </w:rPr>
            </w:pPr>
          </w:p>
        </w:tc>
      </w:tr>
      <w:tr>
        <w:trPr>
          <w:trHeight w:val="168"/>
        </w:trPr>
        <w:tc>
          <w:tcPr>
            <w:tcW w:w="4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(a)</w:t>
            </w:r>
          </w:p>
        </w:tc>
        <w:tc>
          <w:tcPr>
            <w:tcW w:w="3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vMerge w:val="restart"/>
          </w:tcPr>
          <w:p>
            <w:pPr>
              <w:ind w:left="1320"/>
              <w:spacing w:after="0"/>
              <w:rPr>
                <w:sz w:val="20"/>
                <w:szCs w:val="20"/>
                <w:color w:val="auto"/>
              </w:rPr>
            </w:pPr>
            <w:r>
              <w:rPr>
                <w:rFonts w:ascii="Courier New" w:cs="Courier New" w:eastAsia="Courier New" w:hAnsi="Courier New"/>
                <w:sz w:val="15"/>
                <w:szCs w:val="15"/>
                <w:color w:val="auto"/>
              </w:rPr>
              <w:t>(b)</w:t>
            </w:r>
          </w:p>
        </w:tc>
        <w:tc>
          <w:tcPr>
            <w:tcW w:w="3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w:t>
            </w:r>
          </w:p>
        </w:tc>
        <w:tc>
          <w:tcPr>
            <w:tcW w:w="0" w:type="dxa"/>
            <w:vAlign w:val="bottom"/>
          </w:tcPr>
          <w:p>
            <w:pPr>
              <w:spacing w:after="0"/>
              <w:rPr>
                <w:sz w:val="1"/>
                <w:szCs w:val="1"/>
                <w:color w:val="auto"/>
              </w:rPr>
            </w:pPr>
          </w:p>
        </w:tc>
      </w:tr>
      <w:tr>
        <w:trPr>
          <w:trHeight w:val="168"/>
        </w:trPr>
        <w:tc>
          <w:tcPr>
            <w:tcW w:w="4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3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10% of:</w:t>
            </w:r>
          </w:p>
        </w:tc>
        <w:tc>
          <w:tcPr>
            <w:tcW w:w="0" w:type="dxa"/>
            <w:vAlign w:val="bottom"/>
          </w:tcPr>
          <w:p>
            <w:pPr>
              <w:spacing w:after="0"/>
              <w:rPr>
                <w:sz w:val="1"/>
                <w:szCs w:val="1"/>
                <w:color w:val="auto"/>
              </w:rPr>
            </w:pPr>
          </w:p>
        </w:tc>
      </w:tr>
      <w:tr>
        <w:trPr>
          <w:trHeight w:val="168"/>
        </w:trPr>
        <w:tc>
          <w:tcPr>
            <w:tcW w:w="4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(i)   Company's stockholder equity</w:t>
            </w: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60" w:type="dxa"/>
            <w:vAlign w:val="bottom"/>
          </w:tcPr>
          <w:p>
            <w:pPr>
              <w:ind w:left="1400"/>
              <w:spacing w:after="0"/>
              <w:rPr>
                <w:sz w:val="20"/>
                <w:szCs w:val="20"/>
                <w:color w:val="auto"/>
              </w:rPr>
            </w:pPr>
            <w:r>
              <w:rPr>
                <w:rFonts w:ascii="Courier New" w:cs="Courier New" w:eastAsia="Courier New" w:hAnsi="Courier New"/>
                <w:sz w:val="15"/>
                <w:szCs w:val="15"/>
                <w:color w:val="auto"/>
              </w:rPr>
              <w:t>less</w:t>
            </w:r>
          </w:p>
        </w:tc>
        <w:tc>
          <w:tcPr>
            <w:tcW w:w="0" w:type="dxa"/>
            <w:vAlign w:val="bottom"/>
          </w:tcPr>
          <w:p>
            <w:pPr>
              <w:spacing w:after="0"/>
              <w:rPr>
                <w:sz w:val="1"/>
                <w:szCs w:val="1"/>
                <w:color w:val="auto"/>
              </w:rPr>
            </w:pPr>
          </w:p>
        </w:tc>
      </w:tr>
    </w:tbl>
    <w:p>
      <w:pPr>
        <w:ind w:left="7960"/>
        <w:spacing w:after="0" w:line="237" w:lineRule="auto"/>
        <w:tabs>
          <w:tab w:leader="none" w:pos="8480" w:val="left"/>
        </w:tabs>
        <w:rPr>
          <w:sz w:val="20"/>
          <w:szCs w:val="20"/>
          <w:color w:val="auto"/>
        </w:rPr>
      </w:pPr>
      <w:r>
        <w:rPr>
          <w:rFonts w:ascii="Courier New" w:cs="Courier New" w:eastAsia="Courier New" w:hAnsi="Courier New"/>
          <w:sz w:val="15"/>
          <w:szCs w:val="15"/>
          <w:color w:val="auto"/>
        </w:rPr>
        <w:t>(ii)</w:t>
        <w:tab/>
        <w:t>principal amount of all Company's</w:t>
      </w:r>
    </w:p>
    <w:p>
      <w:pPr>
        <w:ind w:left="8500"/>
        <w:spacing w:after="0" w:line="238" w:lineRule="auto"/>
        <w:rPr>
          <w:sz w:val="20"/>
          <w:szCs w:val="20"/>
          <w:color w:val="auto"/>
        </w:rPr>
      </w:pPr>
      <w:r>
        <w:rPr>
          <w:rFonts w:ascii="Courier New" w:cs="Courier New" w:eastAsia="Courier New" w:hAnsi="Courier New"/>
          <w:sz w:val="15"/>
          <w:szCs w:val="15"/>
          <w:color w:val="auto"/>
        </w:rPr>
        <w:t>committed or outstanding secured</w:t>
      </w:r>
    </w:p>
    <w:p>
      <w:pPr>
        <w:ind w:left="8500"/>
        <w:spacing w:after="0"/>
        <w:rPr>
          <w:sz w:val="20"/>
          <w:szCs w:val="20"/>
          <w:color w:val="auto"/>
        </w:rPr>
      </w:pPr>
      <w:r>
        <w:rPr>
          <w:rFonts w:ascii="Courier New" w:cs="Courier New" w:eastAsia="Courier New" w:hAnsi="Courier New"/>
          <w:sz w:val="14"/>
          <w:szCs w:val="14"/>
          <w:color w:val="auto"/>
        </w:rPr>
        <w:t>debt, subordinated debt, guarantees</w:t>
      </w:r>
    </w:p>
    <w:p>
      <w:pPr>
        <w:spacing w:after="0" w:line="152" w:lineRule="exact"/>
        <w:rPr>
          <w:sz w:val="20"/>
          <w:szCs w:val="20"/>
          <w:color w:val="auto"/>
        </w:rPr>
      </w:pPr>
    </w:p>
    <w:p>
      <w:pPr>
        <w:ind w:left="8500"/>
        <w:spacing w:after="0"/>
        <w:rPr>
          <w:sz w:val="20"/>
          <w:szCs w:val="20"/>
          <w:color w:val="auto"/>
        </w:rPr>
      </w:pPr>
      <w:r>
        <w:rPr>
          <w:rFonts w:ascii="Courier New" w:cs="Courier New" w:eastAsia="Courier New" w:hAnsi="Courier New"/>
          <w:sz w:val="15"/>
          <w:szCs w:val="15"/>
          <w:color w:val="auto"/>
        </w:rPr>
        <w:t>and senior unsecured debt</w:t>
      </w:r>
    </w:p>
    <w:p>
      <w:pPr>
        <w:spacing w:after="0" w:line="23" w:lineRule="exact"/>
        <w:rPr>
          <w:sz w:val="20"/>
          <w:szCs w:val="20"/>
          <w:color w:val="auto"/>
        </w:rPr>
      </w:pPr>
    </w:p>
    <w:p>
      <w:pPr>
        <w:ind w:left="8500"/>
        <w:spacing w:after="0"/>
        <w:rPr>
          <w:sz w:val="20"/>
          <w:szCs w:val="20"/>
          <w:color w:val="auto"/>
        </w:rPr>
      </w:pPr>
      <w:r>
        <w:rPr>
          <w:rFonts w:ascii="Courier New" w:cs="Courier New" w:eastAsia="Courier New" w:hAnsi="Courier New"/>
          <w:sz w:val="15"/>
          <w:szCs w:val="15"/>
          <w:color w:val="auto"/>
        </w:rPr>
        <w:t>(including under this Agreement)</w:t>
      </w:r>
    </w:p>
    <w:p>
      <w:pPr>
        <w:ind w:left="8500"/>
        <w:spacing w:after="0" w:line="237" w:lineRule="auto"/>
        <w:rPr>
          <w:sz w:val="20"/>
          <w:szCs w:val="20"/>
          <w:color w:val="auto"/>
        </w:rPr>
      </w:pPr>
      <w:r>
        <w:rPr>
          <w:rFonts w:ascii="Courier New" w:cs="Courier New" w:eastAsia="Courier New" w:hAnsi="Courier New"/>
          <w:sz w:val="15"/>
          <w:szCs w:val="15"/>
          <w:color w:val="auto"/>
        </w:rPr>
        <w:t>= $_________</w:t>
      </w:r>
    </w:p>
    <w:p>
      <w:pPr>
        <w:ind w:left="360" w:hanging="350"/>
        <w:spacing w:after="0" w:line="238" w:lineRule="auto"/>
        <w:tabs>
          <w:tab w:leader="none" w:pos="36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7.06(m):  Other Indebtedness/Contingent Obligations.</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60" w:right="6280"/>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Indebtedness and Contingent Obligations other than for borrowed money, to the extent not otherwise permitted by</w:t>
      </w:r>
    </w:p>
    <w:p>
      <w:pPr>
        <w:spacing w:after="0" w:line="1" w:lineRule="exact"/>
        <w:rPr>
          <w:sz w:val="20"/>
          <w:szCs w:val="20"/>
          <w:color w:val="auto"/>
        </w:rPr>
      </w:pPr>
    </w:p>
    <w:p>
      <w:pPr>
        <w:ind w:left="360"/>
        <w:spacing w:after="0"/>
        <w:tabs>
          <w:tab w:leader="none" w:pos="1560" w:val="left"/>
          <w:tab w:leader="none" w:pos="6120" w:val="left"/>
          <w:tab w:leader="none" w:pos="7520" w:val="left"/>
        </w:tabs>
        <w:rPr>
          <w:sz w:val="20"/>
          <w:szCs w:val="20"/>
          <w:color w:val="auto"/>
        </w:rPr>
      </w:pPr>
      <w:r>
        <w:rPr>
          <w:rFonts w:ascii="Courier New" w:cs="Courier New" w:eastAsia="Courier New" w:hAnsi="Courier New"/>
          <w:sz w:val="15"/>
          <w:szCs w:val="15"/>
          <w:color w:val="auto"/>
        </w:rPr>
        <w:t>Section 7.06</w:t>
        <w:tab/>
        <w:t>=</w:t>
      </w:r>
      <w:r>
        <w:rPr>
          <w:sz w:val="20"/>
          <w:szCs w:val="20"/>
          <w:color w:val="auto"/>
        </w:rPr>
        <w:tab/>
      </w:r>
      <w:r>
        <w:rPr>
          <w:rFonts w:ascii="Courier New" w:cs="Courier New" w:eastAsia="Courier New" w:hAnsi="Courier New"/>
          <w:sz w:val="15"/>
          <w:szCs w:val="15"/>
          <w:color w:val="auto"/>
        </w:rPr>
        <w:t>$__________</w:t>
      </w:r>
      <w:r>
        <w:rPr>
          <w:sz w:val="20"/>
          <w:szCs w:val="20"/>
          <w:color w:val="auto"/>
        </w:rPr>
        <w:tab/>
      </w:r>
      <w:r>
        <w:rPr>
          <w:rFonts w:ascii="Courier New" w:cs="Courier New" w:eastAsia="Courier New" w:hAnsi="Courier New"/>
          <w:sz w:val="14"/>
          <w:szCs w:val="14"/>
          <w:color w:val="auto"/>
        </w:rPr>
        <w:t>Not to exceed $100,000,000</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Section 7.09: Restricted Payments.</w:t>
      </w:r>
    </w:p>
    <w:p>
      <w:pPr>
        <w:spacing w:after="0" w:line="2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1540"/>
          </w:cols>
          <w:pgMar w:left="220" w:top="934" w:right="139" w:bottom="1440" w:gutter="0" w:footer="0" w:header="0"/>
        </w:sectPr>
      </w:pPr>
    </w:p>
    <w:p>
      <w:pPr>
        <w:spacing w:after="0" w:line="14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Cash Restricted Payments permitted by Section 7.09(d)</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120"/>
        <w:spacing w:after="0" w:line="320" w:lineRule="auto"/>
        <w:rPr>
          <w:sz w:val="20"/>
          <w:szCs w:val="20"/>
          <w:color w:val="auto"/>
        </w:rPr>
      </w:pPr>
      <w:r>
        <w:rPr>
          <w:rFonts w:ascii="Courier New" w:cs="Courier New" w:eastAsia="Courier New" w:hAnsi="Courier New"/>
          <w:sz w:val="14"/>
          <w:szCs w:val="14"/>
          <w:color w:val="auto"/>
        </w:rPr>
        <w:t>Not to exceed 25% of Consolidated Net Income, on a rolling four quarter basis = $__________</w:t>
      </w:r>
    </w:p>
    <w:p>
      <w:pPr>
        <w:spacing w:after="0" w:line="200" w:lineRule="exact"/>
        <w:rPr>
          <w:sz w:val="20"/>
          <w:szCs w:val="20"/>
          <w:color w:val="auto"/>
        </w:rPr>
      </w:pPr>
    </w:p>
    <w:p>
      <w:pPr>
        <w:sectPr>
          <w:pgSz w:w="11900" w:h="16838" w:orient="portrait"/>
          <w:cols w:equalWidth="0" w:num="4">
            <w:col w:w="5000" w:space="180"/>
            <w:col w:w="240" w:space="720"/>
            <w:col w:w="960" w:space="440"/>
            <w:col w:w="4000"/>
          </w:cols>
          <w:pgMar w:left="220" w:top="934" w:right="139" w:bottom="1440" w:gutter="0" w:footer="0" w:header="0"/>
          <w:type w:val="continuous"/>
        </w:sectPr>
      </w:pPr>
    </w:p>
    <w:p>
      <w:pPr>
        <w:spacing w:after="0" w:line="175" w:lineRule="exact"/>
        <w:rPr>
          <w:sz w:val="20"/>
          <w:szCs w:val="20"/>
          <w:color w:val="auto"/>
        </w:rPr>
      </w:pPr>
    </w:p>
    <w:p>
      <w:pPr>
        <w:jc w:val="right"/>
        <w:ind w:right="4540"/>
        <w:spacing w:after="0"/>
        <w:rPr>
          <w:sz w:val="20"/>
          <w:szCs w:val="20"/>
          <w:color w:val="auto"/>
        </w:rPr>
      </w:pPr>
      <w:r>
        <w:rPr>
          <w:rFonts w:ascii="Courier New" w:cs="Courier New" w:eastAsia="Courier New" w:hAnsi="Courier New"/>
          <w:sz w:val="14"/>
          <w:szCs w:val="14"/>
          <w:color w:val="auto"/>
        </w:rPr>
        <w:t>Pages D-7 and D-8 to be furnished (1) as of</w:t>
      </w:r>
    </w:p>
    <w:p>
      <w:pPr>
        <w:spacing w:after="0" w:line="36" w:lineRule="exact"/>
        <w:rPr>
          <w:sz w:val="20"/>
          <w:szCs w:val="20"/>
          <w:color w:val="auto"/>
        </w:rPr>
      </w:pPr>
    </w:p>
    <w:p>
      <w:pPr>
        <w:jc w:val="right"/>
        <w:ind w:right="4540"/>
        <w:spacing w:after="0"/>
        <w:rPr>
          <w:sz w:val="20"/>
          <w:szCs w:val="20"/>
          <w:color w:val="auto"/>
        </w:rPr>
      </w:pPr>
      <w:r>
        <w:rPr>
          <w:rFonts w:ascii="Courier New" w:cs="Courier New" w:eastAsia="Courier New" w:hAnsi="Courier New"/>
          <w:sz w:val="14"/>
          <w:szCs w:val="14"/>
          <w:color w:val="auto"/>
        </w:rPr>
        <w:t>the end of each fiscal year and (2) as and</w:t>
      </w:r>
    </w:p>
    <w:p>
      <w:pPr>
        <w:spacing w:after="0" w:line="10" w:lineRule="exact"/>
        <w:rPr>
          <w:sz w:val="20"/>
          <w:szCs w:val="20"/>
          <w:color w:val="auto"/>
        </w:rPr>
      </w:pPr>
    </w:p>
    <w:p>
      <w:pPr>
        <w:jc w:val="right"/>
        <w:ind w:right="4540"/>
        <w:spacing w:after="0"/>
        <w:rPr>
          <w:sz w:val="20"/>
          <w:szCs w:val="20"/>
          <w:color w:val="auto"/>
        </w:rPr>
      </w:pPr>
      <w:r>
        <w:rPr>
          <w:rFonts w:ascii="Courier New" w:cs="Courier New" w:eastAsia="Courier New" w:hAnsi="Courier New"/>
          <w:sz w:val="15"/>
          <w:szCs w:val="15"/>
          <w:color w:val="auto"/>
        </w:rPr>
        <w:t>when requested by Agent or Majority Banks</w:t>
      </w: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D-8</w:t>
      </w:r>
    </w:p>
    <w:p>
      <w:pPr>
        <w:sectPr>
          <w:pgSz w:w="11900" w:h="16838" w:orient="portrait"/>
          <w:cols w:equalWidth="0" w:num="1">
            <w:col w:w="11540"/>
          </w:cols>
          <w:pgMar w:left="220" w:top="934" w:right="139" w:bottom="1440" w:gutter="0" w:footer="0" w:header="0"/>
          <w:type w:val="continuous"/>
        </w:sectPr>
      </w:pPr>
    </w:p>
    <w:bookmarkStart w:id="101" w:name="page102"/>
    <w:bookmarkEnd w:id="101"/>
    <w:p>
      <w:pPr>
        <w:jc w:val="right"/>
        <w:ind w:right="3239"/>
        <w:spacing w:after="0"/>
        <w:rPr>
          <w:sz w:val="20"/>
          <w:szCs w:val="20"/>
          <w:color w:val="auto"/>
        </w:rPr>
      </w:pPr>
      <w:r>
        <w:rPr>
          <w:rFonts w:ascii="Courier New" w:cs="Courier New" w:eastAsia="Courier New" w:hAnsi="Courier New"/>
          <w:sz w:val="15"/>
          <w:szCs w:val="15"/>
          <w:color w:val="auto"/>
        </w:rPr>
        <w:t>EXHIBIT 10.116</w:t>
      </w:r>
    </w:p>
    <w:p>
      <w:pPr>
        <w:spacing w:after="0" w:line="33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MICRON TECHNOLOGY, INC.</w:t>
      </w:r>
    </w:p>
    <w:p>
      <w:pPr>
        <w:spacing w:after="0" w:line="200" w:lineRule="exact"/>
        <w:rPr>
          <w:sz w:val="20"/>
          <w:szCs w:val="20"/>
          <w:color w:val="auto"/>
        </w:rPr>
      </w:pPr>
    </w:p>
    <w:p>
      <w:pPr>
        <w:spacing w:after="0" w:line="30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REGISTRATION RIGHTS AGREEMENT</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Dated as of June 28, 1996</w:t>
      </w:r>
    </w:p>
    <w:p>
      <w:pPr>
        <w:sectPr>
          <w:pgSz w:w="11900" w:h="16838" w:orient="portrait"/>
          <w:cols w:equalWidth="0" w:num="1">
            <w:col w:w="9019"/>
          </w:cols>
          <w:pgMar w:left="1440" w:top="452" w:right="1440" w:bottom="1440" w:gutter="0" w:footer="0" w:header="0"/>
        </w:sectPr>
      </w:pPr>
    </w:p>
    <w:bookmarkStart w:id="102" w:name="page103"/>
    <w:bookmarkEnd w:id="102"/>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2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gridSpan w:val="2"/>
          </w:tcPr>
          <w:p>
            <w:pPr>
              <w:spacing w:after="0"/>
              <w:rPr>
                <w:sz w:val="20"/>
                <w:szCs w:val="20"/>
                <w:color w:val="auto"/>
              </w:rPr>
            </w:pPr>
            <w:r>
              <w:rPr>
                <w:rFonts w:ascii="Courier New" w:cs="Courier New" w:eastAsia="Courier New" w:hAnsi="Courier New"/>
                <w:sz w:val="15"/>
                <w:szCs w:val="15"/>
                <w:color w:val="auto"/>
              </w:rPr>
              <w:t>Section</w:t>
            </w:r>
          </w:p>
        </w:tc>
        <w:tc>
          <w:tcPr>
            <w:tcW w:w="49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Page</w:t>
            </w:r>
          </w:p>
        </w:tc>
      </w:tr>
      <w:tr>
        <w:trPr>
          <w:trHeight w:val="245"/>
        </w:trPr>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9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6"/>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1.</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w w:val="96"/>
              </w:rPr>
              <w:t>Introduction</w:t>
            </w:r>
          </w:p>
        </w:tc>
        <w:tc>
          <w:tcPr>
            <w:tcW w:w="4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r>
      <w:tr>
        <w:trPr>
          <w:trHeight w:val="336"/>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2.</w:t>
            </w:r>
          </w:p>
        </w:tc>
        <w:tc>
          <w:tcPr>
            <w:tcW w:w="63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Registration under Securities Act, etc.............................</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r>
      <w:tr>
        <w:trPr>
          <w:trHeight w:val="336"/>
        </w:trPr>
        <w:tc>
          <w:tcPr>
            <w:tcW w:w="180" w:type="dxa"/>
            <w:vAlign w:val="bottom"/>
          </w:tcPr>
          <w:p>
            <w:pPr>
              <w:spacing w:after="0"/>
              <w:rPr>
                <w:sz w:val="24"/>
                <w:szCs w:val="24"/>
                <w:color w:val="auto"/>
              </w:rPr>
            </w:pPr>
          </w:p>
        </w:tc>
        <w:tc>
          <w:tcPr>
            <w:tcW w:w="63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2.1  Registration on Request.......................................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r>
      <w:tr>
        <w:trPr>
          <w:trHeight w:val="259"/>
        </w:trPr>
        <w:tc>
          <w:tcPr>
            <w:tcW w:w="180" w:type="dxa"/>
            <w:vAlign w:val="bottom"/>
          </w:tcPr>
          <w:p>
            <w:pPr>
              <w:spacing w:after="0"/>
              <w:rPr>
                <w:sz w:val="22"/>
                <w:szCs w:val="22"/>
                <w:color w:val="auto"/>
              </w:rPr>
            </w:pPr>
          </w:p>
        </w:tc>
        <w:tc>
          <w:tcPr>
            <w:tcW w:w="1320" w:type="dxa"/>
            <w:vAlign w:val="bottom"/>
          </w:tcPr>
          <w:p>
            <w:pPr>
              <w:ind w:left="700"/>
              <w:spacing w:after="0"/>
              <w:rPr>
                <w:sz w:val="20"/>
                <w:szCs w:val="20"/>
                <w:color w:val="auto"/>
              </w:rPr>
            </w:pPr>
            <w:r>
              <w:rPr>
                <w:rFonts w:ascii="Courier New" w:cs="Courier New" w:eastAsia="Courier New" w:hAnsi="Courier New"/>
                <w:sz w:val="15"/>
                <w:szCs w:val="15"/>
                <w:color w:val="auto"/>
              </w:rPr>
              <w:t>(a)</w:t>
            </w:r>
          </w:p>
        </w:tc>
        <w:tc>
          <w:tcPr>
            <w:tcW w:w="4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Request..............................................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r>
      <w:tr>
        <w:trPr>
          <w:trHeight w:val="168"/>
        </w:trPr>
        <w:tc>
          <w:tcPr>
            <w:tcW w:w="180" w:type="dxa"/>
            <w:vAlign w:val="bottom"/>
          </w:tcPr>
          <w:p>
            <w:pPr>
              <w:spacing w:after="0"/>
              <w:rPr>
                <w:sz w:val="14"/>
                <w:szCs w:val="14"/>
                <w:color w:val="auto"/>
              </w:rPr>
            </w:pP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w:t>
            </w:r>
          </w:p>
        </w:tc>
        <w:tc>
          <w:tcPr>
            <w:tcW w:w="4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Registration Statement Form..........................</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180" w:type="dxa"/>
            <w:vAlign w:val="bottom"/>
          </w:tcPr>
          <w:p>
            <w:pPr>
              <w:spacing w:after="0"/>
              <w:rPr>
                <w:sz w:val="14"/>
                <w:szCs w:val="14"/>
                <w:color w:val="auto"/>
              </w:rPr>
            </w:pP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w:t>
            </w:r>
          </w:p>
        </w:tc>
        <w:tc>
          <w:tcPr>
            <w:tcW w:w="4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Expenses.............................................</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r>
      <w:tr>
        <w:trPr>
          <w:trHeight w:val="245"/>
        </w:trPr>
        <w:tc>
          <w:tcPr>
            <w:tcW w:w="180" w:type="dxa"/>
            <w:vAlign w:val="bottom"/>
          </w:tcPr>
          <w:p>
            <w:pPr>
              <w:spacing w:after="0"/>
              <w:rPr>
                <w:sz w:val="21"/>
                <w:szCs w:val="21"/>
                <w:color w:val="auto"/>
              </w:rPr>
            </w:pPr>
          </w:p>
        </w:tc>
        <w:tc>
          <w:tcPr>
            <w:tcW w:w="1320" w:type="dxa"/>
            <w:vAlign w:val="bottom"/>
          </w:tcPr>
          <w:p>
            <w:pPr>
              <w:ind w:left="700"/>
              <w:spacing w:after="0"/>
              <w:rPr>
                <w:sz w:val="20"/>
                <w:szCs w:val="20"/>
                <w:color w:val="auto"/>
              </w:rPr>
            </w:pPr>
            <w:r>
              <w:rPr>
                <w:rFonts w:ascii="Courier New" w:cs="Courier New" w:eastAsia="Courier New" w:hAnsi="Courier New"/>
                <w:sz w:val="15"/>
                <w:szCs w:val="15"/>
                <w:color w:val="auto"/>
              </w:rPr>
              <w:t>(d)</w:t>
            </w:r>
          </w:p>
        </w:tc>
        <w:tc>
          <w:tcPr>
            <w:tcW w:w="4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w:t>
            </w:r>
          </w:p>
        </w:tc>
      </w:tr>
      <w:tr>
        <w:trPr>
          <w:trHeight w:val="336"/>
        </w:trPr>
        <w:tc>
          <w:tcPr>
            <w:tcW w:w="180" w:type="dxa"/>
            <w:vAlign w:val="bottom"/>
          </w:tcPr>
          <w:p>
            <w:pPr>
              <w:spacing w:after="0"/>
              <w:rPr>
                <w:sz w:val="24"/>
                <w:szCs w:val="24"/>
                <w:color w:val="auto"/>
              </w:rPr>
            </w:pP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2.2</w:t>
            </w:r>
          </w:p>
        </w:tc>
        <w:tc>
          <w:tcPr>
            <w:tcW w:w="4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Registration Procedures..............................</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w:t>
            </w:r>
          </w:p>
        </w:tc>
      </w:tr>
      <w:tr>
        <w:trPr>
          <w:trHeight w:val="336"/>
        </w:trPr>
        <w:tc>
          <w:tcPr>
            <w:tcW w:w="180" w:type="dxa"/>
            <w:vAlign w:val="bottom"/>
          </w:tcPr>
          <w:p>
            <w:pPr>
              <w:spacing w:after="0"/>
              <w:rPr>
                <w:sz w:val="24"/>
                <w:szCs w:val="24"/>
                <w:color w:val="auto"/>
              </w:rPr>
            </w:pP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2.3</w:t>
            </w:r>
          </w:p>
        </w:tc>
        <w:tc>
          <w:tcPr>
            <w:tcW w:w="4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Preparation; Reasonable Investigation................</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w:t>
            </w:r>
          </w:p>
        </w:tc>
      </w:tr>
      <w:tr>
        <w:trPr>
          <w:trHeight w:val="336"/>
        </w:trPr>
        <w:tc>
          <w:tcPr>
            <w:tcW w:w="180" w:type="dxa"/>
            <w:vAlign w:val="bottom"/>
          </w:tcPr>
          <w:p>
            <w:pPr>
              <w:spacing w:after="0"/>
              <w:rPr>
                <w:sz w:val="24"/>
                <w:szCs w:val="24"/>
                <w:color w:val="auto"/>
              </w:rPr>
            </w:pP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2.4</w:t>
            </w:r>
          </w:p>
        </w:tc>
        <w:tc>
          <w:tcPr>
            <w:tcW w:w="4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Indemnification......................................</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w:t>
            </w:r>
          </w:p>
        </w:tc>
      </w:tr>
      <w:tr>
        <w:trPr>
          <w:trHeight w:val="259"/>
        </w:trPr>
        <w:tc>
          <w:tcPr>
            <w:tcW w:w="180" w:type="dxa"/>
            <w:vAlign w:val="bottom"/>
          </w:tcPr>
          <w:p>
            <w:pPr>
              <w:spacing w:after="0"/>
              <w:rPr>
                <w:sz w:val="22"/>
                <w:szCs w:val="22"/>
                <w:color w:val="auto"/>
              </w:rPr>
            </w:pPr>
          </w:p>
        </w:tc>
        <w:tc>
          <w:tcPr>
            <w:tcW w:w="1320" w:type="dxa"/>
            <w:vAlign w:val="bottom"/>
          </w:tcPr>
          <w:p>
            <w:pPr>
              <w:ind w:left="700"/>
              <w:spacing w:after="0"/>
              <w:rPr>
                <w:sz w:val="20"/>
                <w:szCs w:val="20"/>
                <w:color w:val="auto"/>
              </w:rPr>
            </w:pPr>
            <w:r>
              <w:rPr>
                <w:rFonts w:ascii="Courier New" w:cs="Courier New" w:eastAsia="Courier New" w:hAnsi="Courier New"/>
                <w:sz w:val="15"/>
                <w:szCs w:val="15"/>
                <w:color w:val="auto"/>
              </w:rPr>
              <w:t>(a)</w:t>
            </w:r>
          </w:p>
        </w:tc>
        <w:tc>
          <w:tcPr>
            <w:tcW w:w="4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Indemnification by the Company.......................</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w:t>
            </w:r>
          </w:p>
        </w:tc>
      </w:tr>
      <w:tr>
        <w:trPr>
          <w:trHeight w:val="168"/>
        </w:trPr>
        <w:tc>
          <w:tcPr>
            <w:tcW w:w="180" w:type="dxa"/>
            <w:vAlign w:val="bottom"/>
          </w:tcPr>
          <w:p>
            <w:pPr>
              <w:spacing w:after="0"/>
              <w:rPr>
                <w:sz w:val="14"/>
                <w:szCs w:val="14"/>
                <w:color w:val="auto"/>
              </w:rPr>
            </w:pP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w:t>
            </w:r>
          </w:p>
        </w:tc>
        <w:tc>
          <w:tcPr>
            <w:tcW w:w="4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Indemnification by CIBC..............................</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180" w:type="dxa"/>
            <w:vAlign w:val="bottom"/>
          </w:tcPr>
          <w:p>
            <w:pPr>
              <w:spacing w:after="0"/>
              <w:rPr>
                <w:sz w:val="14"/>
                <w:szCs w:val="14"/>
                <w:color w:val="auto"/>
              </w:rPr>
            </w:pP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w:t>
            </w:r>
          </w:p>
        </w:tc>
        <w:tc>
          <w:tcPr>
            <w:tcW w:w="4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Notices of Claims, etc...............................</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180" w:type="dxa"/>
            <w:vAlign w:val="bottom"/>
          </w:tcPr>
          <w:p>
            <w:pPr>
              <w:spacing w:after="0"/>
              <w:rPr>
                <w:sz w:val="14"/>
                <w:szCs w:val="14"/>
                <w:color w:val="auto"/>
              </w:rPr>
            </w:pP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w:t>
            </w:r>
          </w:p>
        </w:tc>
        <w:tc>
          <w:tcPr>
            <w:tcW w:w="4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 Indemnification................................</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180" w:type="dxa"/>
            <w:vAlign w:val="bottom"/>
          </w:tcPr>
          <w:p>
            <w:pPr>
              <w:spacing w:after="0"/>
              <w:rPr>
                <w:sz w:val="14"/>
                <w:szCs w:val="14"/>
                <w:color w:val="auto"/>
              </w:rPr>
            </w:pP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w:t>
            </w:r>
          </w:p>
        </w:tc>
        <w:tc>
          <w:tcPr>
            <w:tcW w:w="4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Indemnification Payments.............................</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w:t>
            </w:r>
          </w:p>
        </w:tc>
      </w:tr>
      <w:tr>
        <w:trPr>
          <w:trHeight w:val="245"/>
        </w:trPr>
        <w:tc>
          <w:tcPr>
            <w:tcW w:w="180" w:type="dxa"/>
            <w:vAlign w:val="bottom"/>
          </w:tcPr>
          <w:p>
            <w:pPr>
              <w:spacing w:after="0"/>
              <w:rPr>
                <w:sz w:val="21"/>
                <w:szCs w:val="21"/>
                <w:color w:val="auto"/>
              </w:rPr>
            </w:pPr>
          </w:p>
        </w:tc>
        <w:tc>
          <w:tcPr>
            <w:tcW w:w="1320" w:type="dxa"/>
            <w:vAlign w:val="bottom"/>
          </w:tcPr>
          <w:p>
            <w:pPr>
              <w:ind w:left="700"/>
              <w:spacing w:after="0"/>
              <w:rPr>
                <w:sz w:val="20"/>
                <w:szCs w:val="20"/>
                <w:color w:val="auto"/>
              </w:rPr>
            </w:pPr>
            <w:r>
              <w:rPr>
                <w:rFonts w:ascii="Courier New" w:cs="Courier New" w:eastAsia="Courier New" w:hAnsi="Courier New"/>
                <w:sz w:val="15"/>
                <w:szCs w:val="15"/>
                <w:color w:val="auto"/>
              </w:rPr>
              <w:t>(f)</w:t>
            </w:r>
          </w:p>
        </w:tc>
        <w:tc>
          <w:tcPr>
            <w:tcW w:w="4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Contribution.........................................</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w:t>
            </w:r>
          </w:p>
        </w:tc>
      </w:tr>
      <w:tr>
        <w:trPr>
          <w:trHeight w:val="336"/>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3.</w:t>
            </w:r>
          </w:p>
        </w:tc>
        <w:tc>
          <w:tcPr>
            <w:tcW w:w="630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9"/>
              </w:rPr>
              <w:t>Definitions...................................................</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w:t>
            </w:r>
          </w:p>
        </w:tc>
      </w:tr>
      <w:tr>
        <w:trPr>
          <w:trHeight w:val="336"/>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4.</w:t>
            </w:r>
          </w:p>
        </w:tc>
        <w:tc>
          <w:tcPr>
            <w:tcW w:w="630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9"/>
              </w:rPr>
              <w:t>Confidential Information......................................</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w:t>
            </w:r>
          </w:p>
        </w:tc>
      </w:tr>
      <w:tr>
        <w:trPr>
          <w:trHeight w:val="336"/>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5.</w:t>
            </w:r>
          </w:p>
        </w:tc>
        <w:tc>
          <w:tcPr>
            <w:tcW w:w="630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9"/>
              </w:rPr>
              <w:t>Restrictive Legend............................................</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w:t>
            </w:r>
          </w:p>
        </w:tc>
      </w:tr>
      <w:tr>
        <w:trPr>
          <w:trHeight w:val="336"/>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6.</w:t>
            </w:r>
          </w:p>
        </w:tc>
        <w:tc>
          <w:tcPr>
            <w:tcW w:w="630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9"/>
              </w:rPr>
              <w:t>Notice of Proposed Transfers..................................</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w:t>
            </w:r>
          </w:p>
        </w:tc>
      </w:tr>
      <w:tr>
        <w:trPr>
          <w:trHeight w:val="336"/>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7.</w:t>
            </w:r>
          </w:p>
        </w:tc>
        <w:tc>
          <w:tcPr>
            <w:tcW w:w="630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9"/>
              </w:rPr>
              <w:t>Rules 144 and 144A............................................</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w:t>
            </w:r>
          </w:p>
        </w:tc>
      </w:tr>
      <w:tr>
        <w:trPr>
          <w:trHeight w:val="336"/>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8.</w:t>
            </w:r>
          </w:p>
        </w:tc>
        <w:tc>
          <w:tcPr>
            <w:tcW w:w="630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9"/>
              </w:rPr>
              <w:t>Amendments and Waivers........................................</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w:t>
            </w:r>
          </w:p>
        </w:tc>
      </w:tr>
    </w:tbl>
    <w:p>
      <w:pPr>
        <w:spacing w:after="0" w:line="200" w:lineRule="exact"/>
        <w:rPr>
          <w:sz w:val="20"/>
          <w:szCs w:val="20"/>
          <w:color w:val="auto"/>
        </w:rPr>
      </w:pPr>
    </w:p>
    <w:p>
      <w:pPr>
        <w:spacing w:after="0" w:line="2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597" w:right="1440" w:bottom="1440" w:gutter="0" w:footer="0" w:header="0"/>
        </w:sectPr>
      </w:pPr>
    </w:p>
    <w:bookmarkStart w:id="103" w:name="page104"/>
    <w:bookmarkEnd w:id="103"/>
    <w:p>
      <w:pPr>
        <w:spacing w:after="0"/>
        <w:tabs>
          <w:tab w:leader="none" w:pos="860" w:val="left"/>
          <w:tab w:leader="dot" w:pos="6720" w:val="left"/>
        </w:tabs>
        <w:rPr>
          <w:sz w:val="20"/>
          <w:szCs w:val="20"/>
          <w:color w:val="auto"/>
        </w:rPr>
      </w:pPr>
      <w:r>
        <w:rPr>
          <w:rFonts w:ascii="Courier New" w:cs="Courier New" w:eastAsia="Courier New" w:hAnsi="Courier New"/>
          <w:sz w:val="15"/>
          <w:szCs w:val="15"/>
          <w:color w:val="auto"/>
        </w:rPr>
        <w:t>9.</w:t>
      </w:r>
      <w:r>
        <w:rPr>
          <w:sz w:val="20"/>
          <w:szCs w:val="20"/>
          <w:color w:val="auto"/>
        </w:rPr>
        <w:tab/>
      </w:r>
      <w:r>
        <w:rPr>
          <w:rFonts w:ascii="Courier New" w:cs="Courier New" w:eastAsia="Courier New" w:hAnsi="Courier New"/>
          <w:sz w:val="15"/>
          <w:szCs w:val="15"/>
          <w:color w:val="auto"/>
        </w:rPr>
        <w:t>Notices</w:t>
      </w:r>
      <w:r>
        <w:rPr>
          <w:sz w:val="20"/>
          <w:szCs w:val="20"/>
          <w:color w:val="auto"/>
        </w:rPr>
        <w:tab/>
      </w:r>
      <w:r>
        <w:rPr>
          <w:rFonts w:ascii="Courier New" w:cs="Courier New" w:eastAsia="Courier New" w:hAnsi="Courier New"/>
          <w:sz w:val="15"/>
          <w:szCs w:val="15"/>
          <w:color w:val="auto"/>
        </w:rPr>
        <w:t>13</w:t>
      </w:r>
    </w:p>
    <w:p>
      <w:pPr>
        <w:spacing w:after="0" w:line="166" w:lineRule="exact"/>
        <w:rPr>
          <w:sz w:val="20"/>
          <w:szCs w:val="20"/>
          <w:color w:val="auto"/>
        </w:rPr>
      </w:pPr>
    </w:p>
    <w:p>
      <w:pPr>
        <w:spacing w:after="0"/>
        <w:tabs>
          <w:tab w:leader="none" w:pos="860" w:val="left"/>
          <w:tab w:leader="dot" w:pos="6720" w:val="left"/>
        </w:tabs>
        <w:rPr>
          <w:sz w:val="20"/>
          <w:szCs w:val="20"/>
          <w:color w:val="auto"/>
        </w:rPr>
      </w:pP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5"/>
          <w:szCs w:val="15"/>
          <w:color w:val="auto"/>
        </w:rPr>
        <w:t>Assignment</w:t>
      </w:r>
      <w:r>
        <w:rPr>
          <w:sz w:val="20"/>
          <w:szCs w:val="20"/>
          <w:color w:val="auto"/>
        </w:rPr>
        <w:tab/>
      </w:r>
      <w:r>
        <w:rPr>
          <w:rFonts w:ascii="Courier New" w:cs="Courier New" w:eastAsia="Courier New" w:hAnsi="Courier New"/>
          <w:sz w:val="15"/>
          <w:szCs w:val="15"/>
          <w:color w:val="auto"/>
        </w:rPr>
        <w:t>13</w:t>
      </w:r>
    </w:p>
    <w:p>
      <w:pPr>
        <w:spacing w:after="0" w:line="166" w:lineRule="exact"/>
        <w:rPr>
          <w:sz w:val="20"/>
          <w:szCs w:val="20"/>
          <w:color w:val="auto"/>
        </w:rPr>
      </w:pPr>
    </w:p>
    <w:p>
      <w:pPr>
        <w:spacing w:after="0"/>
        <w:tabs>
          <w:tab w:leader="none" w:pos="860" w:val="left"/>
          <w:tab w:leader="dot" w:pos="672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Descriptive Headings</w:t>
      </w:r>
      <w:r>
        <w:rPr>
          <w:sz w:val="20"/>
          <w:szCs w:val="20"/>
          <w:color w:val="auto"/>
        </w:rPr>
        <w:tab/>
      </w:r>
      <w:r>
        <w:rPr>
          <w:rFonts w:ascii="Courier New" w:cs="Courier New" w:eastAsia="Courier New" w:hAnsi="Courier New"/>
          <w:sz w:val="15"/>
          <w:szCs w:val="15"/>
          <w:color w:val="auto"/>
        </w:rPr>
        <w:t>13</w:t>
      </w:r>
    </w:p>
    <w:p>
      <w:pPr>
        <w:spacing w:after="0" w:line="166" w:lineRule="exact"/>
        <w:rPr>
          <w:sz w:val="20"/>
          <w:szCs w:val="20"/>
          <w:color w:val="auto"/>
        </w:rPr>
      </w:pPr>
    </w:p>
    <w:p>
      <w:pPr>
        <w:spacing w:after="0"/>
        <w:tabs>
          <w:tab w:leader="none" w:pos="860" w:val="left"/>
          <w:tab w:leader="dot" w:pos="672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GOVERNING LAW</w:t>
      </w:r>
      <w:r>
        <w:rPr>
          <w:sz w:val="20"/>
          <w:szCs w:val="20"/>
          <w:color w:val="auto"/>
        </w:rPr>
        <w:tab/>
      </w:r>
      <w:r>
        <w:rPr>
          <w:rFonts w:ascii="Courier New" w:cs="Courier New" w:eastAsia="Courier New" w:hAnsi="Courier New"/>
          <w:sz w:val="15"/>
          <w:szCs w:val="15"/>
          <w:color w:val="auto"/>
        </w:rPr>
        <w:t>13</w:t>
      </w:r>
    </w:p>
    <w:p>
      <w:pPr>
        <w:spacing w:after="0" w:line="166" w:lineRule="exact"/>
        <w:rPr>
          <w:sz w:val="20"/>
          <w:szCs w:val="20"/>
          <w:color w:val="auto"/>
        </w:rPr>
      </w:pPr>
    </w:p>
    <w:p>
      <w:pPr>
        <w:spacing w:after="0"/>
        <w:tabs>
          <w:tab w:leader="none" w:pos="860" w:val="left"/>
          <w:tab w:leader="dot" w:pos="6720"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5"/>
          <w:szCs w:val="15"/>
          <w:color w:val="auto"/>
        </w:rPr>
        <w:t>Counterparts</w:t>
      </w:r>
      <w:r>
        <w:rPr>
          <w:sz w:val="20"/>
          <w:szCs w:val="20"/>
          <w:color w:val="auto"/>
        </w:rPr>
        <w:tab/>
      </w:r>
      <w:r>
        <w:rPr>
          <w:rFonts w:ascii="Courier New" w:cs="Courier New" w:eastAsia="Courier New" w:hAnsi="Courier New"/>
          <w:sz w:val="15"/>
          <w:szCs w:val="15"/>
          <w:color w:val="auto"/>
        </w:rPr>
        <w:t>13</w:t>
      </w:r>
    </w:p>
    <w:p>
      <w:pPr>
        <w:spacing w:after="0" w:line="166" w:lineRule="exact"/>
        <w:rPr>
          <w:sz w:val="20"/>
          <w:szCs w:val="20"/>
          <w:color w:val="auto"/>
        </w:rPr>
      </w:pPr>
    </w:p>
    <w:p>
      <w:pPr>
        <w:spacing w:after="0"/>
        <w:tabs>
          <w:tab w:leader="none" w:pos="860" w:val="left"/>
          <w:tab w:leader="dot" w:pos="6720"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5"/>
          <w:szCs w:val="15"/>
          <w:color w:val="auto"/>
        </w:rPr>
        <w:t>Entire Agreement</w:t>
      </w:r>
      <w:r>
        <w:rPr>
          <w:sz w:val="20"/>
          <w:szCs w:val="20"/>
          <w:color w:val="auto"/>
        </w:rPr>
        <w:tab/>
      </w:r>
      <w:r>
        <w:rPr>
          <w:rFonts w:ascii="Courier New" w:cs="Courier New" w:eastAsia="Courier New" w:hAnsi="Courier New"/>
          <w:sz w:val="15"/>
          <w:szCs w:val="15"/>
          <w:color w:val="auto"/>
        </w:rPr>
        <w:t>13</w:t>
      </w:r>
    </w:p>
    <w:p>
      <w:pPr>
        <w:spacing w:after="0" w:line="166" w:lineRule="exact"/>
        <w:rPr>
          <w:sz w:val="20"/>
          <w:szCs w:val="20"/>
          <w:color w:val="auto"/>
        </w:rPr>
      </w:pPr>
    </w:p>
    <w:p>
      <w:pPr>
        <w:spacing w:after="0"/>
        <w:tabs>
          <w:tab w:leader="none" w:pos="860" w:val="left"/>
          <w:tab w:leader="dot" w:pos="6720" w:val="left"/>
        </w:tabs>
        <w:rPr>
          <w:sz w:val="20"/>
          <w:szCs w:val="20"/>
          <w:color w:val="auto"/>
        </w:rPr>
      </w:pPr>
      <w:r>
        <w:rPr>
          <w:rFonts w:ascii="Courier New" w:cs="Courier New" w:eastAsia="Courier New" w:hAnsi="Courier New"/>
          <w:sz w:val="15"/>
          <w:szCs w:val="15"/>
          <w:color w:val="auto"/>
        </w:rPr>
        <w:t>15.</w:t>
      </w:r>
      <w:r>
        <w:rPr>
          <w:sz w:val="20"/>
          <w:szCs w:val="20"/>
          <w:color w:val="auto"/>
        </w:rPr>
        <w:tab/>
      </w:r>
      <w:r>
        <w:rPr>
          <w:rFonts w:ascii="Courier New" w:cs="Courier New" w:eastAsia="Courier New" w:hAnsi="Courier New"/>
          <w:sz w:val="15"/>
          <w:szCs w:val="15"/>
          <w:color w:val="auto"/>
        </w:rPr>
        <w:t>SUBMISSION TO JURISDICTION</w:t>
      </w:r>
      <w:r>
        <w:rPr>
          <w:sz w:val="20"/>
          <w:szCs w:val="20"/>
          <w:color w:val="auto"/>
        </w:rPr>
        <w:tab/>
      </w:r>
      <w:r>
        <w:rPr>
          <w:rFonts w:ascii="Courier New" w:cs="Courier New" w:eastAsia="Courier New" w:hAnsi="Courier New"/>
          <w:sz w:val="15"/>
          <w:szCs w:val="15"/>
          <w:color w:val="auto"/>
        </w:rPr>
        <w:t>14</w:t>
      </w:r>
    </w:p>
    <w:p>
      <w:pPr>
        <w:spacing w:after="0" w:line="166" w:lineRule="exact"/>
        <w:rPr>
          <w:sz w:val="20"/>
          <w:szCs w:val="20"/>
          <w:color w:val="auto"/>
        </w:rPr>
      </w:pPr>
    </w:p>
    <w:p>
      <w:pPr>
        <w:spacing w:after="0"/>
        <w:tabs>
          <w:tab w:leader="none" w:pos="860" w:val="left"/>
          <w:tab w:leader="dot" w:pos="6720" w:val="left"/>
        </w:tabs>
        <w:rPr>
          <w:sz w:val="20"/>
          <w:szCs w:val="20"/>
          <w:color w:val="auto"/>
        </w:rPr>
      </w:pPr>
      <w:r>
        <w:rPr>
          <w:rFonts w:ascii="Courier New" w:cs="Courier New" w:eastAsia="Courier New" w:hAnsi="Courier New"/>
          <w:sz w:val="15"/>
          <w:szCs w:val="15"/>
          <w:color w:val="auto"/>
        </w:rPr>
        <w:t>17.</w:t>
      </w:r>
      <w:r>
        <w:rPr>
          <w:sz w:val="20"/>
          <w:szCs w:val="20"/>
          <w:color w:val="auto"/>
        </w:rPr>
        <w:tab/>
      </w:r>
      <w:r>
        <w:rPr>
          <w:rFonts w:ascii="Courier New" w:cs="Courier New" w:eastAsia="Courier New" w:hAnsi="Courier New"/>
          <w:sz w:val="15"/>
          <w:szCs w:val="15"/>
          <w:color w:val="auto"/>
        </w:rPr>
        <w:t>Severability</w:t>
      </w:r>
      <w:r>
        <w:rPr>
          <w:sz w:val="20"/>
          <w:szCs w:val="20"/>
          <w:color w:val="auto"/>
        </w:rPr>
        <w:tab/>
      </w:r>
      <w:r>
        <w:rPr>
          <w:rFonts w:ascii="Courier New" w:cs="Courier New" w:eastAsia="Courier New" w:hAnsi="Courier New"/>
          <w:sz w:val="15"/>
          <w:szCs w:val="15"/>
          <w:color w:val="auto"/>
        </w:rPr>
        <w:t>14</w:t>
      </w:r>
    </w:p>
    <w:p>
      <w:pPr>
        <w:spacing w:after="0" w:line="166" w:lineRule="exact"/>
        <w:rPr>
          <w:sz w:val="20"/>
          <w:szCs w:val="20"/>
          <w:color w:val="auto"/>
        </w:rPr>
      </w:pPr>
    </w:p>
    <w:p>
      <w:pPr>
        <w:spacing w:after="0"/>
        <w:tabs>
          <w:tab w:leader="none" w:pos="860" w:val="left"/>
          <w:tab w:leader="dot" w:pos="6720" w:val="left"/>
        </w:tabs>
        <w:rPr>
          <w:sz w:val="20"/>
          <w:szCs w:val="20"/>
          <w:color w:val="auto"/>
        </w:rPr>
      </w:pPr>
      <w:r>
        <w:rPr>
          <w:rFonts w:ascii="Courier New" w:cs="Courier New" w:eastAsia="Courier New" w:hAnsi="Courier New"/>
          <w:sz w:val="15"/>
          <w:szCs w:val="15"/>
          <w:color w:val="auto"/>
        </w:rPr>
        <w:t>19.</w:t>
      </w:r>
      <w:r>
        <w:rPr>
          <w:sz w:val="20"/>
          <w:szCs w:val="20"/>
          <w:color w:val="auto"/>
        </w:rPr>
        <w:tab/>
      </w:r>
      <w:r>
        <w:rPr>
          <w:rFonts w:ascii="Courier New" w:cs="Courier New" w:eastAsia="Courier New" w:hAnsi="Courier New"/>
          <w:sz w:val="15"/>
          <w:szCs w:val="15"/>
          <w:color w:val="auto"/>
        </w:rPr>
        <w:t>Enforceability and Validity</w:t>
      </w:r>
      <w:r>
        <w:rPr>
          <w:sz w:val="20"/>
          <w:szCs w:val="20"/>
          <w:color w:val="auto"/>
        </w:rPr>
        <w:tab/>
      </w:r>
      <w:r>
        <w:rPr>
          <w:rFonts w:ascii="Courier New" w:cs="Courier New" w:eastAsia="Courier New" w:hAnsi="Courier New"/>
          <w:sz w:val="15"/>
          <w:szCs w:val="15"/>
          <w:color w:val="auto"/>
        </w:rPr>
        <w:t>14</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1102" w:right="1440" w:bottom="1440" w:gutter="0" w:footer="0" w:header="0"/>
        </w:sectPr>
      </w:pPr>
    </w:p>
    <w:bookmarkStart w:id="104" w:name="page105"/>
    <w:bookmarkEnd w:id="104"/>
    <w:p>
      <w:pPr>
        <w:ind w:left="2200"/>
        <w:spacing w:after="0"/>
        <w:rPr>
          <w:sz w:val="20"/>
          <w:szCs w:val="20"/>
          <w:color w:val="auto"/>
        </w:rPr>
      </w:pPr>
      <w:r>
        <w:rPr>
          <w:rFonts w:ascii="Courier New" w:cs="Courier New" w:eastAsia="Courier New" w:hAnsi="Courier New"/>
          <w:sz w:val="15"/>
          <w:szCs w:val="15"/>
          <w:color w:val="auto"/>
        </w:rPr>
        <w:t>REGISTRATION RIGHTS AGREEMENT</w:t>
      </w:r>
    </w:p>
    <w:p>
      <w:pPr>
        <w:spacing w:after="0" w:line="335" w:lineRule="exact"/>
        <w:rPr>
          <w:sz w:val="20"/>
          <w:szCs w:val="20"/>
          <w:color w:val="auto"/>
        </w:rPr>
      </w:pPr>
    </w:p>
    <w:p>
      <w:pPr>
        <w:jc w:val="both"/>
        <w:ind w:right="3579" w:firstLine="875"/>
        <w:spacing w:after="0" w:line="290" w:lineRule="auto"/>
        <w:rPr>
          <w:sz w:val="20"/>
          <w:szCs w:val="20"/>
          <w:color w:val="auto"/>
        </w:rPr>
      </w:pPr>
      <w:r>
        <w:rPr>
          <w:rFonts w:ascii="Courier New" w:cs="Courier New" w:eastAsia="Courier New" w:hAnsi="Courier New"/>
          <w:sz w:val="15"/>
          <w:szCs w:val="15"/>
          <w:color w:val="auto"/>
        </w:rPr>
        <w:t>REGISTRATION RIGHTS AGREEMENT, dated as of June 28, 1996, between Micron Technology, Inc., a Delaware corporation (the "Company") and Canadian Imperial Bank of Commerce ("CIBC").</w:t>
      </w:r>
    </w:p>
    <w:p>
      <w:pPr>
        <w:spacing w:after="0" w:line="225" w:lineRule="exact"/>
        <w:rPr>
          <w:sz w:val="20"/>
          <w:szCs w:val="20"/>
          <w:color w:val="auto"/>
        </w:rPr>
      </w:pPr>
    </w:p>
    <w:p>
      <w:pPr>
        <w:ind w:left="1320" w:hanging="436"/>
        <w:spacing w:after="0"/>
        <w:tabs>
          <w:tab w:leader="none" w:pos="132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  Simplot Canada Limited ("Simplot") has pledged</w:t>
      </w:r>
    </w:p>
    <w:p>
      <w:pPr>
        <w:spacing w:after="0" w:line="2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ind w:right="3239"/>
        <w:spacing w:after="0" w:line="243" w:lineRule="auto"/>
        <w:rPr>
          <w:sz w:val="20"/>
          <w:szCs w:val="20"/>
          <w:color w:val="auto"/>
        </w:rPr>
      </w:pPr>
      <w:r>
        <w:rPr>
          <w:rFonts w:ascii="Courier New" w:cs="Courier New" w:eastAsia="Courier New" w:hAnsi="Courier New"/>
          <w:sz w:val="15"/>
          <w:szCs w:val="15"/>
          <w:color w:val="auto"/>
        </w:rPr>
        <w:t>2,600,000 shares of the Company's common stock, par value $.10 per share (the "Common Shares"), to CIBC under a Pledge dated June 28, 1996 between Simplot and CIBC (the "Pledge"). The Pledge secures Simplot's obligations to CIBC under, among other things, a Loan Agreement dated as of June 28, 1996 (the "Loan Agree ment") and a Master Agreement dated June 28, 1996 (together with the Schedule thereto and the confirmation entered into thereunder and dated as of June 28, 1996, the "Forward Agreement"), each between Simplot and CIBC. Micron is willing to provide certain registration rights to CIBC with respect to the Common Shares pledged by Simplot, and CIBC is willing to pay certain of the Company's expenses under this Agreement on the terms set forth herein. Certain capitalized terms used in this Agreement are defined in section 3 hereof; references to sections shall be to sections of this Agreement.</w:t>
      </w:r>
    </w:p>
    <w:p>
      <w:pPr>
        <w:spacing w:after="0" w:line="96" w:lineRule="exact"/>
        <w:rPr>
          <w:sz w:val="20"/>
          <w:szCs w:val="20"/>
          <w:color w:val="auto"/>
        </w:rPr>
      </w:pPr>
    </w:p>
    <w:p>
      <w:pPr>
        <w:ind w:left="1320" w:hanging="436"/>
        <w:spacing w:after="0"/>
        <w:tabs>
          <w:tab w:leader="none" w:pos="13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under Securities Act, etc.</w:t>
      </w:r>
    </w:p>
    <w:p>
      <w:pPr>
        <w:spacing w:after="0" w:line="24" w:lineRule="exact"/>
        <w:rPr>
          <w:rFonts w:ascii="Courier New" w:cs="Courier New" w:eastAsia="Courier New" w:hAnsi="Courier New"/>
          <w:sz w:val="15"/>
          <w:szCs w:val="15"/>
          <w:color w:val="auto"/>
        </w:rPr>
      </w:pP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880"/>
        <w:spacing w:after="0"/>
        <w:tabs>
          <w:tab w:leader="none" w:pos="130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4"/>
          <w:szCs w:val="14"/>
          <w:color w:val="auto"/>
        </w:rPr>
        <w:t>Registration on Request.</w:t>
      </w:r>
    </w:p>
    <w:p>
      <w:pPr>
        <w:spacing w:after="0" w:line="24"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680" w:hanging="358"/>
        <w:spacing w:after="0"/>
        <w:tabs>
          <w:tab w:leader="none" w:pos="16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 At any time during the two-year period (or such</w:t>
      </w:r>
    </w:p>
    <w:p>
      <w:pPr>
        <w:spacing w:after="0" w:line="24" w:lineRule="exact"/>
        <w:rPr>
          <w:rFonts w:ascii="Courier New" w:cs="Courier New" w:eastAsia="Courier New" w:hAnsi="Courier New"/>
          <w:sz w:val="15"/>
          <w:szCs w:val="15"/>
          <w:color w:val="auto"/>
        </w:rPr>
      </w:pPr>
    </w:p>
    <w:p>
      <w:pPr>
        <w:ind w:left="16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239"/>
        <w:spacing w:after="0" w:line="254" w:lineRule="auto"/>
        <w:rPr>
          <w:sz w:val="20"/>
          <w:szCs w:val="20"/>
          <w:color w:val="auto"/>
        </w:rPr>
      </w:pPr>
      <w:r>
        <w:rPr>
          <w:rFonts w:ascii="Courier New" w:cs="Courier New" w:eastAsia="Courier New" w:hAnsi="Courier New"/>
          <w:sz w:val="14"/>
          <w:szCs w:val="14"/>
          <w:color w:val="auto"/>
        </w:rPr>
        <w:t>shorter holding period as may in the good faith determination of CIBC be applicable to CIBC as holder of the Common Shares under Rule 144 under the Securities Act or any similar or successor rule or regulation hereafter adopted by the Commission) after the earlier of (i) June 27, 2003 and (ii) the date on which CIBC shall have foreclosed on the Common Shares under the Pledge OR otherwise received the Common Shares under the Forward Agreement, upon the written request of CIBC, requesting that the Company effect the registration under the Securities Act of all or part of the Common Shares and specifying the intended method of disposition thereof, the Company will, subject to the terms of this Agreement, use commercially reasonable efforts to effect the registration under the Securities Act of the Common Shares for disposition in accordance with the intended method of disposition stated in CIBC's request, to the extent requisite to permit the disposition (in accordance with the intended methods thereof as aforesaid) of the Common Stock so to be registered; provided,</w:t>
      </w:r>
    </w:p>
    <w:p>
      <w:pPr>
        <w:spacing w:after="0" w:line="3" w:lineRule="exact"/>
        <w:rPr>
          <w:sz w:val="20"/>
          <w:szCs w:val="20"/>
          <w:color w:val="auto"/>
        </w:rPr>
      </w:pPr>
    </w:p>
    <w:p>
      <w:pPr>
        <w:ind w:left="6220"/>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however, that the Company shall not be</w:t>
      </w: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39"/>
          </w:cols>
          <w:pgMar w:left="220" w:top="597" w:right="1440" w:bottom="1440" w:gutter="0" w:footer="0" w:header="0"/>
        </w:sectPr>
      </w:pPr>
    </w:p>
    <w:bookmarkStart w:id="105" w:name="page106"/>
    <w:bookmarkEnd w:id="105"/>
    <w:p>
      <w:pPr>
        <w:ind w:right="3239"/>
        <w:spacing w:after="0" w:line="258" w:lineRule="auto"/>
        <w:rPr>
          <w:sz w:val="20"/>
          <w:szCs w:val="20"/>
          <w:color w:val="auto"/>
        </w:rPr>
      </w:pPr>
      <w:r>
        <w:rPr>
          <w:rFonts w:ascii="Courier New" w:cs="Courier New" w:eastAsia="Courier New" w:hAnsi="Courier New"/>
          <w:sz w:val="15"/>
          <w:szCs w:val="15"/>
          <w:color w:val="auto"/>
        </w:rPr>
        <w:t>obligated to register the Common Shares (i) during the period described above if the Commission shall have issued a no-action letter that would allow CIBC to sell the Common Shares publicly without a registration statement during such period or (ii) if the Company provides CIBC with an opinion of counsel satisfactory in form and substance to CIBC that CIBC may sell the shares publicly without a registration statement.</w:t>
      </w:r>
    </w:p>
    <w:p>
      <w:pPr>
        <w:spacing w:after="0" w:line="81" w:lineRule="exact"/>
        <w:rPr>
          <w:sz w:val="20"/>
          <w:szCs w:val="20"/>
          <w:color w:val="auto"/>
        </w:rPr>
      </w:pPr>
    </w:p>
    <w:p>
      <w:pPr>
        <w:ind w:left="1680" w:hanging="358"/>
        <w:spacing w:after="0"/>
        <w:tabs>
          <w:tab w:leader="none" w:pos="16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Statement Form. Registrations under this section</w:t>
      </w:r>
    </w:p>
    <w:p>
      <w:pPr>
        <w:spacing w:after="0" w:line="35" w:lineRule="exact"/>
        <w:rPr>
          <w:rFonts w:ascii="Courier New" w:cs="Courier New" w:eastAsia="Courier New" w:hAnsi="Courier New"/>
          <w:sz w:val="14"/>
          <w:szCs w:val="14"/>
          <w:color w:val="auto"/>
        </w:rPr>
      </w:pPr>
    </w:p>
    <w:p>
      <w:pPr>
        <w:ind w:left="16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jc w:val="center"/>
        <w:ind w:right="3679"/>
        <w:spacing w:after="0"/>
        <w:rPr>
          <w:sz w:val="20"/>
          <w:szCs w:val="20"/>
          <w:color w:val="auto"/>
        </w:rPr>
      </w:pPr>
      <w:r>
        <w:rPr>
          <w:rFonts w:ascii="Courier New" w:cs="Courier New" w:eastAsia="Courier New" w:hAnsi="Courier New"/>
          <w:sz w:val="14"/>
          <w:szCs w:val="14"/>
          <w:color w:val="auto"/>
        </w:rPr>
        <w:t>2.1 shall be on such appropriate registration form of the Commission (i) as</w:t>
      </w:r>
    </w:p>
    <w:p>
      <w:pPr>
        <w:spacing w:after="0" w:line="8" w:lineRule="exact"/>
        <w:rPr>
          <w:sz w:val="20"/>
          <w:szCs w:val="20"/>
          <w:color w:val="auto"/>
        </w:rPr>
      </w:pPr>
    </w:p>
    <w:p>
      <w:pPr>
        <w:jc w:val="center"/>
        <w:ind w:left="880"/>
        <w:spacing w:after="0"/>
        <w:rPr>
          <w:sz w:val="20"/>
          <w:szCs w:val="20"/>
          <w:color w:val="auto"/>
        </w:rPr>
      </w:pPr>
      <w:r>
        <w:rPr>
          <w:rFonts w:ascii="Courier New" w:cs="Courier New" w:eastAsia="Courier New" w:hAnsi="Courier New"/>
          <w:sz w:val="15"/>
          <w:szCs w:val="15"/>
          <w:color w:val="auto"/>
        </w:rPr>
        <w:t>-</w:t>
      </w:r>
    </w:p>
    <w:p>
      <w:pPr>
        <w:jc w:val="center"/>
        <w:ind w:right="3239"/>
        <w:spacing w:after="0"/>
        <w:rPr>
          <w:sz w:val="20"/>
          <w:szCs w:val="20"/>
          <w:color w:val="auto"/>
        </w:rPr>
      </w:pPr>
      <w:r>
        <w:rPr>
          <w:rFonts w:ascii="Courier New" w:cs="Courier New" w:eastAsia="Courier New" w:hAnsi="Courier New"/>
          <w:sz w:val="14"/>
          <w:szCs w:val="14"/>
          <w:color w:val="auto"/>
        </w:rPr>
        <w:t>shall be selected by the Company and (ii) as shall permit the disposition of the</w:t>
      </w:r>
    </w:p>
    <w:p>
      <w:pPr>
        <w:spacing w:after="0" w:line="8"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w:t>
      </w:r>
    </w:p>
    <w:p>
      <w:pPr>
        <w:ind w:right="3399"/>
        <w:spacing w:after="0" w:line="307" w:lineRule="auto"/>
        <w:rPr>
          <w:sz w:val="20"/>
          <w:szCs w:val="20"/>
          <w:color w:val="auto"/>
        </w:rPr>
      </w:pPr>
      <w:r>
        <w:rPr>
          <w:rFonts w:ascii="Courier New" w:cs="Courier New" w:eastAsia="Courier New" w:hAnsi="Courier New"/>
          <w:sz w:val="15"/>
          <w:szCs w:val="15"/>
          <w:color w:val="auto"/>
        </w:rPr>
        <w:t>Common Shares in accordance with the intended method or methods of disposition specified in CIBC's request for such registration.</w:t>
      </w:r>
    </w:p>
    <w:p>
      <w:pPr>
        <w:spacing w:after="0" w:line="44" w:lineRule="exact"/>
        <w:rPr>
          <w:sz w:val="20"/>
          <w:szCs w:val="20"/>
          <w:color w:val="auto"/>
        </w:rPr>
      </w:pPr>
    </w:p>
    <w:p>
      <w:pPr>
        <w:ind w:left="1680" w:hanging="358"/>
        <w:spacing w:after="0"/>
        <w:tabs>
          <w:tab w:leader="none" w:pos="168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CIBC shall pay all Registration Expenses in</w:t>
      </w:r>
    </w:p>
    <w:p>
      <w:pPr>
        <w:spacing w:after="0" w:line="24" w:lineRule="exact"/>
        <w:rPr>
          <w:rFonts w:ascii="Courier New" w:cs="Courier New" w:eastAsia="Courier New" w:hAnsi="Courier New"/>
          <w:sz w:val="15"/>
          <w:szCs w:val="15"/>
          <w:color w:val="auto"/>
        </w:rPr>
      </w:pPr>
    </w:p>
    <w:p>
      <w:pPr>
        <w:ind w:left="16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connection with any registration requested pursuant to this section 2.1.</w:t>
      </w:r>
    </w:p>
    <w:p>
      <w:pPr>
        <w:spacing w:after="0" w:line="140" w:lineRule="exact"/>
        <w:rPr>
          <w:sz w:val="20"/>
          <w:szCs w:val="20"/>
          <w:color w:val="auto"/>
        </w:rPr>
      </w:pPr>
    </w:p>
    <w:p>
      <w:pPr>
        <w:ind w:right="3319" w:firstLine="1322"/>
        <w:spacing w:after="0" w:line="248" w:lineRule="auto"/>
        <w:tabs>
          <w:tab w:leader="none" w:pos="1662"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(i) the Company shall not be obligated to take any action pursuant to this section 2.1 if the Company shall furnish to CIBC a certificate signed by the Chief Executive Officer of the Company stating that in the good faith judgment of its Board of Directors it would be seriously detrimental to the Company or its shareholders for registration statements to be filed in the near future, then the Company's obligation to use commercially reasonable efforts to file a registration statement shall be deferred for a period not to exceed one hundred twenty (120) days from the receipt of the request to file such registration by CIBC and (ii) the Company may register other securities in a registration statement filed pursuant to this section 2.1.</w:t>
      </w:r>
    </w:p>
    <w:p>
      <w:pPr>
        <w:spacing w:after="0" w:line="87" w:lineRule="exact"/>
        <w:rPr>
          <w:sz w:val="20"/>
          <w:szCs w:val="20"/>
          <w:color w:val="auto"/>
        </w:rPr>
      </w:pPr>
    </w:p>
    <w:p>
      <w:pPr>
        <w:jc w:val="right"/>
        <w:ind w:right="3239"/>
        <w:spacing w:after="0"/>
        <w:tabs>
          <w:tab w:leader="none" w:pos="5660" w:val="left"/>
          <w:tab w:leader="none" w:pos="3380" w:val="left"/>
        </w:tabs>
        <w:rPr>
          <w:sz w:val="20"/>
          <w:szCs w:val="20"/>
          <w:color w:val="auto"/>
        </w:rPr>
      </w:pPr>
      <w:r>
        <w:rPr>
          <w:rFonts w:ascii="Courier New" w:cs="Courier New" w:eastAsia="Courier New" w:hAnsi="Courier New"/>
          <w:sz w:val="15"/>
          <w:szCs w:val="15"/>
          <w:color w:val="auto"/>
        </w:rPr>
        <w:t>2.2</w:t>
        <w:tab/>
        <w:t>Registration Procedures.</w:t>
      </w:r>
      <w:r>
        <w:rPr>
          <w:sz w:val="20"/>
          <w:szCs w:val="20"/>
          <w:color w:val="auto"/>
        </w:rPr>
        <w:tab/>
      </w:r>
      <w:r>
        <w:rPr>
          <w:rFonts w:ascii="Courier New" w:cs="Courier New" w:eastAsia="Courier New" w:hAnsi="Courier New"/>
          <w:sz w:val="14"/>
          <w:szCs w:val="14"/>
          <w:color w:val="auto"/>
        </w:rPr>
        <w:t>If and whenever the Company is required</w:t>
      </w:r>
    </w:p>
    <w:p>
      <w:pPr>
        <w:spacing w:after="0" w:line="2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jc w:val="both"/>
        <w:ind w:right="3319"/>
        <w:spacing w:after="0" w:line="272" w:lineRule="auto"/>
        <w:rPr>
          <w:sz w:val="20"/>
          <w:szCs w:val="20"/>
          <w:color w:val="auto"/>
        </w:rPr>
      </w:pPr>
      <w:r>
        <w:rPr>
          <w:rFonts w:ascii="Courier New" w:cs="Courier New" w:eastAsia="Courier New" w:hAnsi="Courier New"/>
          <w:sz w:val="15"/>
          <w:szCs w:val="15"/>
          <w:color w:val="auto"/>
        </w:rPr>
        <w:t>to use commercially reasonable efforts to effect the registration of the Common Shares under the Securities Act as provided in section 2.1, the Company shall, as expeditiously as possible:</w:t>
      </w:r>
    </w:p>
    <w:p>
      <w:pPr>
        <w:spacing w:after="0" w:line="69" w:lineRule="exact"/>
        <w:rPr>
          <w:sz w:val="20"/>
          <w:szCs w:val="20"/>
          <w:color w:val="auto"/>
        </w:rPr>
      </w:pPr>
    </w:p>
    <w:p>
      <w:pPr>
        <w:ind w:left="440" w:right="3319" w:firstLine="882"/>
        <w:spacing w:after="0" w:line="242" w:lineRule="auto"/>
        <w:tabs>
          <w:tab w:leader="none" w:pos="1927"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and within 60 days after CIBC's request file with the Commission the requisite registration statement to effect such registration (including such audited financial statements as may be required by the Securities Act or the rules and regulations promulgated thereunder) and thereafter use commercially reasonable efforts to cause such registration statement to become and remain effective for a period of not more than 180 days, provided however that before filing such</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ind w:left="440" w:right="3319"/>
        <w:spacing w:after="0" w:line="307" w:lineRule="auto"/>
        <w:rPr>
          <w:sz w:val="20"/>
          <w:szCs w:val="20"/>
          <w:color w:val="auto"/>
        </w:rPr>
      </w:pPr>
      <w:r>
        <w:rPr>
          <w:rFonts w:ascii="Courier New" w:cs="Courier New" w:eastAsia="Courier New" w:hAnsi="Courier New"/>
          <w:sz w:val="15"/>
          <w:szCs w:val="15"/>
          <w:color w:val="auto"/>
        </w:rPr>
        <w:t>registration statement or any amendments thereto, the Company will furnish to the counsel selected by CIBC copies of all such</w:t>
      </w:r>
    </w:p>
    <w:p>
      <w:pPr>
        <w:spacing w:after="0" w:line="4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598" w:right="1440" w:bottom="1440" w:gutter="0" w:footer="0" w:header="0"/>
        </w:sectPr>
      </w:pPr>
    </w:p>
    <w:bookmarkStart w:id="106" w:name="page107"/>
    <w:bookmarkEnd w:id="106"/>
    <w:p>
      <w:pPr>
        <w:ind w:right="3679"/>
        <w:spacing w:after="0" w:line="344" w:lineRule="auto"/>
        <w:rPr>
          <w:sz w:val="20"/>
          <w:szCs w:val="20"/>
          <w:color w:val="auto"/>
        </w:rPr>
      </w:pPr>
      <w:r>
        <w:rPr>
          <w:rFonts w:ascii="Courier New" w:cs="Courier New" w:eastAsia="Courier New" w:hAnsi="Courier New"/>
          <w:sz w:val="15"/>
          <w:szCs w:val="15"/>
          <w:color w:val="auto"/>
        </w:rPr>
        <w:t>documents proposed to be filed, which documents will be subject to the review of such counsel;</w:t>
      </w:r>
    </w:p>
    <w:p>
      <w:pPr>
        <w:spacing w:after="0" w:line="17" w:lineRule="exact"/>
        <w:rPr>
          <w:sz w:val="20"/>
          <w:szCs w:val="20"/>
          <w:color w:val="auto"/>
        </w:rPr>
      </w:pPr>
    </w:p>
    <w:p>
      <w:pPr>
        <w:ind w:right="3399" w:firstLine="882"/>
        <w:spacing w:after="0" w:line="258" w:lineRule="auto"/>
        <w:tabs>
          <w:tab w:leader="none" w:pos="1487"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and file with the Commission such amendments and supplements to such registration statement and the prospectus used in connection therewith as may be necessary to keep such registration statement effective for a period of not more than 180 days and to comply with the provisions of the Securities Act with respect to the disposition of all securities covered by such registration statement;</w:t>
      </w:r>
    </w:p>
    <w:p>
      <w:pPr>
        <w:spacing w:after="0" w:line="81" w:lineRule="exact"/>
        <w:rPr>
          <w:rFonts w:ascii="Courier New" w:cs="Courier New" w:eastAsia="Courier New" w:hAnsi="Courier New"/>
          <w:sz w:val="15"/>
          <w:szCs w:val="15"/>
          <w:color w:val="auto"/>
        </w:rPr>
      </w:pPr>
    </w:p>
    <w:p>
      <w:pPr>
        <w:ind w:right="3239" w:firstLine="882"/>
        <w:spacing w:after="0" w:line="250" w:lineRule="auto"/>
        <w:tabs>
          <w:tab w:leader="none" w:pos="1487"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to CIBC such number of conformed copies of such registration statement and of each such amendment and supplement thereto (in each case including all exhibits), such number of copies of the prospectus contained in such registration statement (including each prelimi nary prospectus and any summary prospectus) and any other prospectus filed under Rule 424 under the Securities Act, in conformity with the requirements of the Securities Act, and such other documents, as CIBC may reasonably request in order to facilitate the disposition of the Common Shares in accordance with the intended method of disposition;</w:t>
      </w:r>
    </w:p>
    <w:p>
      <w:pPr>
        <w:spacing w:after="0" w:line="88" w:lineRule="exact"/>
        <w:rPr>
          <w:rFonts w:ascii="Courier New" w:cs="Courier New" w:eastAsia="Courier New" w:hAnsi="Courier New"/>
          <w:sz w:val="15"/>
          <w:szCs w:val="15"/>
          <w:color w:val="auto"/>
        </w:rPr>
      </w:pPr>
    </w:p>
    <w:p>
      <w:pPr>
        <w:ind w:right="3239" w:firstLine="882"/>
        <w:spacing w:after="0" w:line="247" w:lineRule="auto"/>
        <w:tabs>
          <w:tab w:leader="none" w:pos="1487"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commercially reasonable efforts to register or quali fy the Common Shares under such other securities laws or blue sky laws of such jurisdictions as CIBC shall reasonably request, to keep such registra tions or qualifications in effect for so long as such registration statement remains in effect, and take any other action which may be reasonably necessary or advisable to enable CIBC to consummate the disposition in such jurisdictions of the Common Shares, except that the Company shall not for any such purpose be required to qualify generally to do business as a foreign corporation in any jurisdiction wherein it would not but for the requirements of this subdivision (iv) be obligated to be so qualified or to consent to general service of process in any such jurisdiction;</w:t>
      </w:r>
    </w:p>
    <w:p>
      <w:pPr>
        <w:spacing w:after="0" w:line="88" w:lineRule="exact"/>
        <w:rPr>
          <w:rFonts w:ascii="Courier New" w:cs="Courier New" w:eastAsia="Courier New" w:hAnsi="Courier New"/>
          <w:sz w:val="15"/>
          <w:szCs w:val="15"/>
          <w:color w:val="auto"/>
        </w:rPr>
      </w:pPr>
    </w:p>
    <w:p>
      <w:pPr>
        <w:ind w:right="3239" w:firstLine="882"/>
        <w:spacing w:after="0" w:line="264" w:lineRule="auto"/>
        <w:tabs>
          <w:tab w:leader="none" w:pos="1487"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commercially reasonable efforts for so long as such registration statement remains in effect to cause all the Common Shares to be registered with or approved by such governmental agencies or authorities as CIBC shall reasonably request to enable CIBC to consummate the disposi tion of the Common Shares;</w:t>
      </w:r>
    </w:p>
    <w:p>
      <w:pPr>
        <w:spacing w:after="0" w:line="74" w:lineRule="exact"/>
        <w:rPr>
          <w:rFonts w:ascii="Courier New" w:cs="Courier New" w:eastAsia="Courier New" w:hAnsi="Courier New"/>
          <w:sz w:val="15"/>
          <w:szCs w:val="15"/>
          <w:color w:val="auto"/>
        </w:rPr>
      </w:pPr>
    </w:p>
    <w:p>
      <w:pPr>
        <w:ind w:right="3499" w:firstLine="882"/>
        <w:spacing w:after="0" w:line="344" w:lineRule="auto"/>
        <w:tabs>
          <w:tab w:leader="none" w:pos="1487"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CIBC promptly and confirm such advice in writing promptly thereafter:</w:t>
      </w:r>
    </w:p>
    <w:p>
      <w:pPr>
        <w:spacing w:after="0" w:line="1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99"/>
          </w:cols>
          <w:pgMar w:left="660" w:top="597" w:right="1440" w:bottom="1440" w:gutter="0" w:footer="0" w:header="0"/>
        </w:sectPr>
      </w:pPr>
    </w:p>
    <w:bookmarkStart w:id="107" w:name="page108"/>
    <w:bookmarkEnd w:id="107"/>
    <w:p>
      <w:pPr>
        <w:ind w:left="-340" w:right="3399" w:firstLine="442"/>
        <w:spacing w:after="0" w:line="264" w:lineRule="auto"/>
        <w:tabs>
          <w:tab w:leader="none" w:pos="535"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the registration statement, the prospectus or any prospectus supplement related thereto or post-effective amendment to the registration statement has been filed, and, with respect to the registration statement or any post-effective amendment thereto, when the same has become effective;</w:t>
      </w:r>
    </w:p>
    <w:p>
      <w:pPr>
        <w:spacing w:after="0" w:line="74" w:lineRule="exact"/>
        <w:rPr>
          <w:rFonts w:ascii="Courier New" w:cs="Courier New" w:eastAsia="Courier New" w:hAnsi="Courier New"/>
          <w:sz w:val="15"/>
          <w:szCs w:val="15"/>
          <w:color w:val="auto"/>
        </w:rPr>
      </w:pPr>
    </w:p>
    <w:p>
      <w:pPr>
        <w:ind w:left="-340" w:right="3579" w:firstLine="442"/>
        <w:spacing w:after="0" w:line="290" w:lineRule="auto"/>
        <w:tabs>
          <w:tab w:leader="none" w:pos="535"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any request by the Commission for amendments or supplements to the registration statement or the prospectus or for additional information;</w:t>
      </w:r>
    </w:p>
    <w:p>
      <w:pPr>
        <w:spacing w:after="0" w:line="56" w:lineRule="exact"/>
        <w:rPr>
          <w:rFonts w:ascii="Courier New" w:cs="Courier New" w:eastAsia="Courier New" w:hAnsi="Courier New"/>
          <w:sz w:val="15"/>
          <w:szCs w:val="15"/>
          <w:color w:val="auto"/>
        </w:rPr>
      </w:pPr>
    </w:p>
    <w:p>
      <w:pPr>
        <w:ind w:left="-340" w:right="3679" w:firstLine="442"/>
        <w:spacing w:after="0" w:line="320" w:lineRule="auto"/>
        <w:tabs>
          <w:tab w:leader="none" w:pos="535"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issuance by the Commission of any stop order suspending the effectiveness of the registration statement or the initiation of any proceedings by any Person for that purpose;</w:t>
      </w:r>
    </w:p>
    <w:p>
      <w:pPr>
        <w:spacing w:after="0" w:line="38" w:lineRule="exact"/>
        <w:rPr>
          <w:rFonts w:ascii="Courier New" w:cs="Courier New" w:eastAsia="Courier New" w:hAnsi="Courier New"/>
          <w:sz w:val="14"/>
          <w:szCs w:val="14"/>
          <w:color w:val="auto"/>
        </w:rPr>
      </w:pPr>
    </w:p>
    <w:p>
      <w:pPr>
        <w:ind w:left="-340" w:right="3319" w:firstLine="442"/>
        <w:spacing w:after="0" w:line="273" w:lineRule="auto"/>
        <w:tabs>
          <w:tab w:leader="none" w:pos="535"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receipt by the Company of any notification with respect to the suspension of the qualification of any Common Shares for sale under the securities or blue sky laws of any jurisdiction or the initiation or threat of any proceeding for such purpose; and</w:t>
      </w:r>
    </w:p>
    <w:p>
      <w:pPr>
        <w:spacing w:after="0" w:line="68" w:lineRule="exact"/>
        <w:rPr>
          <w:sz w:val="20"/>
          <w:szCs w:val="20"/>
          <w:color w:val="auto"/>
        </w:rPr>
      </w:pPr>
    </w:p>
    <w:p>
      <w:pPr>
        <w:ind w:left="-780" w:right="3239" w:firstLine="882"/>
        <w:spacing w:after="0" w:line="245" w:lineRule="auto"/>
        <w:tabs>
          <w:tab w:leader="none" w:pos="707"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CIBC, at any time when with respect to the Common Shares a prospectus relating thereto is required to be delivered under the Securities Act, upon the Company's discovery that, or upon the happening of any event as a result of which, the prospectus included in such registration statement, as then in effect, includes an untrue statement of a material fact or omits to state any material fact required to be stated therein or necessary to make the statements therein not misleading in the light of the circumstances then existing, and at the request of CIBC promptly prepare and furnish to CIBC a reasonable number of copies of a supplement to or an amendment of such prospectus as may be necessary so that, as thereafter delivered to the purchasers of such securities, such prospectus shall not include an untrue statement of a material fact or omit to state a material fact required to be stated therein or necessary to make the statements therein not misleading in the light of the circumstances then existing;</w:t>
      </w:r>
    </w:p>
    <w:p>
      <w:pPr>
        <w:spacing w:after="0" w:line="89" w:lineRule="exact"/>
        <w:rPr>
          <w:rFonts w:ascii="Courier New" w:cs="Courier New" w:eastAsia="Courier New" w:hAnsi="Courier New"/>
          <w:sz w:val="15"/>
          <w:szCs w:val="15"/>
          <w:color w:val="auto"/>
        </w:rPr>
      </w:pPr>
    </w:p>
    <w:p>
      <w:pPr>
        <w:ind w:left="-780" w:right="3579" w:firstLine="882"/>
        <w:spacing w:after="0" w:line="290" w:lineRule="auto"/>
        <w:tabs>
          <w:tab w:leader="none" w:pos="707"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commercially reasonable efforts to obtain the with drawal of any order suspending the effectiveness of the registration statement at the earliest possible moment; and</w:t>
      </w:r>
    </w:p>
    <w:p>
      <w:pPr>
        <w:spacing w:after="0" w:line="56" w:lineRule="exact"/>
        <w:rPr>
          <w:rFonts w:ascii="Courier New" w:cs="Courier New" w:eastAsia="Courier New" w:hAnsi="Courier New"/>
          <w:sz w:val="15"/>
          <w:szCs w:val="15"/>
          <w:color w:val="auto"/>
        </w:rPr>
      </w:pPr>
    </w:p>
    <w:p>
      <w:pPr>
        <w:ind w:left="-780" w:right="3499" w:firstLine="882"/>
        <w:spacing w:after="0" w:line="273" w:lineRule="auto"/>
        <w:tabs>
          <w:tab w:leader="none" w:pos="707"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 use commercially reasonable efforts to comply with all applicable rules and regulations of the Commission, and make available to its security holders, as soon as reasonably practicable, an earnings</w:t>
      </w:r>
    </w:p>
    <w:p>
      <w:pPr>
        <w:spacing w:after="0" w:line="6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019"/>
          </w:cols>
          <w:pgMar w:left="1440" w:top="597" w:right="1440" w:bottom="1440" w:gutter="0" w:footer="0" w:header="0"/>
        </w:sectPr>
      </w:pPr>
    </w:p>
    <w:bookmarkStart w:id="108" w:name="page109"/>
    <w:bookmarkEnd w:id="108"/>
    <w:p>
      <w:pPr>
        <w:ind w:left="440" w:right="3319"/>
        <w:spacing w:after="0" w:line="248" w:lineRule="auto"/>
        <w:rPr>
          <w:sz w:val="20"/>
          <w:szCs w:val="20"/>
          <w:color w:val="auto"/>
        </w:rPr>
      </w:pPr>
      <w:r>
        <w:rPr>
          <w:rFonts w:ascii="Courier New" w:cs="Courier New" w:eastAsia="Courier New" w:hAnsi="Courier New"/>
          <w:sz w:val="15"/>
          <w:szCs w:val="15"/>
          <w:color w:val="auto"/>
        </w:rPr>
        <w:t>statement covering the period of at least twelve months, but not more than eighteen months, beginning with the first full calendar month after the effective date of such registration statement, which earnings statement shall satisfy the provisions of Section 11(a) of the Securities Act and Rule 158 thereunder, and furnish to CIBC at least five business days prior to the filing thereof a copy of any amendment or supplement to such registration statement or prospectus and shall not file any thereof to which CIBC shall have reasonably objected on the grounds that such amendment or supplement does not comply in all material respects with the requirements of the Securities Act or of the rules or regulations thereunder.</w:t>
      </w:r>
    </w:p>
    <w:p>
      <w:pPr>
        <w:spacing w:after="0" w:line="87" w:lineRule="exact"/>
        <w:rPr>
          <w:sz w:val="20"/>
          <w:szCs w:val="20"/>
          <w:color w:val="auto"/>
        </w:rPr>
      </w:pPr>
    </w:p>
    <w:p>
      <w:pPr>
        <w:ind w:right="3319"/>
        <w:spacing w:after="0" w:line="290" w:lineRule="auto"/>
        <w:rPr>
          <w:sz w:val="20"/>
          <w:szCs w:val="20"/>
          <w:color w:val="auto"/>
        </w:rPr>
      </w:pPr>
      <w:r>
        <w:rPr>
          <w:rFonts w:ascii="Courier New" w:cs="Courier New" w:eastAsia="Courier New" w:hAnsi="Courier New"/>
          <w:sz w:val="15"/>
          <w:szCs w:val="15"/>
          <w:color w:val="auto"/>
        </w:rPr>
        <w:t>CIBC shall furnish the Company such information regarding CIBC and the distribution of such securities as the Company may from time to time reasonably request in writing.</w:t>
      </w:r>
    </w:p>
    <w:p>
      <w:pPr>
        <w:spacing w:after="0" w:line="57" w:lineRule="exact"/>
        <w:rPr>
          <w:sz w:val="20"/>
          <w:szCs w:val="20"/>
          <w:color w:val="auto"/>
        </w:rPr>
      </w:pPr>
    </w:p>
    <w:p>
      <w:pPr>
        <w:ind w:right="3319" w:firstLine="875"/>
        <w:spacing w:after="0" w:line="262" w:lineRule="auto"/>
        <w:rPr>
          <w:sz w:val="20"/>
          <w:szCs w:val="20"/>
          <w:color w:val="auto"/>
        </w:rPr>
      </w:pPr>
      <w:r>
        <w:rPr>
          <w:rFonts w:ascii="Courier New" w:cs="Courier New" w:eastAsia="Courier New" w:hAnsi="Courier New"/>
          <w:sz w:val="14"/>
          <w:szCs w:val="14"/>
          <w:color w:val="auto"/>
        </w:rPr>
        <w:t>The Company will not file any registration statement or amendment thereto or any prospectus or any supplement thereto (including such documents incorporated by reference and proposed to be filed after the initial filing of the registration statement) in satisfaction of its obligations pursuant to this section 2 to which CIBC shall reasonably object, provided that the Company may</w:t>
      </w:r>
    </w:p>
    <w:p>
      <w:pPr>
        <w:ind w:left="430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4"/>
          <w:szCs w:val="14"/>
          <w:color w:val="auto"/>
        </w:rPr>
        <w:t>file such document in a form required by law or upon the advice of its counsel.</w:t>
      </w:r>
    </w:p>
    <w:p>
      <w:pPr>
        <w:spacing w:after="0" w:line="152" w:lineRule="exact"/>
        <w:rPr>
          <w:sz w:val="20"/>
          <w:szCs w:val="20"/>
          <w:color w:val="auto"/>
        </w:rPr>
      </w:pPr>
    </w:p>
    <w:p>
      <w:pPr>
        <w:ind w:right="3239" w:firstLine="875"/>
        <w:spacing w:after="0" w:line="245" w:lineRule="auto"/>
        <w:rPr>
          <w:sz w:val="20"/>
          <w:szCs w:val="20"/>
          <w:color w:val="auto"/>
        </w:rPr>
      </w:pPr>
      <w:r>
        <w:rPr>
          <w:rFonts w:ascii="Courier New" w:cs="Courier New" w:eastAsia="Courier New" w:hAnsi="Courier New"/>
          <w:sz w:val="15"/>
          <w:szCs w:val="15"/>
          <w:color w:val="auto"/>
        </w:rPr>
        <w:t>CIBC shall be deemed to have agreed by acquisition of the Common Shares that, upon receipt of any notice from the Company of the occurrence of any event of the kind described in subdivision (vii) of this section 2.2, CIBC will forthwith discontinue its disposition of the Common Shares pursuant to the registra tion statement relating thereto until CIBC's receipt of the copies of the supplemented or amended prospectus contemplated by subdivision (vii) of this section 2.2 and, if so directed by the Company, will deliver to the Company (at CIBC's expense) all copies, other than permanent file copies, then in CIBC's possession of the prospectus relating to the Common Shares current at the time of receipt of such notice. In the event the Company shall give any such notice, the period mentioned in paragraph (ii) of this section 2.2 shall be extended by the length of the period from and including the date CIBC shall have received such notice to the date on which CIBC has received the copies of the supplemented or amended prospectus contemplated by paragraph (vii) of this section 2.2.</w:t>
      </w:r>
    </w:p>
    <w:p>
      <w:pPr>
        <w:spacing w:after="0" w:line="89" w:lineRule="exact"/>
        <w:rPr>
          <w:sz w:val="20"/>
          <w:szCs w:val="20"/>
          <w:color w:val="auto"/>
        </w:rPr>
      </w:pPr>
    </w:p>
    <w:p>
      <w:pPr>
        <w:ind w:left="880"/>
        <w:spacing w:after="0"/>
        <w:tabs>
          <w:tab w:leader="none" w:pos="1300" w:val="left"/>
          <w:tab w:leader="none" w:pos="4800" w:val="left"/>
        </w:tabs>
        <w:rPr>
          <w:sz w:val="20"/>
          <w:szCs w:val="20"/>
          <w:color w:val="auto"/>
        </w:rPr>
      </w:pPr>
      <w:r>
        <w:rPr>
          <w:rFonts w:ascii="Courier New" w:cs="Courier New" w:eastAsia="Courier New" w:hAnsi="Courier New"/>
          <w:sz w:val="15"/>
          <w:szCs w:val="15"/>
          <w:color w:val="auto"/>
        </w:rPr>
        <w:t>2.3</w:t>
        <w:tab/>
        <w:t>Preparation; Reasonable Investigation.</w:t>
      </w:r>
      <w:r>
        <w:rPr>
          <w:sz w:val="20"/>
          <w:szCs w:val="20"/>
          <w:color w:val="auto"/>
        </w:rPr>
        <w:tab/>
      </w:r>
      <w:r>
        <w:rPr>
          <w:rFonts w:ascii="Courier New" w:cs="Courier New" w:eastAsia="Courier New" w:hAnsi="Courier New"/>
          <w:sz w:val="14"/>
          <w:szCs w:val="14"/>
          <w:color w:val="auto"/>
        </w:rPr>
        <w:t>In connection with the</w:t>
      </w:r>
    </w:p>
    <w:p>
      <w:pPr>
        <w:spacing w:after="0" w:line="2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ind w:right="3239"/>
        <w:spacing w:after="0" w:line="251" w:lineRule="auto"/>
        <w:rPr>
          <w:sz w:val="20"/>
          <w:szCs w:val="20"/>
          <w:color w:val="auto"/>
        </w:rPr>
      </w:pPr>
      <w:r>
        <w:rPr>
          <w:rFonts w:ascii="Courier New" w:cs="Courier New" w:eastAsia="Courier New" w:hAnsi="Courier New"/>
          <w:sz w:val="15"/>
          <w:szCs w:val="15"/>
          <w:color w:val="auto"/>
        </w:rPr>
        <w:t>preparation and filing of each registration statement under the Securities Act pursuant to this Agreement, the Company will give CIBC and its counsel and accountants the opportunity to participate in the preparation of such registration statement, each prospectus included therein or filed with the Commission, and each amendment thereof or supplement thereto, and will give each of them such access to its financial books and</w:t>
      </w:r>
    </w:p>
    <w:p>
      <w:pPr>
        <w:spacing w:after="0" w:line="8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597" w:right="1440" w:bottom="1440" w:gutter="0" w:footer="0" w:header="0"/>
        </w:sectPr>
      </w:pPr>
    </w:p>
    <w:bookmarkStart w:id="109" w:name="page110"/>
    <w:bookmarkEnd w:id="109"/>
    <w:p>
      <w:pPr>
        <w:ind w:right="3239"/>
        <w:spacing w:after="0" w:line="273" w:lineRule="auto"/>
        <w:rPr>
          <w:sz w:val="20"/>
          <w:szCs w:val="20"/>
          <w:color w:val="auto"/>
        </w:rPr>
      </w:pPr>
      <w:r>
        <w:rPr>
          <w:rFonts w:ascii="Courier New" w:cs="Courier New" w:eastAsia="Courier New" w:hAnsi="Courier New"/>
          <w:sz w:val="14"/>
          <w:szCs w:val="14"/>
          <w:color w:val="auto"/>
        </w:rPr>
        <w:t>records and such opportunities to discuss the business of the Company with its officers and the independent public accountants who have certified its financial statements as shall be necessary, in the opinion of CIBC's counsel, to conduct a reasonable investigation within the meaning of the Securities Act. The Company shall not be responsible for any cost or expense incurred by CIBC, its counsel or accountants pursuant to this section 2.3. All information obtained by CIBC, its counsel or accountants pursuant to this section 2.3 shall be subject to the confidentiality provisions of section 4 herein.</w:t>
      </w:r>
    </w:p>
    <w:p>
      <w:pPr>
        <w:spacing w:after="0" w:line="71" w:lineRule="exact"/>
        <w:rPr>
          <w:sz w:val="20"/>
          <w:szCs w:val="20"/>
          <w:color w:val="auto"/>
        </w:rPr>
      </w:pPr>
    </w:p>
    <w:p>
      <w:pPr>
        <w:ind w:left="880"/>
        <w:spacing w:after="0"/>
        <w:tabs>
          <w:tab w:leader="none" w:pos="130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4"/>
          <w:szCs w:val="14"/>
          <w:color w:val="auto"/>
        </w:rPr>
        <w:t>Indemnification.</w:t>
      </w:r>
    </w:p>
    <w:p>
      <w:pPr>
        <w:spacing w:after="0" w:line="24"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680" w:hanging="358"/>
        <w:spacing w:after="0"/>
        <w:tabs>
          <w:tab w:leader="none" w:pos="168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by the Company. In the event of any</w:t>
      </w:r>
    </w:p>
    <w:p>
      <w:pPr>
        <w:spacing w:after="0" w:line="24" w:lineRule="exact"/>
        <w:rPr>
          <w:rFonts w:ascii="Courier New" w:cs="Courier New" w:eastAsia="Courier New" w:hAnsi="Courier New"/>
          <w:sz w:val="15"/>
          <w:szCs w:val="15"/>
          <w:color w:val="auto"/>
        </w:rPr>
      </w:pPr>
    </w:p>
    <w:p>
      <w:pPr>
        <w:ind w:left="16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239"/>
        <w:spacing w:after="0"/>
        <w:rPr>
          <w:sz w:val="20"/>
          <w:szCs w:val="20"/>
          <w:color w:val="auto"/>
        </w:rPr>
      </w:pPr>
      <w:r>
        <w:rPr>
          <w:rFonts w:ascii="Courier New" w:cs="Courier New" w:eastAsia="Courier New" w:hAnsi="Courier New"/>
          <w:sz w:val="15"/>
          <w:szCs w:val="15"/>
          <w:color w:val="auto"/>
        </w:rPr>
        <w:t>registration of the Common Shares under the Securities Act pursuant to the terms of this Agreement, the Company will, and hereby does agree to, indemnify and hold harmless CIBC, its directors and officers and each other Person, if any, who controls CIBC within the meaning of the Securities Act, against any losses, claims, damages or liabilities, joint or several, to which CIBC or any such director or officer or controlling person may become subject under the Securities Act or otherwise, insofar as such losses, claims, damages or liabilities (or actions or proceedings, whether commenced or threatened, in respect thereof) arise out of or are based upon any untrue statement or alleged untrue statement of any material fact contained in any registration statement under which such securities were registered under the Securities Act, any preliminary prospectus, final prospectus or summary prospectus contained therein, or any amendment or supplement thereto, or any omission or alleged omission to state therein a material fact required to be stated therein or necessary to make the statements therein not misleading, and the Company will reimburse CIBC and each such director, officer and controlling person for any legal or any other expenses reasonably incurred by them in connection with investi gating or defending any such loss, claim, liability, action or proceeding, provided that the Company shall not be liable in any such case to the extent that any such loss, claim, damage, liability (or action or proceeding in respect thereof) or expense arises out of or is based upon an untrue statement or alleged untrue statement or omission or alleged omission made in such registration statement, any such preliminary prospectus, final prospectus, summary prospectus, amendment or supplement in reliance upon and in conformity with written information furnished to the Company through an instrument duly executed by CIBC. Such indemnity shall remain in full force and effect regardless of any investigation made by or on behalf of CIBC or any such director, officer, or controlling person and shall survive the transfer of such securities by CIBC.</w:t>
      </w:r>
    </w:p>
    <w:p>
      <w:pPr>
        <w:spacing w:after="0" w:line="92" w:lineRule="exact"/>
        <w:rPr>
          <w:sz w:val="20"/>
          <w:szCs w:val="20"/>
          <w:color w:val="auto"/>
        </w:rPr>
      </w:pPr>
    </w:p>
    <w:p>
      <w:pPr>
        <w:ind w:left="1680" w:hanging="358"/>
        <w:spacing w:after="0"/>
        <w:tabs>
          <w:tab w:leader="none" w:pos="168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by CIBC. CIBC shall indemnify and hold</w:t>
      </w:r>
    </w:p>
    <w:p>
      <w:pPr>
        <w:spacing w:after="0" w:line="24" w:lineRule="exact"/>
        <w:rPr>
          <w:rFonts w:ascii="Courier New" w:cs="Courier New" w:eastAsia="Courier New" w:hAnsi="Courier New"/>
          <w:sz w:val="15"/>
          <w:szCs w:val="15"/>
          <w:color w:val="auto"/>
        </w:rPr>
      </w:pPr>
    </w:p>
    <w:p>
      <w:pPr>
        <w:ind w:left="16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4"/>
          <w:szCs w:val="14"/>
          <w:color w:val="auto"/>
        </w:rPr>
        <w:t>harmless (in the same manner and to the same extent as set forth in subdivision</w:t>
      </w:r>
    </w:p>
    <w:p>
      <w:pPr>
        <w:spacing w:after="0" w:line="10" w:lineRule="exact"/>
        <w:rPr>
          <w:sz w:val="20"/>
          <w:szCs w:val="20"/>
          <w:color w:val="auto"/>
        </w:rPr>
      </w:pPr>
    </w:p>
    <w:p>
      <w:pPr>
        <w:ind w:right="3239" w:firstLine="10"/>
        <w:spacing w:after="0" w:line="307" w:lineRule="auto"/>
        <w:tabs>
          <w:tab w:leader="none" w:pos="35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2.4) the Company, each director of the Company, each officer of the Company</w:t>
      </w:r>
    </w:p>
    <w:p>
      <w:pPr>
        <w:spacing w:after="0" w:line="4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598" w:right="1440" w:bottom="1440" w:gutter="0" w:footer="0" w:header="0"/>
        </w:sectPr>
      </w:pPr>
    </w:p>
    <w:bookmarkStart w:id="110" w:name="page111"/>
    <w:bookmarkEnd w:id="110"/>
    <w:p>
      <w:pPr>
        <w:ind w:right="3239"/>
        <w:spacing w:after="0" w:line="246" w:lineRule="auto"/>
        <w:rPr>
          <w:sz w:val="20"/>
          <w:szCs w:val="20"/>
          <w:color w:val="auto"/>
        </w:rPr>
      </w:pPr>
      <w:r>
        <w:rPr>
          <w:rFonts w:ascii="Courier New" w:cs="Courier New" w:eastAsia="Courier New" w:hAnsi="Courier New"/>
          <w:sz w:val="15"/>
          <w:szCs w:val="15"/>
          <w:color w:val="auto"/>
        </w:rPr>
        <w:t>and each other person, if any, who controls the Company within the meaning of the Securities Act, with respect to any statement or alleged statement in or omission or alleged omission from such registration statement, any preliminary prospectus, final prospectus or summary prospectus contained therein, or any amendment or supplement thereto, if such statement or alleged statement or omission or alleged omission was made in reliance upon and in conformity with written information furnished to the Company through an instrument duly executed by CIBC specifically stating that it is for use in the preparation of such registration statement, preliminary prospectus, final prospectus, summary prospectus, amendment or supplement. Such indemnity shall remain in full force and effect, regardless of any investigation made by or on behalf of the Company or any such director, officer or controlling person and shall survive the transfer of such securities by CIBC.</w:t>
      </w:r>
    </w:p>
    <w:p>
      <w:pPr>
        <w:spacing w:after="0" w:line="91" w:lineRule="exact"/>
        <w:rPr>
          <w:sz w:val="20"/>
          <w:szCs w:val="20"/>
          <w:color w:val="auto"/>
        </w:rPr>
      </w:pPr>
    </w:p>
    <w:p>
      <w:pPr>
        <w:ind w:left="1680" w:hanging="358"/>
        <w:spacing w:after="0"/>
        <w:tabs>
          <w:tab w:leader="none" w:pos="16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of Claims, etc. Promptly after receipt by an</w:t>
      </w:r>
    </w:p>
    <w:p>
      <w:pPr>
        <w:spacing w:after="0" w:line="24" w:lineRule="exact"/>
        <w:rPr>
          <w:rFonts w:ascii="Courier New" w:cs="Courier New" w:eastAsia="Courier New" w:hAnsi="Courier New"/>
          <w:sz w:val="15"/>
          <w:szCs w:val="15"/>
          <w:color w:val="auto"/>
        </w:rPr>
      </w:pPr>
    </w:p>
    <w:p>
      <w:pPr>
        <w:ind w:left="16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239"/>
        <w:spacing w:after="0" w:line="258" w:lineRule="auto"/>
        <w:rPr>
          <w:sz w:val="20"/>
          <w:szCs w:val="20"/>
          <w:color w:val="auto"/>
        </w:rPr>
      </w:pPr>
      <w:r>
        <w:rPr>
          <w:rFonts w:ascii="Courier New" w:cs="Courier New" w:eastAsia="Courier New" w:hAnsi="Courier New"/>
          <w:sz w:val="14"/>
          <w:szCs w:val="14"/>
          <w:color w:val="auto"/>
        </w:rPr>
        <w:t>indemnified party of notice of the commencement of any action or proceeding involving a claim referred to in the preceding subdivisions of this section 2.4, such indemnified party will, if a claim in respect thereof is to be made against an indemnifying party, give written notice to the latter of the commencement of such action, provided that the failure of any indemnified party to give notice as provided herein shall not relieve the indemnifying party of its obligations under the preceding subdivisions of this section 2.4, except to the extent that the indemnifying party is actually prejudiced by such failure to give notice. In case any such action is brought against an indemnified party, unless in such indemnified party's reasonable judgment a conflict of interest between such indemnified and indemnifying parties may exist in respect of such claim, the indemnifying party shall be entitled to participate in and to assume the defense thereof, jointly with any other indemnifying party similarly notified, to the extent that the indemnifying party may wish, with counsel reasonably satisfactory to such indemnified party, and after notice from the indemnifying party to such indemnified party of its election so to assume the defense thereof, the indemnifying party shall not be liable to such indemnified party for any legal or other expenses subsequently incurred by the latter in connection with the defense thereof other than reasonable costs of investigation. No indemnifying party shall, without the consent of the indemnified party, consent to entry of any judgment or enter into any settlement of any such action which does not include as an uncondi tional term thereof the giving by the claimant or plaintiff to such indemnified party of a release from all liability in respect to such claim or litigation. No indemnified party shall consent to entry of any judgment or enter into any settlement of any such action the defense of which has been assumed by an indemnifying party without the consent of such indemnifying party.</w:t>
      </w:r>
    </w:p>
    <w:p>
      <w:pPr>
        <w:spacing w:after="0" w:line="25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598" w:right="1440" w:bottom="1440" w:gutter="0" w:footer="0" w:header="0"/>
        </w:sectPr>
      </w:pPr>
    </w:p>
    <w:bookmarkStart w:id="111" w:name="page112"/>
    <w:bookmarkEnd w:id="111"/>
    <w:p>
      <w:pPr>
        <w:ind w:left="1680" w:hanging="358"/>
        <w:spacing w:after="0"/>
        <w:tabs>
          <w:tab w:leader="none" w:pos="168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Indemnification. Indemnification similar to that</w:t>
      </w:r>
    </w:p>
    <w:p>
      <w:pPr>
        <w:spacing w:after="0" w:line="24" w:lineRule="exact"/>
        <w:rPr>
          <w:rFonts w:ascii="Courier New" w:cs="Courier New" w:eastAsia="Courier New" w:hAnsi="Courier New"/>
          <w:sz w:val="15"/>
          <w:szCs w:val="15"/>
          <w:color w:val="auto"/>
        </w:rPr>
      </w:pPr>
    </w:p>
    <w:p>
      <w:pPr>
        <w:ind w:left="16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239"/>
        <w:spacing w:after="0" w:line="255" w:lineRule="auto"/>
        <w:rPr>
          <w:sz w:val="20"/>
          <w:szCs w:val="20"/>
          <w:color w:val="auto"/>
        </w:rPr>
      </w:pPr>
      <w:r>
        <w:rPr>
          <w:rFonts w:ascii="Courier New" w:cs="Courier New" w:eastAsia="Courier New" w:hAnsi="Courier New"/>
          <w:sz w:val="15"/>
          <w:szCs w:val="15"/>
          <w:color w:val="auto"/>
        </w:rPr>
        <w:t>specified in the preceding subdivisions of this section 2.4 (with appropriate modifica tions) shall be given by the Company and CIBC with respect to any required registration or other qualification of securities under any Federal or state law or regulation of any governmental authority, other than the Securities Act.</w:t>
      </w:r>
    </w:p>
    <w:p>
      <w:pPr>
        <w:spacing w:after="0" w:line="80" w:lineRule="exact"/>
        <w:rPr>
          <w:sz w:val="20"/>
          <w:szCs w:val="20"/>
          <w:color w:val="auto"/>
        </w:rPr>
      </w:pPr>
    </w:p>
    <w:p>
      <w:pPr>
        <w:ind w:left="1680" w:hanging="358"/>
        <w:spacing w:after="0"/>
        <w:tabs>
          <w:tab w:leader="none" w:pos="168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Payments. The indemnification re quired by</w:t>
      </w:r>
    </w:p>
    <w:p>
      <w:pPr>
        <w:spacing w:after="0" w:line="24" w:lineRule="exact"/>
        <w:rPr>
          <w:rFonts w:ascii="Courier New" w:cs="Courier New" w:eastAsia="Courier New" w:hAnsi="Courier New"/>
          <w:sz w:val="15"/>
          <w:szCs w:val="15"/>
          <w:color w:val="auto"/>
        </w:rPr>
      </w:pPr>
    </w:p>
    <w:p>
      <w:pPr>
        <w:ind w:left="16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239"/>
        <w:spacing w:after="0" w:line="272" w:lineRule="auto"/>
        <w:rPr>
          <w:sz w:val="20"/>
          <w:szCs w:val="20"/>
          <w:color w:val="auto"/>
        </w:rPr>
      </w:pPr>
      <w:r>
        <w:rPr>
          <w:rFonts w:ascii="Courier New" w:cs="Courier New" w:eastAsia="Courier New" w:hAnsi="Courier New"/>
          <w:sz w:val="15"/>
          <w:szCs w:val="15"/>
          <w:color w:val="auto"/>
        </w:rPr>
        <w:t>this section 2.4 shall be made by periodic payments of the amount thereof during the course of the investigation or defense upon thirty days written invoice of such bills expense, loss, damage or liability.</w:t>
      </w:r>
    </w:p>
    <w:p>
      <w:pPr>
        <w:spacing w:after="0" w:line="69" w:lineRule="exact"/>
        <w:rPr>
          <w:sz w:val="20"/>
          <w:szCs w:val="20"/>
          <w:color w:val="auto"/>
        </w:rPr>
      </w:pPr>
    </w:p>
    <w:p>
      <w:pPr>
        <w:ind w:left="1680" w:hanging="358"/>
        <w:spacing w:after="0"/>
        <w:tabs>
          <w:tab w:leader="none" w:pos="168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Contribution. If the indemnification provided for in the</w:t>
      </w:r>
    </w:p>
    <w:p>
      <w:pPr>
        <w:spacing w:after="0" w:line="24" w:lineRule="exact"/>
        <w:rPr>
          <w:rFonts w:ascii="Courier New" w:cs="Courier New" w:eastAsia="Courier New" w:hAnsi="Courier New"/>
          <w:sz w:val="15"/>
          <w:szCs w:val="15"/>
          <w:color w:val="auto"/>
        </w:rPr>
      </w:pPr>
    </w:p>
    <w:p>
      <w:pPr>
        <w:ind w:left="16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239"/>
        <w:spacing w:after="0" w:line="258" w:lineRule="auto"/>
        <w:rPr>
          <w:sz w:val="20"/>
          <w:szCs w:val="20"/>
          <w:color w:val="auto"/>
        </w:rPr>
      </w:pPr>
      <w:r>
        <w:rPr>
          <w:rFonts w:ascii="Courier New" w:cs="Courier New" w:eastAsia="Courier New" w:hAnsi="Courier New"/>
          <w:sz w:val="14"/>
          <w:szCs w:val="14"/>
          <w:color w:val="auto"/>
        </w:rPr>
        <w:t>preceding subdivisions of this section 2.4 is unavailable to an indemnified party in respect of any expense, loss, claim, damage or liability referred to therein, then each indemnifying party, in lieu of indemnifying such indemnified party, shall contribute to the amount paid or payable by such indemnified party as a result of such expense, loss, claim, damage or liability in such proportion as is appropriate to reflect the relative fault of the Company on the one hand and of CIBC on the other in connec tion with the statements or omissions which resulted in such expense, loss, damage or liability, as well as any other relevant equitable considerations. The relative fault of the Company on the one hand and of CIBC on the other shall be determined by reference to, among other things, whether the untrue or alleged untrue statement of a material fact or omission to state a material fact relates to information supplied by the Company, by CIBC and the parties' relative intent, knowledge, access to information and opportunity to correct or prevent such statement or omission, provided that the foregoing contribution agreement shall not inure to the benefit of any indemnified party if indemnification would be unavailable to such indemnified party by reason of the provisions contained in the first sentence of subdivision (a) of this section 2.4, and in no event shall the obligation of any indemnifying party to contribute under this subdivision (f) exceed the amount that such indemnifying party would have been obligated to pay by way of indemnification if the indemnification provided for under subdivisions (a) or (b) of this section 2.4 had been available under the circumstances.</w:t>
      </w:r>
    </w:p>
    <w:p>
      <w:pPr>
        <w:spacing w:after="0" w:line="92" w:lineRule="exact"/>
        <w:rPr>
          <w:sz w:val="20"/>
          <w:szCs w:val="20"/>
          <w:color w:val="auto"/>
        </w:rPr>
      </w:pPr>
    </w:p>
    <w:p>
      <w:pPr>
        <w:ind w:right="3319" w:firstLine="875"/>
        <w:spacing w:after="0" w:line="273" w:lineRule="auto"/>
        <w:rPr>
          <w:sz w:val="20"/>
          <w:szCs w:val="20"/>
          <w:color w:val="auto"/>
        </w:rPr>
      </w:pPr>
      <w:r>
        <w:rPr>
          <w:rFonts w:ascii="Courier New" w:cs="Courier New" w:eastAsia="Courier New" w:hAnsi="Courier New"/>
          <w:sz w:val="14"/>
          <w:szCs w:val="14"/>
          <w:color w:val="auto"/>
        </w:rPr>
        <w:t>The Company and CIBC agree that it would not be just and equitable if contribution pursuant to this subdivision (f) were determined by pro rata allocation or by any other method of allocation that does not take account of the equitable con 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in the preceding sentence and subdivision (c) of this section 2.4, any</w:t>
      </w:r>
    </w:p>
    <w:p>
      <w:pPr>
        <w:spacing w:after="0" w:line="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597" w:right="1440" w:bottom="1440" w:gutter="0" w:footer="0" w:header="0"/>
        </w:sectPr>
      </w:pPr>
    </w:p>
    <w:bookmarkStart w:id="112" w:name="page113"/>
    <w:bookmarkEnd w:id="112"/>
    <w:p>
      <w:pPr>
        <w:ind w:right="3939"/>
        <w:spacing w:after="0" w:line="381" w:lineRule="auto"/>
        <w:rPr>
          <w:sz w:val="20"/>
          <w:szCs w:val="20"/>
          <w:color w:val="auto"/>
        </w:rPr>
      </w:pPr>
      <w:r>
        <w:rPr>
          <w:rFonts w:ascii="Courier New" w:cs="Courier New" w:eastAsia="Courier New" w:hAnsi="Courier New"/>
          <w:sz w:val="14"/>
          <w:szCs w:val="14"/>
          <w:color w:val="auto"/>
        </w:rPr>
        <w:t>legal or other expenses reasonably incurred by such indemnified party in connection with investigating or defending any such action or claim.</w:t>
      </w:r>
    </w:p>
    <w:p>
      <w:pPr>
        <w:spacing w:after="0" w:line="1" w:lineRule="exact"/>
        <w:rPr>
          <w:sz w:val="20"/>
          <w:szCs w:val="20"/>
          <w:color w:val="auto"/>
        </w:rPr>
      </w:pPr>
    </w:p>
    <w:p>
      <w:pPr>
        <w:ind w:right="3239" w:firstLine="875"/>
        <w:spacing w:after="0" w:line="273" w:lineRule="auto"/>
        <w:rPr>
          <w:sz w:val="20"/>
          <w:szCs w:val="20"/>
          <w:color w:val="auto"/>
        </w:rPr>
      </w:pPr>
      <w:r>
        <w:rPr>
          <w:rFonts w:ascii="Courier New" w:cs="Courier New" w:eastAsia="Courier New" w:hAnsi="Courier New"/>
          <w:sz w:val="14"/>
          <w:szCs w:val="14"/>
          <w:color w:val="auto"/>
        </w:rPr>
        <w:t>Notwithstanding the provisions of this subdivision (f), CIBC shall not be required to contribute any amount in excess of the amount by which the net proceeds received by CIBC from the sale of the Common Shares exceeds, in any such case, the amount of any damages that CIBC has otherwise been required to pay by reason of such untrue or alleged untrue statement or omission. No Person guilty of fraudulent misrepresentation (within the meaning of Section 11(f) of the Securities Act) shall be entitled to contribution from any person who was not guilty of such fraudulent misrepresentation.</w:t>
      </w:r>
    </w:p>
    <w:p>
      <w:pPr>
        <w:spacing w:after="0" w:line="71" w:lineRule="exact"/>
        <w:rPr>
          <w:sz w:val="20"/>
          <w:szCs w:val="20"/>
          <w:color w:val="auto"/>
        </w:rPr>
      </w:pPr>
    </w:p>
    <w:p>
      <w:pPr>
        <w:ind w:left="1320" w:hanging="436"/>
        <w:spacing w:after="0"/>
        <w:tabs>
          <w:tab w:leader="none" w:pos="132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As used herein, unless the context otherwise</w:t>
      </w:r>
    </w:p>
    <w:p>
      <w:pPr>
        <w:spacing w:after="0" w:line="24" w:lineRule="exact"/>
        <w:rPr>
          <w:rFonts w:ascii="Courier New" w:cs="Courier New" w:eastAsia="Courier New" w:hAnsi="Courier New"/>
          <w:sz w:val="15"/>
          <w:szCs w:val="15"/>
          <w:color w:val="auto"/>
        </w:rPr>
      </w:pP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requires, the following terms have the following respective meanings:</w:t>
      </w:r>
    </w:p>
    <w:p>
      <w:pPr>
        <w:spacing w:after="0" w:line="309" w:lineRule="exact"/>
        <w:rPr>
          <w:sz w:val="20"/>
          <w:szCs w:val="20"/>
          <w:color w:val="auto"/>
        </w:rPr>
      </w:pPr>
    </w:p>
    <w:p>
      <w:pPr>
        <w:ind w:left="880"/>
        <w:spacing w:after="0"/>
        <w:tabs>
          <w:tab w:leader="none" w:pos="2000" w:val="left"/>
        </w:tabs>
        <w:rPr>
          <w:sz w:val="20"/>
          <w:szCs w:val="20"/>
          <w:color w:val="auto"/>
        </w:rPr>
      </w:pPr>
      <w:r>
        <w:rPr>
          <w:rFonts w:ascii="Courier New" w:cs="Courier New" w:eastAsia="Courier New" w:hAnsi="Courier New"/>
          <w:sz w:val="15"/>
          <w:szCs w:val="15"/>
          <w:color w:val="auto"/>
        </w:rPr>
        <w:t>Commission:</w:t>
        <w:tab/>
        <w:t>The Securities and Exchange Commission or any other</w:t>
      </w:r>
    </w:p>
    <w:p>
      <w:pPr>
        <w:spacing w:after="0" w:line="2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ind w:left="880"/>
        <w:spacing w:after="0"/>
        <w:rPr>
          <w:sz w:val="20"/>
          <w:szCs w:val="20"/>
          <w:color w:val="auto"/>
        </w:rPr>
      </w:pPr>
      <w:r>
        <w:rPr>
          <w:rFonts w:ascii="Courier New" w:cs="Courier New" w:eastAsia="Courier New" w:hAnsi="Courier New"/>
          <w:sz w:val="15"/>
          <w:szCs w:val="15"/>
          <w:color w:val="auto"/>
        </w:rPr>
        <w:t>Federal agency at the time administering the Securities Act.</w:t>
      </w:r>
    </w:p>
    <w:p>
      <w:pPr>
        <w:spacing w:after="0" w:line="140" w:lineRule="exact"/>
        <w:rPr>
          <w:sz w:val="20"/>
          <w:szCs w:val="20"/>
          <w:color w:val="auto"/>
        </w:rPr>
      </w:pPr>
    </w:p>
    <w:p>
      <w:pPr>
        <w:ind w:left="880"/>
        <w:spacing w:after="0"/>
        <w:tabs>
          <w:tab w:leader="none" w:pos="2260" w:val="left"/>
        </w:tabs>
        <w:rPr>
          <w:sz w:val="20"/>
          <w:szCs w:val="20"/>
          <w:color w:val="auto"/>
        </w:rPr>
      </w:pPr>
      <w:r>
        <w:rPr>
          <w:rFonts w:ascii="Courier New" w:cs="Courier New" w:eastAsia="Courier New" w:hAnsi="Courier New"/>
          <w:sz w:val="15"/>
          <w:szCs w:val="15"/>
          <w:color w:val="auto"/>
        </w:rPr>
        <w:t>Common Shares:</w:t>
      </w:r>
      <w:r>
        <w:rPr>
          <w:sz w:val="20"/>
          <w:szCs w:val="20"/>
          <w:color w:val="auto"/>
        </w:rPr>
        <w:tab/>
      </w:r>
      <w:r>
        <w:rPr>
          <w:rFonts w:ascii="Courier New" w:cs="Courier New" w:eastAsia="Courier New" w:hAnsi="Courier New"/>
          <w:sz w:val="14"/>
          <w:szCs w:val="14"/>
          <w:color w:val="auto"/>
        </w:rPr>
        <w:t>As defined in section 1.</w:t>
      </w:r>
    </w:p>
    <w:p>
      <w:pPr>
        <w:spacing w:after="0" w:line="2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880"/>
        <w:spacing w:after="0"/>
        <w:tabs>
          <w:tab w:leader="none" w:pos="1740" w:val="left"/>
        </w:tabs>
        <w:rPr>
          <w:sz w:val="20"/>
          <w:szCs w:val="20"/>
          <w:color w:val="auto"/>
        </w:rPr>
      </w:pPr>
      <w:r>
        <w:rPr>
          <w:rFonts w:ascii="Courier New" w:cs="Courier New" w:eastAsia="Courier New" w:hAnsi="Courier New"/>
          <w:sz w:val="14"/>
          <w:szCs w:val="14"/>
          <w:color w:val="auto"/>
        </w:rPr>
        <w:t>Company:</w:t>
        <w:tab/>
        <w:t>As defined in the introductory paragraph of this Agreement.</w:t>
      </w:r>
    </w:p>
    <w:p>
      <w:pPr>
        <w:spacing w:after="0" w:line="3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880"/>
        <w:spacing w:after="0"/>
        <w:tabs>
          <w:tab w:leader="none" w:pos="2180" w:val="left"/>
        </w:tabs>
        <w:rPr>
          <w:sz w:val="20"/>
          <w:szCs w:val="20"/>
          <w:color w:val="auto"/>
        </w:rPr>
      </w:pPr>
      <w:r>
        <w:rPr>
          <w:rFonts w:ascii="Courier New" w:cs="Courier New" w:eastAsia="Courier New" w:hAnsi="Courier New"/>
          <w:sz w:val="15"/>
          <w:szCs w:val="15"/>
          <w:color w:val="auto"/>
        </w:rPr>
        <w:t>Exchange Act:</w:t>
      </w:r>
      <w:r>
        <w:rPr>
          <w:sz w:val="20"/>
          <w:szCs w:val="20"/>
          <w:color w:val="auto"/>
        </w:rPr>
        <w:tab/>
      </w:r>
      <w:r>
        <w:rPr>
          <w:rFonts w:ascii="Courier New" w:cs="Courier New" w:eastAsia="Courier New" w:hAnsi="Courier New"/>
          <w:sz w:val="14"/>
          <w:szCs w:val="14"/>
          <w:color w:val="auto"/>
        </w:rPr>
        <w:t>The Securities Exchange Act of 1934, or any similar</w:t>
      </w:r>
    </w:p>
    <w:p>
      <w:pPr>
        <w:spacing w:after="0" w:line="2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ind w:left="880" w:right="3239"/>
        <w:spacing w:after="0" w:line="255" w:lineRule="auto"/>
        <w:rPr>
          <w:sz w:val="20"/>
          <w:szCs w:val="20"/>
          <w:color w:val="auto"/>
        </w:rPr>
      </w:pPr>
      <w:r>
        <w:rPr>
          <w:rFonts w:ascii="Courier New" w:cs="Courier New" w:eastAsia="Courier New" w:hAnsi="Courier New"/>
          <w:sz w:val="15"/>
          <w:szCs w:val="15"/>
          <w:color w:val="auto"/>
        </w:rPr>
        <w:t>Federal statute, and the rules and regulations of the Commission thereunder, all as the same shall be in effect at the time. Reference to a particular section of the Securities Exchange Act of 1934 shall include a reference to the comparable section, if any, of any such similar Federal statute.</w:t>
      </w:r>
    </w:p>
    <w:p>
      <w:pPr>
        <w:spacing w:after="0" w:line="80" w:lineRule="exact"/>
        <w:rPr>
          <w:sz w:val="20"/>
          <w:szCs w:val="20"/>
          <w:color w:val="auto"/>
        </w:rPr>
      </w:pPr>
    </w:p>
    <w:p>
      <w:pPr>
        <w:ind w:left="880"/>
        <w:spacing w:after="0"/>
        <w:tabs>
          <w:tab w:leader="none" w:pos="1660" w:val="left"/>
        </w:tabs>
        <w:rPr>
          <w:sz w:val="20"/>
          <w:szCs w:val="20"/>
          <w:color w:val="auto"/>
        </w:rPr>
      </w:pPr>
      <w:r>
        <w:rPr>
          <w:rFonts w:ascii="Courier New" w:cs="Courier New" w:eastAsia="Courier New" w:hAnsi="Courier New"/>
          <w:sz w:val="15"/>
          <w:szCs w:val="15"/>
          <w:color w:val="auto"/>
        </w:rPr>
        <w:t>Person:</w:t>
      </w:r>
      <w:r>
        <w:rPr>
          <w:sz w:val="20"/>
          <w:szCs w:val="20"/>
          <w:color w:val="auto"/>
        </w:rPr>
        <w:tab/>
      </w:r>
      <w:r>
        <w:rPr>
          <w:rFonts w:ascii="Courier New" w:cs="Courier New" w:eastAsia="Courier New" w:hAnsi="Courier New"/>
          <w:sz w:val="14"/>
          <w:szCs w:val="14"/>
          <w:color w:val="auto"/>
        </w:rPr>
        <w:t>A corporation, an association, a partnership, an</w:t>
      </w:r>
    </w:p>
    <w:p>
      <w:pPr>
        <w:spacing w:after="0" w:line="2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ind w:left="880" w:right="3579"/>
        <w:spacing w:after="0" w:line="307" w:lineRule="auto"/>
        <w:rPr>
          <w:sz w:val="20"/>
          <w:szCs w:val="20"/>
          <w:color w:val="auto"/>
        </w:rPr>
      </w:pPr>
      <w:r>
        <w:rPr>
          <w:rFonts w:ascii="Courier New" w:cs="Courier New" w:eastAsia="Courier New" w:hAnsi="Courier New"/>
          <w:sz w:val="15"/>
          <w:szCs w:val="15"/>
          <w:color w:val="auto"/>
        </w:rPr>
        <w:t>organization, business, an individual, a governmental or political subdivision thereof or a governmental agency.</w:t>
      </w:r>
    </w:p>
    <w:p>
      <w:pPr>
        <w:spacing w:after="0" w:line="44" w:lineRule="exact"/>
        <w:rPr>
          <w:sz w:val="20"/>
          <w:szCs w:val="20"/>
          <w:color w:val="auto"/>
        </w:rPr>
      </w:pPr>
    </w:p>
    <w:p>
      <w:pPr>
        <w:ind w:left="880"/>
        <w:spacing w:after="0"/>
        <w:tabs>
          <w:tab w:leader="none" w:pos="2960" w:val="left"/>
        </w:tabs>
        <w:rPr>
          <w:sz w:val="20"/>
          <w:szCs w:val="20"/>
          <w:color w:val="auto"/>
        </w:rPr>
      </w:pPr>
      <w:r>
        <w:rPr>
          <w:rFonts w:ascii="Courier New" w:cs="Courier New" w:eastAsia="Courier New" w:hAnsi="Courier New"/>
          <w:sz w:val="15"/>
          <w:szCs w:val="15"/>
          <w:color w:val="auto"/>
        </w:rPr>
        <w:t>Registration Expenses:</w:t>
      </w:r>
      <w:r>
        <w:rPr>
          <w:sz w:val="20"/>
          <w:szCs w:val="20"/>
          <w:color w:val="auto"/>
        </w:rPr>
        <w:tab/>
      </w:r>
      <w:r>
        <w:rPr>
          <w:rFonts w:ascii="Courier New" w:cs="Courier New" w:eastAsia="Courier New" w:hAnsi="Courier New"/>
          <w:sz w:val="14"/>
          <w:szCs w:val="14"/>
          <w:color w:val="auto"/>
        </w:rPr>
        <w:t>All expenses incident to the Company's</w:t>
      </w:r>
    </w:p>
    <w:p>
      <w:pPr>
        <w:spacing w:after="0" w:line="2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ind w:left="880" w:right="3239"/>
        <w:spacing w:after="0" w:line="249" w:lineRule="auto"/>
        <w:rPr>
          <w:sz w:val="20"/>
          <w:szCs w:val="20"/>
          <w:color w:val="auto"/>
        </w:rPr>
      </w:pPr>
      <w:r>
        <w:rPr>
          <w:rFonts w:ascii="Courier New" w:cs="Courier New" w:eastAsia="Courier New" w:hAnsi="Courier New"/>
          <w:sz w:val="15"/>
          <w:szCs w:val="15"/>
          <w:color w:val="auto"/>
        </w:rPr>
        <w:t>performance of or compliance with section 2, including, without limitation, all registration, filing and NASD fees, all stock exchange listing fees, all fees and expenses of complying with securities or blue sky laws, all word processing, duplicating and printing expenses, messenger and delivery expenses, the reasonable fees and disburse ments of a single outside counsel for the Company, including the expenses of any special audits or "cold</w:t>
      </w:r>
    </w:p>
    <w:p>
      <w:pPr>
        <w:spacing w:after="0" w:line="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598" w:right="1440" w:bottom="1440" w:gutter="0" w:footer="0" w:header="0"/>
        </w:sectPr>
      </w:pPr>
    </w:p>
    <w:bookmarkStart w:id="113" w:name="page114"/>
    <w:bookmarkEnd w:id="113"/>
    <w:p>
      <w:pPr>
        <w:ind w:left="880" w:right="3239"/>
        <w:spacing w:after="0" w:line="252" w:lineRule="auto"/>
        <w:rPr>
          <w:sz w:val="20"/>
          <w:szCs w:val="20"/>
          <w:color w:val="auto"/>
        </w:rPr>
      </w:pPr>
      <w:r>
        <w:rPr>
          <w:rFonts w:ascii="Courier New" w:cs="Courier New" w:eastAsia="Courier New" w:hAnsi="Courier New"/>
          <w:sz w:val="15"/>
          <w:szCs w:val="15"/>
          <w:color w:val="auto"/>
        </w:rPr>
        <w:t>comfort" letters required by or incident to such performance and compliance, and the fees and dis bursements of any counsel and accountants retained by CIBC. Such expenses shall not include salaries of Company personnel or general overhead expenses of the Company, auditing fees, or other expenses for the preparation of financial statements or other data normally prepared by the Company in the ordinary course of its business or which the Company would have incurred in any event.</w:t>
      </w:r>
    </w:p>
    <w:p>
      <w:pPr>
        <w:spacing w:after="0" w:line="86" w:lineRule="exact"/>
        <w:rPr>
          <w:sz w:val="20"/>
          <w:szCs w:val="20"/>
          <w:color w:val="auto"/>
        </w:rPr>
      </w:pPr>
    </w:p>
    <w:p>
      <w:pPr>
        <w:ind w:left="880"/>
        <w:spacing w:after="0"/>
        <w:tabs>
          <w:tab w:leader="none" w:pos="2360" w:val="left"/>
        </w:tabs>
        <w:rPr>
          <w:sz w:val="20"/>
          <w:szCs w:val="20"/>
          <w:color w:val="auto"/>
        </w:rPr>
      </w:pPr>
      <w:r>
        <w:rPr>
          <w:rFonts w:ascii="Courier New" w:cs="Courier New" w:eastAsia="Courier New" w:hAnsi="Courier New"/>
          <w:sz w:val="15"/>
          <w:szCs w:val="15"/>
          <w:color w:val="auto"/>
        </w:rPr>
        <w:t>Securities Act:</w:t>
      </w:r>
      <w:r>
        <w:rPr>
          <w:sz w:val="20"/>
          <w:szCs w:val="20"/>
          <w:color w:val="auto"/>
        </w:rPr>
        <w:tab/>
      </w:r>
      <w:r>
        <w:rPr>
          <w:rFonts w:ascii="Courier New" w:cs="Courier New" w:eastAsia="Courier New" w:hAnsi="Courier New"/>
          <w:sz w:val="14"/>
          <w:szCs w:val="14"/>
          <w:color w:val="auto"/>
        </w:rPr>
        <w:t>The Securities Act of 1933, or any similar Federal</w:t>
      </w:r>
    </w:p>
    <w:p>
      <w:pPr>
        <w:spacing w:after="0" w:line="2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ind w:left="880" w:right="3399"/>
        <w:spacing w:after="0" w:line="255" w:lineRule="auto"/>
        <w:rPr>
          <w:sz w:val="20"/>
          <w:szCs w:val="20"/>
          <w:color w:val="auto"/>
        </w:rPr>
      </w:pPr>
      <w:r>
        <w:rPr>
          <w:rFonts w:ascii="Courier New" w:cs="Courier New" w:eastAsia="Courier New" w:hAnsi="Courier New"/>
          <w:sz w:val="15"/>
          <w:szCs w:val="15"/>
          <w:color w:val="auto"/>
        </w:rPr>
        <w:t>statute, and the rules and regulations of the Commission thereunder, all as of the same shall be in effect at the time. References to a particular section of the Securities Act of 1933 shall include a reference to the comparable section, if any, of any such similar Federal statute.</w:t>
      </w:r>
    </w:p>
    <w:p>
      <w:pPr>
        <w:spacing w:after="0" w:line="80" w:lineRule="exact"/>
        <w:rPr>
          <w:sz w:val="20"/>
          <w:szCs w:val="20"/>
          <w:color w:val="auto"/>
        </w:rPr>
      </w:pPr>
    </w:p>
    <w:p>
      <w:pPr>
        <w:ind w:left="1320" w:hanging="436"/>
        <w:spacing w:after="0"/>
        <w:tabs>
          <w:tab w:leader="none" w:pos="132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CIBC agrees that any information</w:t>
      </w:r>
    </w:p>
    <w:p>
      <w:pPr>
        <w:spacing w:after="0" w:line="2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ind w:right="3319"/>
        <w:spacing w:after="0" w:line="261" w:lineRule="auto"/>
        <w:rPr>
          <w:sz w:val="20"/>
          <w:szCs w:val="20"/>
          <w:color w:val="auto"/>
        </w:rPr>
      </w:pPr>
      <w:r>
        <w:rPr>
          <w:rFonts w:ascii="Courier New" w:cs="Courier New" w:eastAsia="Courier New" w:hAnsi="Courier New"/>
          <w:sz w:val="14"/>
          <w:szCs w:val="14"/>
          <w:color w:val="auto"/>
        </w:rPr>
        <w:t>obtained pursuant to this Agreement which is, or would reasonably be perceived to be, proprietary to the Company or otherwise confidential will not be disclosed without the prior written consent of the Company. Notwithstanding the foregoing, CIBC may disclose such information, on a need to know basis, to its employees, accountants or attorneys (so long as each such person to whom confidential information is disclosed agrees to keep such information confidential), as required by applicable law or regulation based on the written advice of CIBC's counsel (a copy of which shall be provided to the Company unless CIBC is prevented from revealing such disclosure by such applicable law or regulation or the relevant government agency requesting such disclosure) or in compliance with a court order or when otherwise necessary to enforce any of their rights hereunder. CIBC further acknowledges, understands and agrees that any confidential information will not be utilized in connection with purchases and/or sales of the Company's securities except in compliance with applicable state and federal antifraud statutes.</w:t>
      </w:r>
    </w:p>
    <w:p>
      <w:pPr>
        <w:spacing w:after="0" w:line="78" w:lineRule="exact"/>
        <w:rPr>
          <w:sz w:val="20"/>
          <w:szCs w:val="20"/>
          <w:color w:val="auto"/>
        </w:rPr>
      </w:pPr>
    </w:p>
    <w:p>
      <w:pPr>
        <w:ind w:left="1320" w:hanging="436"/>
        <w:spacing w:after="0"/>
        <w:tabs>
          <w:tab w:leader="none" w:pos="132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Restrictive Legend.  During all periods of time in which an</w:t>
      </w:r>
    </w:p>
    <w:p>
      <w:pPr>
        <w:spacing w:after="0" w:line="2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ind w:right="3239"/>
        <w:spacing w:after="0" w:line="249" w:lineRule="auto"/>
        <w:rPr>
          <w:sz w:val="20"/>
          <w:szCs w:val="20"/>
          <w:color w:val="auto"/>
        </w:rPr>
      </w:pPr>
      <w:r>
        <w:rPr>
          <w:rFonts w:ascii="Courier New" w:cs="Courier New" w:eastAsia="Courier New" w:hAnsi="Courier New"/>
          <w:sz w:val="15"/>
          <w:szCs w:val="15"/>
          <w:color w:val="auto"/>
        </w:rPr>
        <w:t>effective registration statement of the Common Shares under the Securities Act is not in effect, each certificate representing any portion or all of the Common Shares and any certificate reflecting any stock split, stock dividend, recapitalization, merger, consolidation or similar event with respect to the Common Shares shall (unless otherwise permitted by the provisions of section 6 below) be stamped or otherwise imprinted with the following legend (in addition to any legend required under applicable state securities laws):</w:t>
      </w:r>
    </w:p>
    <w:p>
      <w:pPr>
        <w:spacing w:after="0" w:line="8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598" w:right="1440" w:bottom="1440" w:gutter="0" w:footer="0" w:header="0"/>
        </w:sectPr>
      </w:pPr>
    </w:p>
    <w:bookmarkStart w:id="114" w:name="page115"/>
    <w:bookmarkEnd w:id="114"/>
    <w:p>
      <w:pPr>
        <w:ind w:left="440" w:right="3399"/>
        <w:spacing w:after="0" w:line="255" w:lineRule="auto"/>
        <w:rPr>
          <w:sz w:val="20"/>
          <w:szCs w:val="20"/>
          <w:color w:val="auto"/>
        </w:rPr>
      </w:pPr>
      <w:r>
        <w:rPr>
          <w:rFonts w:ascii="Courier New" w:cs="Courier New" w:eastAsia="Courier New" w:hAnsi="Courier New"/>
          <w:sz w:val="15"/>
          <w:szCs w:val="15"/>
          <w:color w:val="auto"/>
        </w:rPr>
        <w:t>"THE SHARES REPRESENTED BY THIS CERTIFICATE HAVE BEEN ACQUIRED FOR INVESTMENT AND HAVE NOT BEEN REGISTERED UNDER THE SECURITIES ACT OF 1933. SUCH SHARES MAY NOT BE SOLD, ASSIGNED, PLEDGED OR TRANSFERRED IN THE ABSENCE OF SUCH REGISTRATION OR UNLESS THE COMPANY RECEIVES AN OPINION OF COUNSEL REASONABLY ACCEPTABLE TO IT STATING THAT SUCH SALE, PLEDGE OR TRANSFER IS EXEMPT FROM THE REGISTRATION AND PROSPECTUS DELIVERY REQUIREMENTS OF SAID ACT.</w:t>
      </w:r>
    </w:p>
    <w:p>
      <w:pPr>
        <w:spacing w:after="0" w:line="82" w:lineRule="exact"/>
        <w:rPr>
          <w:sz w:val="20"/>
          <w:szCs w:val="20"/>
          <w:color w:val="auto"/>
        </w:rPr>
      </w:pPr>
    </w:p>
    <w:p>
      <w:pPr>
        <w:ind w:left="440" w:right="3579"/>
        <w:spacing w:after="0" w:line="267" w:lineRule="auto"/>
        <w:rPr>
          <w:sz w:val="20"/>
          <w:szCs w:val="20"/>
          <w:color w:val="auto"/>
        </w:rPr>
      </w:pPr>
      <w:r>
        <w:rPr>
          <w:rFonts w:ascii="Courier New" w:cs="Courier New" w:eastAsia="Courier New" w:hAnsi="Courier New"/>
          <w:sz w:val="14"/>
          <w:szCs w:val="14"/>
          <w:color w:val="auto"/>
        </w:rPr>
        <w:t>THE SHARES REPRESENTED BY THIS CERTIFICATE ARE SUBJECT TO CERTAIN RESTRICTIONS ON THEIR SALE, ASSIGNMENT, PLEDGE OR TRANSFER SET FORTH IN SECTION 6 OF A REGISTRA TION RIGHTS AGREEMENT DATED AS OF June 28, 1996</w:t>
      </w:r>
    </w:p>
    <w:p>
      <w:pPr>
        <w:spacing w:after="0" w:line="1" w:lineRule="exact"/>
        <w:rPr>
          <w:sz w:val="20"/>
          <w:szCs w:val="20"/>
          <w:color w:val="auto"/>
        </w:rPr>
      </w:pPr>
    </w:p>
    <w:p>
      <w:pPr>
        <w:ind w:left="440" w:right="3319"/>
        <w:spacing w:after="0" w:line="260" w:lineRule="auto"/>
        <w:rPr>
          <w:sz w:val="20"/>
          <w:szCs w:val="20"/>
          <w:color w:val="auto"/>
        </w:rPr>
      </w:pPr>
      <w:r>
        <w:rPr>
          <w:rFonts w:ascii="Courier New" w:cs="Courier New" w:eastAsia="Courier New" w:hAnsi="Courier New"/>
          <w:sz w:val="15"/>
          <w:szCs w:val="15"/>
          <w:color w:val="auto"/>
        </w:rPr>
        <w:t>AMONG MICRON TECHNOLOGY, INC. AND CERTAIN OTHER PARTIES. COPIES OF SUCH AGREEMENT MAY BE OBTAINED AT NO COST BY WRITTEN REQUEST MADE BY THE HOLDER OF RECORD OF THIS CERTIFICATE TO THE SECRETARY OF THE CORPORATION AT THE PRINCIPAL EXECUTIVE OFFICES OF THE CORPORATION."</w:t>
      </w:r>
    </w:p>
    <w:p>
      <w:pPr>
        <w:spacing w:after="0" w:line="79" w:lineRule="exact"/>
        <w:rPr>
          <w:sz w:val="20"/>
          <w:szCs w:val="20"/>
          <w:color w:val="auto"/>
        </w:rPr>
      </w:pPr>
    </w:p>
    <w:p>
      <w:pPr>
        <w:jc w:val="both"/>
        <w:ind w:right="3579" w:firstLine="437"/>
        <w:spacing w:after="0" w:line="320" w:lineRule="auto"/>
        <w:rPr>
          <w:sz w:val="20"/>
          <w:szCs w:val="20"/>
          <w:color w:val="auto"/>
        </w:rPr>
      </w:pPr>
      <w:r>
        <w:rPr>
          <w:rFonts w:ascii="Courier New" w:cs="Courier New" w:eastAsia="Courier New" w:hAnsi="Courier New"/>
          <w:sz w:val="14"/>
          <w:szCs w:val="14"/>
          <w:color w:val="auto"/>
        </w:rPr>
        <w:t>Each party consents to the Company making a notation on its records and giving instructions to any transfer agent of the Company Shares in order to implement the restrictions on transfer established in this Agreement.</w:t>
      </w:r>
    </w:p>
    <w:p>
      <w:pPr>
        <w:spacing w:after="0" w:line="38" w:lineRule="exact"/>
        <w:rPr>
          <w:sz w:val="20"/>
          <w:szCs w:val="20"/>
          <w:color w:val="auto"/>
        </w:rPr>
      </w:pPr>
    </w:p>
    <w:p>
      <w:pPr>
        <w:ind w:left="1240" w:hanging="356"/>
        <w:spacing w:after="0"/>
        <w:tabs>
          <w:tab w:leader="none" w:pos="124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Proposed Transfers.  The holder of each certificate</w:t>
      </w:r>
    </w:p>
    <w:p>
      <w:pPr>
        <w:spacing w:after="0" w:line="24" w:lineRule="exact"/>
        <w:rPr>
          <w:rFonts w:ascii="Courier New" w:cs="Courier New" w:eastAsia="Courier New" w:hAnsi="Courier New"/>
          <w:sz w:val="15"/>
          <w:szCs w:val="15"/>
          <w:color w:val="auto"/>
        </w:rPr>
      </w:pPr>
    </w:p>
    <w:p>
      <w:pPr>
        <w:ind w:left="12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239"/>
        <w:spacing w:after="0" w:line="260" w:lineRule="auto"/>
        <w:rPr>
          <w:sz w:val="20"/>
          <w:szCs w:val="20"/>
          <w:color w:val="auto"/>
        </w:rPr>
      </w:pPr>
      <w:r>
        <w:rPr>
          <w:rFonts w:ascii="Courier New" w:cs="Courier New" w:eastAsia="Courier New" w:hAnsi="Courier New"/>
          <w:sz w:val="14"/>
          <w:szCs w:val="14"/>
          <w:color w:val="auto"/>
        </w:rPr>
        <w:t>representing Common Shares by acceptance thereof agrees to comply in all respects with the provisions of this section 6. Prior to any proposed sale, pledge, assignment or transfer of any Common Shares (other than a transfer not involving a change in beneficial ownership) unless there is in effect a registration statement under the Securities Act covering the proposed transfer, the holder thereof shall give written notice to the Company of such holder's intention to effect such transfer, sale, assignment or pledge. Each such notice shall describe the manner and circumstances of the proposed transfer, sale, assignment or pledge in sufficient detail, and shall be accompanied, at such holder's expense by either (i) an unqualified written opinion of legal counsel who shall, and whose legal opinion shall, be reasonably satisfactory to the Company addressed to the Company, to the effect that the proposed transfer of the Common Shares may be effected without registration under the Securities Act, or (ii) a "no action" letter from the Commission to the effect that the transfer of such securities without registration will not result in a recommendation by the staff of the Commission that action be taken with respect thereto, whereupon the holder of such Common Shares shall be entitled to</w:t>
      </w:r>
    </w:p>
    <w:p>
      <w:pPr>
        <w:spacing w:after="0" w:line="8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598" w:right="1440" w:bottom="1440" w:gutter="0" w:footer="0" w:header="0"/>
        </w:sectPr>
      </w:pPr>
    </w:p>
    <w:bookmarkStart w:id="115" w:name="page116"/>
    <w:bookmarkEnd w:id="115"/>
    <w:p>
      <w:pPr>
        <w:ind w:right="3239"/>
        <w:spacing w:after="0" w:line="252" w:lineRule="auto"/>
        <w:rPr>
          <w:sz w:val="20"/>
          <w:szCs w:val="20"/>
          <w:color w:val="auto"/>
        </w:rPr>
      </w:pPr>
      <w:r>
        <w:rPr>
          <w:rFonts w:ascii="Courier New" w:cs="Courier New" w:eastAsia="Courier New" w:hAnsi="Courier New"/>
          <w:sz w:val="15"/>
          <w:szCs w:val="15"/>
          <w:color w:val="auto"/>
        </w:rPr>
        <w:t>transfer such Common Shares in accordance with the terms of the notice delivered by the holder to the Company. Each certificate evidencing the Common Shares transferred as above provided shall bear, unless such transfer is made pursuant to an effective registration statement, the appropriate restrictive legend set forth in section 5 above, except that such certificate shall not bear such restrictive legend if in the opinion of counsel for such holder and the Company such legend is not required in order to establish compliance with any provision of the Securities Act.</w:t>
      </w:r>
    </w:p>
    <w:p>
      <w:pPr>
        <w:spacing w:after="0" w:line="86" w:lineRule="exact"/>
        <w:rPr>
          <w:sz w:val="20"/>
          <w:szCs w:val="20"/>
          <w:color w:val="auto"/>
        </w:rPr>
      </w:pPr>
    </w:p>
    <w:p>
      <w:pPr>
        <w:ind w:left="1320" w:hanging="436"/>
        <w:spacing w:after="0"/>
        <w:tabs>
          <w:tab w:leader="none" w:pos="132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Rules 144 and 144A.  The Company shall timely file the reports</w:t>
      </w:r>
    </w:p>
    <w:p>
      <w:pPr>
        <w:spacing w:after="0" w:line="24" w:lineRule="exact"/>
        <w:rPr>
          <w:rFonts w:ascii="Courier New" w:cs="Courier New" w:eastAsia="Courier New" w:hAnsi="Courier New"/>
          <w:sz w:val="15"/>
          <w:szCs w:val="15"/>
          <w:color w:val="auto"/>
        </w:rPr>
      </w:pP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399"/>
        <w:spacing w:after="0" w:line="254" w:lineRule="auto"/>
        <w:rPr>
          <w:sz w:val="20"/>
          <w:szCs w:val="20"/>
          <w:color w:val="auto"/>
        </w:rPr>
      </w:pPr>
      <w:r>
        <w:rPr>
          <w:rFonts w:ascii="Courier New" w:cs="Courier New" w:eastAsia="Courier New" w:hAnsi="Courier New"/>
          <w:sz w:val="14"/>
          <w:szCs w:val="14"/>
          <w:color w:val="auto"/>
        </w:rPr>
        <w:t>required to be filed by it under the Securities Act and the Exchange Act (including but not limited to the reports under sections 13 and 15(d) of the Exchange Act referred to in subparagraph (c) of Rule 144 adopted by the Commission under the Securities Act) and the rules and regulations adopted by the Commission thereunder (or, if the Company is not required to file such reports, will, upon the request of CIBC, make publicly available other information) and will take such further action as CIBC may reasonably request, all to the extent required from time to time to enable CIBC to sell the Common Shares without registration under the Securities Act within the limitation of the exemptions provided by (a) Rule 144 or Rule 144A under the Securities Act,</w:t>
      </w:r>
    </w:p>
    <w:p>
      <w:pPr>
        <w:spacing w:after="0" w:line="2"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as such Rule may be amended from time to time, or (b) any similar rule or</w:t>
      </w:r>
    </w:p>
    <w:p>
      <w:pPr>
        <w:ind w:left="4480"/>
        <w:spacing w:after="0" w:line="238" w:lineRule="auto"/>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regulation hereafter adopted by the Commission.</w:t>
      </w:r>
    </w:p>
    <w:p>
      <w:pPr>
        <w:spacing w:after="0" w:line="140" w:lineRule="exact"/>
        <w:rPr>
          <w:sz w:val="20"/>
          <w:szCs w:val="20"/>
          <w:color w:val="auto"/>
        </w:rPr>
      </w:pPr>
    </w:p>
    <w:p>
      <w:pPr>
        <w:ind w:left="1320" w:hanging="436"/>
        <w:spacing w:after="0"/>
        <w:tabs>
          <w:tab w:leader="none" w:pos="132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and Waivers.  This Agreement may be amended only with</w:t>
      </w:r>
    </w:p>
    <w:p>
      <w:pPr>
        <w:spacing w:after="0" w:line="35" w:lineRule="exact"/>
        <w:rPr>
          <w:rFonts w:ascii="Courier New" w:cs="Courier New" w:eastAsia="Courier New" w:hAnsi="Courier New"/>
          <w:sz w:val="14"/>
          <w:szCs w:val="14"/>
          <w:color w:val="auto"/>
        </w:rPr>
      </w:pPr>
    </w:p>
    <w:p>
      <w:pPr>
        <w:ind w:left="13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the written consent of the parties hereto.</w:t>
      </w:r>
    </w:p>
    <w:p>
      <w:pPr>
        <w:spacing w:after="0" w:line="140" w:lineRule="exact"/>
        <w:rPr>
          <w:sz w:val="20"/>
          <w:szCs w:val="20"/>
          <w:color w:val="auto"/>
        </w:rPr>
      </w:pPr>
    </w:p>
    <w:p>
      <w:pPr>
        <w:ind w:left="1240" w:hanging="356"/>
        <w:spacing w:after="0"/>
        <w:tabs>
          <w:tab w:leader="none" w:pos="124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Except as otherwise provided in this Agreement, all</w:t>
      </w:r>
    </w:p>
    <w:p>
      <w:pPr>
        <w:spacing w:after="0" w:line="24" w:lineRule="exact"/>
        <w:rPr>
          <w:rFonts w:ascii="Courier New" w:cs="Courier New" w:eastAsia="Courier New" w:hAnsi="Courier New"/>
          <w:sz w:val="15"/>
          <w:szCs w:val="15"/>
          <w:color w:val="auto"/>
        </w:rPr>
      </w:pPr>
    </w:p>
    <w:p>
      <w:pPr>
        <w:ind w:left="12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319"/>
        <w:spacing w:after="0" w:line="254" w:lineRule="auto"/>
        <w:rPr>
          <w:sz w:val="20"/>
          <w:szCs w:val="20"/>
          <w:color w:val="auto"/>
        </w:rPr>
      </w:pPr>
      <w:r>
        <w:rPr>
          <w:rFonts w:ascii="Courier New" w:cs="Courier New" w:eastAsia="Courier New" w:hAnsi="Courier New"/>
          <w:sz w:val="14"/>
          <w:szCs w:val="14"/>
          <w:color w:val="auto"/>
        </w:rPr>
        <w:t>notices, requests and other communications to any Person provided for hereunder shall be in writing and shall be given to such Person (a) in the case of CIBC,</w:t>
      </w:r>
    </w:p>
    <w:p>
      <w:pPr>
        <w:jc w:val="center"/>
        <w:ind w:right="519"/>
        <w:spacing w:after="0" w:line="238" w:lineRule="auto"/>
        <w:rPr>
          <w:sz w:val="20"/>
          <w:szCs w:val="20"/>
          <w:color w:val="auto"/>
        </w:rPr>
      </w:pPr>
      <w:r>
        <w:rPr>
          <w:rFonts w:ascii="Courier New" w:cs="Courier New" w:eastAsia="Courier New" w:hAnsi="Courier New"/>
          <w:sz w:val="15"/>
          <w:szCs w:val="15"/>
          <w:color w:val="auto"/>
        </w:rPr>
        <w:t>-</w:t>
      </w:r>
    </w:p>
    <w:p>
      <w:pPr>
        <w:ind w:right="3239"/>
        <w:spacing w:after="0" w:line="254" w:lineRule="auto"/>
        <w:rPr>
          <w:sz w:val="20"/>
          <w:szCs w:val="20"/>
          <w:color w:val="auto"/>
        </w:rPr>
      </w:pPr>
      <w:r>
        <w:rPr>
          <w:rFonts w:ascii="Courier New" w:cs="Courier New" w:eastAsia="Courier New" w:hAnsi="Courier New"/>
          <w:sz w:val="14"/>
          <w:szCs w:val="14"/>
          <w:color w:val="auto"/>
        </w:rPr>
        <w:t>at 161 Bay Street, 5th Floor, Toronto, Ontario, Canada, M5J 2S8 to the attention of its Office of General Counsel, with copies to Alexander Bakal at Canadian Imperial Bank of Commerce, 425 Lexington Avenue, New York, New York 10017 and to John W. Osborn at Skadden, Arps, Slate, Meagher &amp; Flom, 919 Third Avenue, New York, New York 10023, or at such other address, or to the attention of such other officer, as CIBC shall have furnished to the Company, or (b) in the case</w:t>
      </w:r>
    </w:p>
    <w:p>
      <w:pPr>
        <w:ind w:left="5600"/>
        <w:spacing w:after="0"/>
        <w:rPr>
          <w:sz w:val="20"/>
          <w:szCs w:val="20"/>
          <w:color w:val="auto"/>
        </w:rPr>
      </w:pPr>
      <w:r>
        <w:rPr>
          <w:rFonts w:ascii="Courier New" w:cs="Courier New" w:eastAsia="Courier New" w:hAnsi="Courier New"/>
          <w:sz w:val="15"/>
          <w:szCs w:val="15"/>
          <w:color w:val="auto"/>
        </w:rPr>
        <w:t>-</w:t>
      </w:r>
    </w:p>
    <w:p>
      <w:pPr>
        <w:ind w:right="3239"/>
        <w:spacing w:after="0" w:line="254" w:lineRule="auto"/>
        <w:rPr>
          <w:sz w:val="20"/>
          <w:szCs w:val="20"/>
          <w:color w:val="auto"/>
        </w:rPr>
      </w:pPr>
      <w:r>
        <w:rPr>
          <w:rFonts w:ascii="Courier New" w:cs="Courier New" w:eastAsia="Courier New" w:hAnsi="Courier New"/>
          <w:sz w:val="14"/>
          <w:szCs w:val="14"/>
          <w:color w:val="auto"/>
        </w:rPr>
        <w:t>of the Company, at 8000 South Federal Way, P.O. Box 6, Boise, Idaho 83707 to the attention of its General Counsel, or at such other address, or to the attention of such other officer, as the Company shall have furnished to CIBC. Each such notice, request or other communication shall be effective (i) if given by mail,</w:t>
      </w:r>
    </w:p>
    <w:p>
      <w:pPr>
        <w:jc w:val="center"/>
        <w:ind w:right="-180"/>
        <w:spacing w:after="0"/>
        <w:rPr>
          <w:sz w:val="20"/>
          <w:szCs w:val="20"/>
          <w:color w:val="auto"/>
        </w:rPr>
      </w:pPr>
      <w:r>
        <w:rPr>
          <w:rFonts w:ascii="Courier New" w:cs="Courier New" w:eastAsia="Courier New" w:hAnsi="Courier New"/>
          <w:sz w:val="15"/>
          <w:szCs w:val="15"/>
          <w:color w:val="auto"/>
        </w:rPr>
        <w:t>-</w:t>
      </w:r>
    </w:p>
    <w:p>
      <w:pPr>
        <w:ind w:right="3579"/>
        <w:spacing w:after="0" w:line="254" w:lineRule="auto"/>
        <w:rPr>
          <w:sz w:val="20"/>
          <w:szCs w:val="20"/>
          <w:color w:val="auto"/>
        </w:rPr>
      </w:pPr>
      <w:r>
        <w:rPr>
          <w:rFonts w:ascii="Courier New" w:cs="Courier New" w:eastAsia="Courier New" w:hAnsi="Courier New"/>
          <w:sz w:val="14"/>
          <w:szCs w:val="14"/>
          <w:color w:val="auto"/>
        </w:rPr>
        <w:t>72 hours after such communication is deposited in the mails with first class postage prepaid, addressed as aforesaid or (ii) if given by any other means</w:t>
      </w:r>
    </w:p>
    <w:p>
      <w:pPr>
        <w:ind w:left="3860"/>
        <w:spacing w:after="0" w:line="238" w:lineRule="auto"/>
        <w:rPr>
          <w:sz w:val="20"/>
          <w:szCs w:val="20"/>
          <w:color w:val="auto"/>
        </w:rPr>
      </w:pPr>
      <w:r>
        <w:rPr>
          <w:rFonts w:ascii="Courier New" w:cs="Courier New" w:eastAsia="Courier New" w:hAnsi="Courier New"/>
          <w:sz w:val="15"/>
          <w:szCs w:val="15"/>
          <w:color w:val="auto"/>
        </w:rPr>
        <w:t>--</w:t>
      </w:r>
    </w:p>
    <w:p>
      <w:pPr>
        <w:ind w:right="3399"/>
        <w:spacing w:after="0" w:line="307" w:lineRule="auto"/>
        <w:rPr>
          <w:sz w:val="20"/>
          <w:szCs w:val="20"/>
          <w:color w:val="auto"/>
        </w:rPr>
      </w:pPr>
      <w:r>
        <w:rPr>
          <w:rFonts w:ascii="Courier New" w:cs="Courier New" w:eastAsia="Courier New" w:hAnsi="Courier New"/>
          <w:sz w:val="15"/>
          <w:szCs w:val="15"/>
          <w:color w:val="auto"/>
        </w:rPr>
        <w:t>(including, without limitation, by air courier), when delivered at the address specified above.</w:t>
      </w:r>
    </w:p>
    <w:p>
      <w:pPr>
        <w:spacing w:after="0" w:line="4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597" w:right="1440" w:bottom="1440" w:gutter="0" w:footer="0" w:header="0"/>
        </w:sectPr>
      </w:pPr>
    </w:p>
    <w:bookmarkStart w:id="116" w:name="page117"/>
    <w:bookmarkEnd w:id="116"/>
    <w:p>
      <w:pPr>
        <w:ind w:left="1320" w:hanging="436"/>
        <w:spacing w:after="0"/>
        <w:tabs>
          <w:tab w:leader="none" w:pos="132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This Agreement shall be binding upon and inure to</w:t>
      </w:r>
    </w:p>
    <w:p>
      <w:pPr>
        <w:spacing w:after="0" w:line="24" w:lineRule="exact"/>
        <w:rPr>
          <w:rFonts w:ascii="Courier New" w:cs="Courier New" w:eastAsia="Courier New" w:hAnsi="Courier New"/>
          <w:sz w:val="15"/>
          <w:szCs w:val="15"/>
          <w:color w:val="auto"/>
        </w:rPr>
      </w:pP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579"/>
        <w:spacing w:after="0" w:line="307" w:lineRule="auto"/>
        <w:rPr>
          <w:sz w:val="20"/>
          <w:szCs w:val="20"/>
          <w:color w:val="auto"/>
        </w:rPr>
      </w:pPr>
      <w:r>
        <w:rPr>
          <w:rFonts w:ascii="Courier New" w:cs="Courier New" w:eastAsia="Courier New" w:hAnsi="Courier New"/>
          <w:sz w:val="15"/>
          <w:szCs w:val="15"/>
          <w:color w:val="auto"/>
        </w:rPr>
        <w:t>the benefit of and be enforceable by the parties hereto and their respective succes sors and assigns.</w:t>
      </w:r>
    </w:p>
    <w:p>
      <w:pPr>
        <w:spacing w:after="0" w:line="44" w:lineRule="exact"/>
        <w:rPr>
          <w:sz w:val="20"/>
          <w:szCs w:val="20"/>
          <w:color w:val="auto"/>
        </w:rPr>
      </w:pPr>
    </w:p>
    <w:p>
      <w:pPr>
        <w:ind w:left="1320" w:hanging="436"/>
        <w:spacing w:after="0"/>
        <w:tabs>
          <w:tab w:leader="none" w:pos="132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Descriptive Headings.  The descriptive headings of the several</w:t>
      </w:r>
    </w:p>
    <w:p>
      <w:pPr>
        <w:spacing w:after="0" w:line="24" w:lineRule="exact"/>
        <w:rPr>
          <w:rFonts w:ascii="Courier New" w:cs="Courier New" w:eastAsia="Courier New" w:hAnsi="Courier New"/>
          <w:sz w:val="15"/>
          <w:szCs w:val="15"/>
          <w:color w:val="auto"/>
        </w:rPr>
      </w:pP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499"/>
        <w:spacing w:after="0" w:line="307" w:lineRule="auto"/>
        <w:rPr>
          <w:sz w:val="20"/>
          <w:szCs w:val="20"/>
          <w:color w:val="auto"/>
        </w:rPr>
      </w:pPr>
      <w:r>
        <w:rPr>
          <w:rFonts w:ascii="Courier New" w:cs="Courier New" w:eastAsia="Courier New" w:hAnsi="Courier New"/>
          <w:sz w:val="15"/>
          <w:szCs w:val="15"/>
          <w:color w:val="auto"/>
        </w:rPr>
        <w:t>sections and paragraphs of this Agreement are inserted for reference only and shall not limit or otherwise affect the meaning hereof.</w:t>
      </w:r>
    </w:p>
    <w:p>
      <w:pPr>
        <w:spacing w:after="0" w:line="44" w:lineRule="exact"/>
        <w:rPr>
          <w:sz w:val="20"/>
          <w:szCs w:val="20"/>
          <w:color w:val="auto"/>
        </w:rPr>
      </w:pPr>
    </w:p>
    <w:p>
      <w:pPr>
        <w:ind w:left="1320" w:hanging="436"/>
        <w:spacing w:after="0"/>
        <w:tabs>
          <w:tab w:leader="none" w:pos="132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CON STRUED AND ENFORCED</w:t>
      </w:r>
    </w:p>
    <w:p>
      <w:pPr>
        <w:spacing w:after="0" w:line="24" w:lineRule="exact"/>
        <w:rPr>
          <w:rFonts w:ascii="Courier New" w:cs="Courier New" w:eastAsia="Courier New" w:hAnsi="Courier New"/>
          <w:sz w:val="15"/>
          <w:szCs w:val="15"/>
          <w:color w:val="auto"/>
        </w:rPr>
      </w:pP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jc w:val="both"/>
        <w:ind w:right="3239"/>
        <w:spacing w:after="0" w:line="346" w:lineRule="auto"/>
        <w:rPr>
          <w:sz w:val="20"/>
          <w:szCs w:val="20"/>
          <w:color w:val="auto"/>
        </w:rPr>
      </w:pPr>
      <w:r>
        <w:rPr>
          <w:rFonts w:ascii="Courier New" w:cs="Courier New" w:eastAsia="Courier New" w:hAnsi="Courier New"/>
          <w:sz w:val="14"/>
          <w:szCs w:val="14"/>
          <w:color w:val="auto"/>
        </w:rPr>
        <w:t>IN ACCORDANCE WITH, AND THE RIGHTS OF THE PARTIES SHALL BE GOVERNED BY, THE LAWS OF THE STATE OF IDAHO WITHOUT REFERENCE TO THE PRINCIPLES OF CONFLICTS OF LAWS.</w:t>
      </w:r>
    </w:p>
    <w:p>
      <w:pPr>
        <w:spacing w:after="0" w:line="21" w:lineRule="exact"/>
        <w:rPr>
          <w:sz w:val="20"/>
          <w:szCs w:val="20"/>
          <w:color w:val="auto"/>
        </w:rPr>
      </w:pPr>
    </w:p>
    <w:p>
      <w:pPr>
        <w:ind w:left="1320" w:hanging="436"/>
        <w:spacing w:after="0"/>
        <w:tabs>
          <w:tab w:leader="none" w:pos="132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simultaneously in</w:t>
      </w:r>
    </w:p>
    <w:p>
      <w:pPr>
        <w:spacing w:after="0" w:line="2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ind w:right="3399"/>
        <w:spacing w:after="0" w:line="346" w:lineRule="auto"/>
        <w:rPr>
          <w:sz w:val="20"/>
          <w:szCs w:val="20"/>
          <w:color w:val="auto"/>
        </w:rPr>
      </w:pPr>
      <w:r>
        <w:rPr>
          <w:rFonts w:ascii="Courier New" w:cs="Courier New" w:eastAsia="Courier New" w:hAnsi="Courier New"/>
          <w:sz w:val="14"/>
          <w:szCs w:val="14"/>
          <w:color w:val="auto"/>
        </w:rPr>
        <w:t>any number of counterparts, each of which shall be deemed an original, but all such counterparts shall together constitute one and the same instrument.</w:t>
      </w:r>
    </w:p>
    <w:p>
      <w:pPr>
        <w:spacing w:after="0" w:line="21" w:lineRule="exact"/>
        <w:rPr>
          <w:sz w:val="20"/>
          <w:szCs w:val="20"/>
          <w:color w:val="auto"/>
        </w:rPr>
      </w:pPr>
    </w:p>
    <w:p>
      <w:pPr>
        <w:ind w:left="1320" w:hanging="436"/>
        <w:spacing w:after="0"/>
        <w:tabs>
          <w:tab w:leader="none" w:pos="13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embodies the entire agreement</w:t>
      </w:r>
    </w:p>
    <w:p>
      <w:pPr>
        <w:spacing w:after="0" w:line="24" w:lineRule="exact"/>
        <w:rPr>
          <w:rFonts w:ascii="Courier New" w:cs="Courier New" w:eastAsia="Courier New" w:hAnsi="Courier New"/>
          <w:sz w:val="15"/>
          <w:szCs w:val="15"/>
          <w:color w:val="auto"/>
        </w:rPr>
      </w:pP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239"/>
        <w:spacing w:after="0" w:line="272" w:lineRule="auto"/>
        <w:rPr>
          <w:sz w:val="20"/>
          <w:szCs w:val="20"/>
          <w:color w:val="auto"/>
        </w:rPr>
      </w:pPr>
      <w:r>
        <w:rPr>
          <w:rFonts w:ascii="Courier New" w:cs="Courier New" w:eastAsia="Courier New" w:hAnsi="Courier New"/>
          <w:sz w:val="15"/>
          <w:szCs w:val="15"/>
          <w:color w:val="auto"/>
        </w:rPr>
        <w:t>and understanding between the Company and each other party hereto relating to the subject matter hereof and supersedes all prior agreements and understandings relating to such subject matter.</w:t>
      </w:r>
    </w:p>
    <w:p>
      <w:pPr>
        <w:spacing w:after="0" w:line="69" w:lineRule="exact"/>
        <w:rPr>
          <w:sz w:val="20"/>
          <w:szCs w:val="20"/>
          <w:color w:val="auto"/>
        </w:rPr>
      </w:pPr>
    </w:p>
    <w:p>
      <w:pPr>
        <w:ind w:left="1320" w:hanging="436"/>
        <w:spacing w:after="0"/>
        <w:tabs>
          <w:tab w:leader="none" w:pos="132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SUBMISSION TO JURISDICTION.  ANY LEGAL ACTION OR PROCEEDING WITH</w:t>
      </w:r>
    </w:p>
    <w:p>
      <w:pPr>
        <w:spacing w:after="0" w:line="35" w:lineRule="exact"/>
        <w:rPr>
          <w:rFonts w:ascii="Courier New" w:cs="Courier New" w:eastAsia="Courier New" w:hAnsi="Courier New"/>
          <w:sz w:val="14"/>
          <w:szCs w:val="14"/>
          <w:color w:val="auto"/>
        </w:rPr>
      </w:pPr>
    </w:p>
    <w:p>
      <w:pPr>
        <w:ind w:left="13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right="3239"/>
        <w:spacing w:after="0" w:line="243" w:lineRule="auto"/>
        <w:rPr>
          <w:sz w:val="20"/>
          <w:szCs w:val="20"/>
          <w:color w:val="auto"/>
        </w:rPr>
      </w:pPr>
      <w:r>
        <w:rPr>
          <w:rFonts w:ascii="Courier New" w:cs="Courier New" w:eastAsia="Courier New" w:hAnsi="Courier New"/>
          <w:sz w:val="15"/>
          <w:szCs w:val="15"/>
          <w:color w:val="auto"/>
        </w:rPr>
        <w:t>RESPECT TO THIS AGREEMENT MAY BE BROUGHT IN THE COURTS OF THE STATE OF IDAHO OR NEW YORK OR OF THE UNITED STATES OF AMERICA FOR THE DISTRICT OF IDAHO OR THE SOUTHERN DISTRICT OF NEW YORK, AND, BY EXECUTION AND DELIVERY OF THIS AGREEMENT, THE PARTIES HEREBY ACCEPT FOR THEMSELVES AND IN RESPECT OF THEIR PROPERTY, GENERALLY AND UNCONDITIONALLY, THE JURISDICTION OF THE AFORESAID COURTS AND APPELLATE COURTS FROM ANY THEREOF. EACH PARTY HERETO HEREBY IRREVOCABLY CONSENTS TO THE SERVICE OF PROCESS OUT OF ANY OF THE AFOREMENTIONED COURTS IN ANY ACTION OR PROCEEDING BY THE MAILING OF COPIES THEREOF TO SUCH PARTY BY REGISTERED OR CERTIFIED MAIL, POSTAGE PREPAID, RETURN RECEIPT REQUESTED, TO SUCH PARTY AT ITS ADDRESS SPECIFIED IN SECTION 9. THE PARTIES HERETO HEREBY IRREVOCABLY WAIVE TRIAL BY JURY, AND THE PARTIES HEREBY IRREVOCABLY WAIVE ANY OBJECTION, INCLUDING, WITHOUT LIMITATION, ANY OBJECTION TO THE LAYING OF VENUE OR</w:t>
      </w:r>
    </w:p>
    <w:p>
      <w:pPr>
        <w:spacing w:after="0" w:line="9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598" w:right="1440" w:bottom="1440" w:gutter="0" w:footer="0" w:header="0"/>
        </w:sectPr>
      </w:pPr>
    </w:p>
    <w:bookmarkStart w:id="117" w:name="page118"/>
    <w:bookmarkEnd w:id="117"/>
    <w:p>
      <w:pPr>
        <w:spacing w:after="0"/>
        <w:rPr>
          <w:sz w:val="20"/>
          <w:szCs w:val="20"/>
          <w:color w:val="auto"/>
        </w:rPr>
      </w:pPr>
      <w:r>
        <w:rPr>
          <w:rFonts w:ascii="Courier New" w:cs="Courier New" w:eastAsia="Courier New" w:hAnsi="Courier New"/>
          <w:sz w:val="15"/>
          <w:szCs w:val="15"/>
          <w:color w:val="auto"/>
        </w:rPr>
        <w:t>BASED ON THE GROUNDS OF FORUM NON CONVENIENS, WHICH THEY MAY NOW OR HEREAFTER</w:t>
      </w:r>
    </w:p>
    <w:p>
      <w:pPr>
        <w:spacing w:after="0" w:line="2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w:t>
      </w:r>
    </w:p>
    <w:p>
      <w:pPr>
        <w:ind w:right="3839"/>
        <w:spacing w:after="0" w:line="307" w:lineRule="auto"/>
        <w:rPr>
          <w:sz w:val="20"/>
          <w:szCs w:val="20"/>
          <w:color w:val="auto"/>
        </w:rPr>
      </w:pPr>
      <w:r>
        <w:rPr>
          <w:rFonts w:ascii="Courier New" w:cs="Courier New" w:eastAsia="Courier New" w:hAnsi="Courier New"/>
          <w:sz w:val="15"/>
          <w:szCs w:val="15"/>
          <w:color w:val="auto"/>
        </w:rPr>
        <w:t>HAVE TO THE BRINGING OF ANY SUCH ACTION OR PROCEEDING IN SUCH RESPEC TIVE JURISDICTIONS.</w:t>
      </w:r>
    </w:p>
    <w:p>
      <w:pPr>
        <w:spacing w:after="0" w:line="44" w:lineRule="exact"/>
        <w:rPr>
          <w:sz w:val="20"/>
          <w:szCs w:val="20"/>
          <w:color w:val="auto"/>
        </w:rPr>
      </w:pPr>
    </w:p>
    <w:p>
      <w:pPr>
        <w:ind w:left="1320" w:hanging="436"/>
        <w:spacing w:after="0"/>
        <w:tabs>
          <w:tab w:leader="none" w:pos="132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provision of this Agreement, or the</w:t>
      </w:r>
    </w:p>
    <w:p>
      <w:pPr>
        <w:spacing w:after="0" w:line="2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ind w:right="3319"/>
        <w:spacing w:after="0" w:line="260" w:lineRule="auto"/>
        <w:rPr>
          <w:sz w:val="20"/>
          <w:szCs w:val="20"/>
          <w:color w:val="auto"/>
        </w:rPr>
      </w:pPr>
      <w:r>
        <w:rPr>
          <w:rFonts w:ascii="Courier New" w:cs="Courier New" w:eastAsia="Courier New" w:hAnsi="Courier New"/>
          <w:sz w:val="15"/>
          <w:szCs w:val="15"/>
          <w:color w:val="auto"/>
        </w:rPr>
        <w:t>application of such provisions to any Person or circumstance, shall be held invalid, the remainder of this Agreement, or the application of such provision to Persons or circumstances other than those to which it is held invalid, shall not be affected thereby.</w:t>
      </w:r>
    </w:p>
    <w:p>
      <w:pPr>
        <w:spacing w:after="0" w:line="79" w:lineRule="exact"/>
        <w:rPr>
          <w:sz w:val="20"/>
          <w:szCs w:val="20"/>
          <w:color w:val="auto"/>
        </w:rPr>
      </w:pPr>
    </w:p>
    <w:p>
      <w:pPr>
        <w:ind w:left="1320" w:hanging="436"/>
        <w:spacing w:after="0"/>
        <w:tabs>
          <w:tab w:leader="none" w:pos="132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Enforceability and Validity.  In addition to all other actions</w:t>
      </w:r>
    </w:p>
    <w:p>
      <w:pPr>
        <w:spacing w:after="0" w:line="2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ind w:right="3239"/>
        <w:spacing w:after="0" w:line="249" w:lineRule="auto"/>
        <w:rPr>
          <w:sz w:val="20"/>
          <w:szCs w:val="20"/>
          <w:color w:val="auto"/>
        </w:rPr>
      </w:pPr>
      <w:r>
        <w:rPr>
          <w:rFonts w:ascii="Courier New" w:cs="Courier New" w:eastAsia="Courier New" w:hAnsi="Courier New"/>
          <w:sz w:val="15"/>
          <w:szCs w:val="15"/>
          <w:color w:val="auto"/>
        </w:rPr>
        <w:t>necessary to make this Agreement a valid, binding and enforceable agreement among the parties, Micron shall have first received (or shall receive contemporaneous with the execution of this Agreement) an opinion satisfactory to Micron from outside counsel to Simplot that the pledge of the Common Shares pursuant to the Pledge Agreement, the Loan Agreement and the Master Agreement, shall not violate applicable securities laws and is exempt from registration under the Securities Act.</w:t>
      </w:r>
    </w:p>
    <w:p>
      <w:pPr>
        <w:spacing w:after="0" w:line="8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597" w:right="1440" w:bottom="1440" w:gutter="0" w:footer="0" w:header="0"/>
        </w:sectPr>
      </w:pPr>
    </w:p>
    <w:bookmarkStart w:id="118" w:name="page119"/>
    <w:bookmarkEnd w:id="118"/>
    <w:p>
      <w:pPr>
        <w:ind w:right="3239" w:firstLine="875"/>
        <w:spacing w:after="0" w:line="290" w:lineRule="auto"/>
        <w:rPr>
          <w:sz w:val="20"/>
          <w:szCs w:val="20"/>
          <w:color w:val="auto"/>
        </w:rPr>
      </w:pPr>
      <w:r>
        <w:rPr>
          <w:rFonts w:ascii="Courier New" w:cs="Courier New" w:eastAsia="Courier New" w:hAnsi="Courier New"/>
          <w:sz w:val="15"/>
          <w:szCs w:val="15"/>
          <w:color w:val="auto"/>
        </w:rPr>
        <w:t>IN WITNESS WHEREOF, the parties have caused this Agreement to be executed and delivered by their respective officers thereunto duly authorized as of the date first above written.</w:t>
      </w:r>
    </w:p>
    <w:p>
      <w:pPr>
        <w:spacing w:after="0" w:line="5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MICRON TECHNOLOGY, INC.</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By /s/ W. B. Stover, Jr.</w:t>
      </w:r>
    </w:p>
    <w:p>
      <w:pPr>
        <w:spacing w:after="0" w:line="2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jc w:val="right"/>
        <w:ind w:right="5159"/>
        <w:spacing w:after="0" w:line="237" w:lineRule="auto"/>
        <w:rPr>
          <w:sz w:val="20"/>
          <w:szCs w:val="20"/>
          <w:color w:val="auto"/>
        </w:rPr>
      </w:pPr>
      <w:r>
        <w:rPr>
          <w:rFonts w:ascii="Courier New" w:cs="Courier New" w:eastAsia="Courier New" w:hAnsi="Courier New"/>
          <w:sz w:val="15"/>
          <w:szCs w:val="15"/>
          <w:color w:val="auto"/>
        </w:rPr>
        <w:t>Title: Vice President, Finance</w:t>
      </w:r>
    </w:p>
    <w:p>
      <w:pPr>
        <w:jc w:val="right"/>
        <w:ind w:right="5159"/>
        <w:spacing w:after="0"/>
        <w:rPr>
          <w:sz w:val="20"/>
          <w:szCs w:val="20"/>
          <w:color w:val="auto"/>
        </w:rPr>
      </w:pPr>
      <w:r>
        <w:rPr>
          <w:rFonts w:ascii="Courier New" w:cs="Courier New" w:eastAsia="Courier New" w:hAnsi="Courier New"/>
          <w:sz w:val="15"/>
          <w:szCs w:val="15"/>
          <w:color w:val="auto"/>
        </w:rPr>
        <w:t>Chief Financial Officer</w:t>
      </w:r>
    </w:p>
    <w:p>
      <w:pPr>
        <w:spacing w:after="0" w:line="140"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CANADIAN IMPERIAL BANK OF COMMERCE</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By /s/ Eric Claus</w:t>
      </w:r>
    </w:p>
    <w:p>
      <w:pPr>
        <w:spacing w:after="0" w:line="2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ind w:left="2460"/>
        <w:spacing w:after="0"/>
        <w:rPr>
          <w:sz w:val="20"/>
          <w:szCs w:val="20"/>
          <w:color w:val="auto"/>
        </w:rPr>
      </w:pPr>
      <w:r>
        <w:rPr>
          <w:rFonts w:ascii="Courier New" w:cs="Courier New" w:eastAsia="Courier New" w:hAnsi="Courier New"/>
          <w:sz w:val="15"/>
          <w:szCs w:val="15"/>
          <w:color w:val="auto"/>
        </w:rPr>
        <w:t>Title: Managing Director</w:t>
      </w:r>
    </w:p>
    <w:p>
      <w:pPr>
        <w:spacing w:after="0" w:line="1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598" w:right="1440" w:bottom="1440" w:gutter="0" w:footer="0" w:header="0"/>
        </w:sectPr>
      </w:pPr>
    </w:p>
    <w:bookmarkStart w:id="119" w:name="page120"/>
    <w:bookmarkEnd w:id="119"/>
    <w:p>
      <w:pPr>
        <w:jc w:val="right"/>
        <w:ind w:right="3239"/>
        <w:spacing w:after="0"/>
        <w:rPr>
          <w:sz w:val="20"/>
          <w:szCs w:val="20"/>
          <w:color w:val="auto"/>
        </w:rPr>
      </w:pPr>
      <w:r>
        <w:rPr>
          <w:rFonts w:ascii="Courier New" w:cs="Courier New" w:eastAsia="Courier New" w:hAnsi="Courier New"/>
          <w:sz w:val="15"/>
          <w:szCs w:val="15"/>
          <w:color w:val="auto"/>
        </w:rPr>
        <w:t>EXHIBIT 10.117</w:t>
      </w:r>
    </w:p>
    <w:p>
      <w:pPr>
        <w:spacing w:after="0" w:line="33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MICRON TECHNOLOGY, INC.</w:t>
      </w:r>
    </w:p>
    <w:p>
      <w:pPr>
        <w:spacing w:after="0" w:line="200" w:lineRule="exact"/>
        <w:rPr>
          <w:sz w:val="20"/>
          <w:szCs w:val="20"/>
          <w:color w:val="auto"/>
        </w:rPr>
      </w:pPr>
    </w:p>
    <w:p>
      <w:pPr>
        <w:spacing w:after="0" w:line="30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REGISTRATION RIGHTS AGREEMENT</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Dated as of July 29, 1996</w:t>
      </w:r>
    </w:p>
    <w:p>
      <w:pPr>
        <w:sectPr>
          <w:pgSz w:w="11900" w:h="16838" w:orient="portrait"/>
          <w:cols w:equalWidth="0" w:num="1">
            <w:col w:w="9019"/>
          </w:cols>
          <w:pgMar w:left="1440" w:top="452" w:right="1440" w:bottom="1440" w:gutter="0" w:footer="0" w:header="0"/>
        </w:sectPr>
      </w:pPr>
    </w:p>
    <w:bookmarkStart w:id="120" w:name="page121"/>
    <w:bookmarkEnd w:id="120"/>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2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gridSpan w:val="2"/>
          </w:tcPr>
          <w:p>
            <w:pPr>
              <w:spacing w:after="0"/>
              <w:rPr>
                <w:sz w:val="20"/>
                <w:szCs w:val="20"/>
                <w:color w:val="auto"/>
              </w:rPr>
            </w:pPr>
            <w:r>
              <w:rPr>
                <w:rFonts w:ascii="Courier New" w:cs="Courier New" w:eastAsia="Courier New" w:hAnsi="Courier New"/>
                <w:sz w:val="15"/>
                <w:szCs w:val="15"/>
                <w:color w:val="auto"/>
              </w:rPr>
              <w:t>Section</w:t>
            </w:r>
          </w:p>
        </w:tc>
        <w:tc>
          <w:tcPr>
            <w:tcW w:w="4940" w:type="dxa"/>
            <w:vAlign w:val="bottom"/>
          </w:tcPr>
          <w:p>
            <w:pPr>
              <w:spacing w:after="0"/>
              <w:rPr>
                <w:sz w:val="14"/>
                <w:szCs w:val="14"/>
                <w:color w:val="auto"/>
              </w:rPr>
            </w:pP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Page</w:t>
            </w:r>
          </w:p>
        </w:tc>
      </w:tr>
      <w:tr>
        <w:trPr>
          <w:trHeight w:val="245"/>
        </w:trPr>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9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6"/>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1.</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w w:val="96"/>
              </w:rPr>
              <w:t>Introduction</w:t>
            </w:r>
          </w:p>
        </w:tc>
        <w:tc>
          <w:tcPr>
            <w:tcW w:w="49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r>
      <w:tr>
        <w:trPr>
          <w:trHeight w:val="336"/>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2.</w:t>
            </w:r>
          </w:p>
        </w:tc>
        <w:tc>
          <w:tcPr>
            <w:tcW w:w="626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Registration under Securities Act, etc.............................</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r>
      <w:tr>
        <w:trPr>
          <w:trHeight w:val="336"/>
        </w:trPr>
        <w:tc>
          <w:tcPr>
            <w:tcW w:w="180" w:type="dxa"/>
            <w:vAlign w:val="bottom"/>
          </w:tcPr>
          <w:p>
            <w:pPr>
              <w:spacing w:after="0"/>
              <w:rPr>
                <w:sz w:val="24"/>
                <w:szCs w:val="24"/>
                <w:color w:val="auto"/>
              </w:rPr>
            </w:pPr>
          </w:p>
        </w:tc>
        <w:tc>
          <w:tcPr>
            <w:tcW w:w="626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2.1  Registration on Request.......................................</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r>
      <w:tr>
        <w:trPr>
          <w:trHeight w:val="259"/>
        </w:trPr>
        <w:tc>
          <w:tcPr>
            <w:tcW w:w="180" w:type="dxa"/>
            <w:vAlign w:val="bottom"/>
          </w:tcPr>
          <w:p>
            <w:pPr>
              <w:spacing w:after="0"/>
              <w:rPr>
                <w:sz w:val="22"/>
                <w:szCs w:val="22"/>
                <w:color w:val="auto"/>
              </w:rPr>
            </w:pPr>
          </w:p>
        </w:tc>
        <w:tc>
          <w:tcPr>
            <w:tcW w:w="1320" w:type="dxa"/>
            <w:vAlign w:val="bottom"/>
          </w:tcPr>
          <w:p>
            <w:pPr>
              <w:ind w:left="700"/>
              <w:spacing w:after="0"/>
              <w:rPr>
                <w:sz w:val="20"/>
                <w:szCs w:val="20"/>
                <w:color w:val="auto"/>
              </w:rPr>
            </w:pPr>
            <w:r>
              <w:rPr>
                <w:rFonts w:ascii="Courier New" w:cs="Courier New" w:eastAsia="Courier New" w:hAnsi="Courier New"/>
                <w:sz w:val="15"/>
                <w:szCs w:val="15"/>
                <w:color w:val="auto"/>
              </w:rPr>
              <w:t>(a)</w:t>
            </w:r>
          </w:p>
        </w:tc>
        <w:tc>
          <w:tcPr>
            <w:tcW w:w="4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Request..............................................</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r>
      <w:tr>
        <w:trPr>
          <w:trHeight w:val="168"/>
        </w:trPr>
        <w:tc>
          <w:tcPr>
            <w:tcW w:w="180" w:type="dxa"/>
            <w:vAlign w:val="bottom"/>
          </w:tcPr>
          <w:p>
            <w:pPr>
              <w:spacing w:after="0"/>
              <w:rPr>
                <w:sz w:val="14"/>
                <w:szCs w:val="14"/>
                <w:color w:val="auto"/>
              </w:rPr>
            </w:pP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w:t>
            </w:r>
          </w:p>
        </w:tc>
        <w:tc>
          <w:tcPr>
            <w:tcW w:w="4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Registration Statement Form..........................</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180" w:type="dxa"/>
            <w:vAlign w:val="bottom"/>
          </w:tcPr>
          <w:p>
            <w:pPr>
              <w:spacing w:after="0"/>
              <w:rPr>
                <w:sz w:val="14"/>
                <w:szCs w:val="14"/>
                <w:color w:val="auto"/>
              </w:rPr>
            </w:pP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w:t>
            </w:r>
          </w:p>
        </w:tc>
        <w:tc>
          <w:tcPr>
            <w:tcW w:w="4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Expenses.............................................</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r>
      <w:tr>
        <w:trPr>
          <w:trHeight w:val="245"/>
        </w:trPr>
        <w:tc>
          <w:tcPr>
            <w:tcW w:w="180" w:type="dxa"/>
            <w:vAlign w:val="bottom"/>
          </w:tcPr>
          <w:p>
            <w:pPr>
              <w:spacing w:after="0"/>
              <w:rPr>
                <w:sz w:val="21"/>
                <w:szCs w:val="21"/>
                <w:color w:val="auto"/>
              </w:rPr>
            </w:pPr>
          </w:p>
        </w:tc>
        <w:tc>
          <w:tcPr>
            <w:tcW w:w="1320" w:type="dxa"/>
            <w:vAlign w:val="bottom"/>
          </w:tcPr>
          <w:p>
            <w:pPr>
              <w:ind w:left="700"/>
              <w:spacing w:after="0"/>
              <w:rPr>
                <w:sz w:val="20"/>
                <w:szCs w:val="20"/>
                <w:color w:val="auto"/>
              </w:rPr>
            </w:pPr>
            <w:r>
              <w:rPr>
                <w:rFonts w:ascii="Courier New" w:cs="Courier New" w:eastAsia="Courier New" w:hAnsi="Courier New"/>
                <w:sz w:val="15"/>
                <w:szCs w:val="15"/>
                <w:color w:val="auto"/>
              </w:rPr>
              <w:t>(d)</w:t>
            </w:r>
          </w:p>
        </w:tc>
        <w:tc>
          <w:tcPr>
            <w:tcW w:w="4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w:t>
            </w:r>
          </w:p>
        </w:tc>
      </w:tr>
      <w:tr>
        <w:trPr>
          <w:trHeight w:val="336"/>
        </w:trPr>
        <w:tc>
          <w:tcPr>
            <w:tcW w:w="180" w:type="dxa"/>
            <w:vAlign w:val="bottom"/>
          </w:tcPr>
          <w:p>
            <w:pPr>
              <w:spacing w:after="0"/>
              <w:rPr>
                <w:sz w:val="24"/>
                <w:szCs w:val="24"/>
                <w:color w:val="auto"/>
              </w:rPr>
            </w:pP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2.2</w:t>
            </w:r>
          </w:p>
        </w:tc>
        <w:tc>
          <w:tcPr>
            <w:tcW w:w="4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Registration Procedures..............................</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w:t>
            </w:r>
          </w:p>
        </w:tc>
      </w:tr>
      <w:tr>
        <w:trPr>
          <w:trHeight w:val="336"/>
        </w:trPr>
        <w:tc>
          <w:tcPr>
            <w:tcW w:w="180" w:type="dxa"/>
            <w:vAlign w:val="bottom"/>
          </w:tcPr>
          <w:p>
            <w:pPr>
              <w:spacing w:after="0"/>
              <w:rPr>
                <w:sz w:val="24"/>
                <w:szCs w:val="24"/>
                <w:color w:val="auto"/>
              </w:rPr>
            </w:pP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2.3</w:t>
            </w:r>
          </w:p>
        </w:tc>
        <w:tc>
          <w:tcPr>
            <w:tcW w:w="4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Preparation; Reasonable Investigation................</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w:t>
            </w:r>
          </w:p>
        </w:tc>
      </w:tr>
      <w:tr>
        <w:trPr>
          <w:trHeight w:val="336"/>
        </w:trPr>
        <w:tc>
          <w:tcPr>
            <w:tcW w:w="180" w:type="dxa"/>
            <w:vAlign w:val="bottom"/>
          </w:tcPr>
          <w:p>
            <w:pPr>
              <w:spacing w:after="0"/>
              <w:rPr>
                <w:sz w:val="24"/>
                <w:szCs w:val="24"/>
                <w:color w:val="auto"/>
              </w:rPr>
            </w:pP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2.4</w:t>
            </w:r>
          </w:p>
        </w:tc>
        <w:tc>
          <w:tcPr>
            <w:tcW w:w="4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Indemnification......................................</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w:t>
            </w:r>
          </w:p>
        </w:tc>
      </w:tr>
      <w:tr>
        <w:trPr>
          <w:trHeight w:val="259"/>
        </w:trPr>
        <w:tc>
          <w:tcPr>
            <w:tcW w:w="180" w:type="dxa"/>
            <w:vAlign w:val="bottom"/>
          </w:tcPr>
          <w:p>
            <w:pPr>
              <w:spacing w:after="0"/>
              <w:rPr>
                <w:sz w:val="22"/>
                <w:szCs w:val="22"/>
                <w:color w:val="auto"/>
              </w:rPr>
            </w:pPr>
          </w:p>
        </w:tc>
        <w:tc>
          <w:tcPr>
            <w:tcW w:w="1320" w:type="dxa"/>
            <w:vAlign w:val="bottom"/>
          </w:tcPr>
          <w:p>
            <w:pPr>
              <w:ind w:left="700"/>
              <w:spacing w:after="0"/>
              <w:rPr>
                <w:sz w:val="20"/>
                <w:szCs w:val="20"/>
                <w:color w:val="auto"/>
              </w:rPr>
            </w:pPr>
            <w:r>
              <w:rPr>
                <w:rFonts w:ascii="Courier New" w:cs="Courier New" w:eastAsia="Courier New" w:hAnsi="Courier New"/>
                <w:sz w:val="15"/>
                <w:szCs w:val="15"/>
                <w:color w:val="auto"/>
              </w:rPr>
              <w:t>(a)</w:t>
            </w:r>
          </w:p>
        </w:tc>
        <w:tc>
          <w:tcPr>
            <w:tcW w:w="4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Indemnification by the Company.......................</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w:t>
            </w:r>
          </w:p>
        </w:tc>
      </w:tr>
      <w:tr>
        <w:trPr>
          <w:trHeight w:val="168"/>
        </w:trPr>
        <w:tc>
          <w:tcPr>
            <w:tcW w:w="180" w:type="dxa"/>
            <w:vAlign w:val="bottom"/>
          </w:tcPr>
          <w:p>
            <w:pPr>
              <w:spacing w:after="0"/>
              <w:rPr>
                <w:sz w:val="14"/>
                <w:szCs w:val="14"/>
                <w:color w:val="auto"/>
              </w:rPr>
            </w:pP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w:t>
            </w:r>
          </w:p>
        </w:tc>
        <w:tc>
          <w:tcPr>
            <w:tcW w:w="4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Indemnification by CIBC..............................</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180" w:type="dxa"/>
            <w:vAlign w:val="bottom"/>
          </w:tcPr>
          <w:p>
            <w:pPr>
              <w:spacing w:after="0"/>
              <w:rPr>
                <w:sz w:val="14"/>
                <w:szCs w:val="14"/>
                <w:color w:val="auto"/>
              </w:rPr>
            </w:pP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w:t>
            </w:r>
          </w:p>
        </w:tc>
        <w:tc>
          <w:tcPr>
            <w:tcW w:w="4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Notices of Claims, etc...............................</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180" w:type="dxa"/>
            <w:vAlign w:val="bottom"/>
          </w:tcPr>
          <w:p>
            <w:pPr>
              <w:spacing w:after="0"/>
              <w:rPr>
                <w:sz w:val="14"/>
                <w:szCs w:val="14"/>
                <w:color w:val="auto"/>
              </w:rPr>
            </w:pP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w:t>
            </w:r>
          </w:p>
        </w:tc>
        <w:tc>
          <w:tcPr>
            <w:tcW w:w="4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Indemnification................................</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180" w:type="dxa"/>
            <w:vAlign w:val="bottom"/>
          </w:tcPr>
          <w:p>
            <w:pPr>
              <w:spacing w:after="0"/>
              <w:rPr>
                <w:sz w:val="14"/>
                <w:szCs w:val="14"/>
                <w:color w:val="auto"/>
              </w:rPr>
            </w:pP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w:t>
            </w:r>
          </w:p>
        </w:tc>
        <w:tc>
          <w:tcPr>
            <w:tcW w:w="4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Indemnification Payments.............................</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w:t>
            </w:r>
          </w:p>
        </w:tc>
      </w:tr>
      <w:tr>
        <w:trPr>
          <w:trHeight w:val="245"/>
        </w:trPr>
        <w:tc>
          <w:tcPr>
            <w:tcW w:w="180" w:type="dxa"/>
            <w:vAlign w:val="bottom"/>
          </w:tcPr>
          <w:p>
            <w:pPr>
              <w:spacing w:after="0"/>
              <w:rPr>
                <w:sz w:val="21"/>
                <w:szCs w:val="21"/>
                <w:color w:val="auto"/>
              </w:rPr>
            </w:pPr>
          </w:p>
        </w:tc>
        <w:tc>
          <w:tcPr>
            <w:tcW w:w="1320" w:type="dxa"/>
            <w:vAlign w:val="bottom"/>
          </w:tcPr>
          <w:p>
            <w:pPr>
              <w:ind w:left="700"/>
              <w:spacing w:after="0"/>
              <w:rPr>
                <w:sz w:val="20"/>
                <w:szCs w:val="20"/>
                <w:color w:val="auto"/>
              </w:rPr>
            </w:pPr>
            <w:r>
              <w:rPr>
                <w:rFonts w:ascii="Courier New" w:cs="Courier New" w:eastAsia="Courier New" w:hAnsi="Courier New"/>
                <w:sz w:val="15"/>
                <w:szCs w:val="15"/>
                <w:color w:val="auto"/>
              </w:rPr>
              <w:t>(f)</w:t>
            </w:r>
          </w:p>
        </w:tc>
        <w:tc>
          <w:tcPr>
            <w:tcW w:w="4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Contribution.........................................</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w:t>
            </w:r>
          </w:p>
        </w:tc>
      </w:tr>
      <w:tr>
        <w:trPr>
          <w:trHeight w:val="336"/>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3.</w:t>
            </w:r>
          </w:p>
        </w:tc>
        <w:tc>
          <w:tcPr>
            <w:tcW w:w="626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Definitions........................................................</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w:t>
            </w:r>
          </w:p>
        </w:tc>
      </w:tr>
      <w:tr>
        <w:trPr>
          <w:trHeight w:val="336"/>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4.</w:t>
            </w:r>
          </w:p>
        </w:tc>
        <w:tc>
          <w:tcPr>
            <w:tcW w:w="626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Confidential Information...........................................</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w:t>
            </w:r>
          </w:p>
        </w:tc>
      </w:tr>
      <w:tr>
        <w:trPr>
          <w:trHeight w:val="336"/>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5.</w:t>
            </w:r>
          </w:p>
        </w:tc>
        <w:tc>
          <w:tcPr>
            <w:tcW w:w="626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Restrictive Legend.................................................</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w:t>
            </w:r>
          </w:p>
        </w:tc>
      </w:tr>
      <w:tr>
        <w:trPr>
          <w:trHeight w:val="336"/>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6.</w:t>
            </w:r>
          </w:p>
        </w:tc>
        <w:tc>
          <w:tcPr>
            <w:tcW w:w="626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Notice of Proposed Transfers.......................................</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w:t>
            </w:r>
          </w:p>
        </w:tc>
      </w:tr>
      <w:tr>
        <w:trPr>
          <w:trHeight w:val="336"/>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7.</w:t>
            </w:r>
          </w:p>
        </w:tc>
        <w:tc>
          <w:tcPr>
            <w:tcW w:w="626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Rules 144 and 144A.................................................</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w:t>
            </w:r>
          </w:p>
        </w:tc>
      </w:tr>
      <w:tr>
        <w:trPr>
          <w:trHeight w:val="336"/>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8.</w:t>
            </w:r>
          </w:p>
        </w:tc>
        <w:tc>
          <w:tcPr>
            <w:tcW w:w="626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Amendments and Waivers.............................................</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w:t>
            </w:r>
          </w:p>
        </w:tc>
      </w:tr>
    </w:tbl>
    <w:p>
      <w:pPr>
        <w:spacing w:after="0" w:line="200" w:lineRule="exact"/>
        <w:rPr>
          <w:sz w:val="20"/>
          <w:szCs w:val="20"/>
          <w:color w:val="auto"/>
        </w:rPr>
      </w:pPr>
    </w:p>
    <w:p>
      <w:pPr>
        <w:spacing w:after="0" w:line="2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597" w:right="1440" w:bottom="1440" w:gutter="0" w:footer="0" w:header="0"/>
        </w:sectPr>
      </w:pPr>
    </w:p>
    <w:bookmarkStart w:id="121" w:name="page122"/>
    <w:bookmarkEnd w:id="121"/>
    <w:p>
      <w:pPr>
        <w:spacing w:after="0"/>
        <w:tabs>
          <w:tab w:leader="none" w:pos="6540" w:val="left"/>
        </w:tabs>
        <w:rPr>
          <w:sz w:val="20"/>
          <w:szCs w:val="20"/>
          <w:color w:val="auto"/>
        </w:rPr>
      </w:pPr>
      <w:r>
        <w:rPr>
          <w:rFonts w:ascii="Courier New" w:cs="Courier New" w:eastAsia="Courier New" w:hAnsi="Courier New"/>
          <w:sz w:val="15"/>
          <w:szCs w:val="15"/>
          <w:color w:val="auto"/>
        </w:rPr>
        <w:t>Section</w:t>
      </w:r>
      <w:r>
        <w:rPr>
          <w:sz w:val="20"/>
          <w:szCs w:val="20"/>
          <w:color w:val="auto"/>
        </w:rPr>
        <w:tab/>
      </w:r>
      <w:r>
        <w:rPr>
          <w:rFonts w:ascii="Courier New" w:cs="Courier New" w:eastAsia="Courier New" w:hAnsi="Courier New"/>
          <w:sz w:val="15"/>
          <w:szCs w:val="15"/>
          <w:color w:val="auto"/>
        </w:rPr>
        <w:t>Page</w:t>
      </w:r>
    </w:p>
    <w:p>
      <w:pPr>
        <w:spacing w:after="0" w:line="2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40" w:lineRule="exact"/>
        <w:rPr>
          <w:sz w:val="20"/>
          <w:szCs w:val="20"/>
          <w:color w:val="auto"/>
        </w:rPr>
      </w:pPr>
    </w:p>
    <w:p>
      <w:pPr>
        <w:spacing w:after="0"/>
        <w:tabs>
          <w:tab w:leader="none" w:pos="780" w:val="left"/>
          <w:tab w:leader="dot" w:pos="6720" w:val="left"/>
        </w:tabs>
        <w:rPr>
          <w:sz w:val="20"/>
          <w:szCs w:val="20"/>
          <w:color w:val="auto"/>
        </w:rPr>
      </w:pPr>
      <w:r>
        <w:rPr>
          <w:rFonts w:ascii="Courier New" w:cs="Courier New" w:eastAsia="Courier New" w:hAnsi="Courier New"/>
          <w:sz w:val="15"/>
          <w:szCs w:val="15"/>
          <w:color w:val="auto"/>
        </w:rPr>
        <w:t>9.</w:t>
      </w:r>
      <w:r>
        <w:rPr>
          <w:sz w:val="20"/>
          <w:szCs w:val="20"/>
          <w:color w:val="auto"/>
        </w:rPr>
        <w:tab/>
      </w:r>
      <w:r>
        <w:rPr>
          <w:rFonts w:ascii="Courier New" w:cs="Courier New" w:eastAsia="Courier New" w:hAnsi="Courier New"/>
          <w:sz w:val="15"/>
          <w:szCs w:val="15"/>
          <w:color w:val="auto"/>
        </w:rPr>
        <w:t>Notices</w:t>
      </w:r>
      <w:r>
        <w:rPr>
          <w:sz w:val="20"/>
          <w:szCs w:val="20"/>
          <w:color w:val="auto"/>
        </w:rPr>
        <w:tab/>
      </w:r>
      <w:r>
        <w:rPr>
          <w:rFonts w:ascii="Courier New" w:cs="Courier New" w:eastAsia="Courier New" w:hAnsi="Courier New"/>
          <w:sz w:val="15"/>
          <w:szCs w:val="15"/>
          <w:color w:val="auto"/>
        </w:rPr>
        <w:t>13</w:t>
      </w:r>
    </w:p>
    <w:p>
      <w:pPr>
        <w:spacing w:after="0" w:line="166" w:lineRule="exact"/>
        <w:rPr>
          <w:sz w:val="20"/>
          <w:szCs w:val="20"/>
          <w:color w:val="auto"/>
        </w:rPr>
      </w:pPr>
    </w:p>
    <w:p>
      <w:pPr>
        <w:spacing w:after="0"/>
        <w:tabs>
          <w:tab w:leader="none" w:pos="780" w:val="left"/>
          <w:tab w:leader="dot" w:pos="6720" w:val="left"/>
        </w:tabs>
        <w:rPr>
          <w:sz w:val="20"/>
          <w:szCs w:val="20"/>
          <w:color w:val="auto"/>
        </w:rPr>
      </w:pP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5"/>
          <w:szCs w:val="15"/>
          <w:color w:val="auto"/>
        </w:rPr>
        <w:t>Assignment</w:t>
      </w:r>
      <w:r>
        <w:rPr>
          <w:sz w:val="20"/>
          <w:szCs w:val="20"/>
          <w:color w:val="auto"/>
        </w:rPr>
        <w:tab/>
      </w:r>
      <w:r>
        <w:rPr>
          <w:rFonts w:ascii="Courier New" w:cs="Courier New" w:eastAsia="Courier New" w:hAnsi="Courier New"/>
          <w:sz w:val="15"/>
          <w:szCs w:val="15"/>
          <w:color w:val="auto"/>
        </w:rPr>
        <w:t>13</w:t>
      </w:r>
    </w:p>
    <w:p>
      <w:pPr>
        <w:spacing w:after="0" w:line="166" w:lineRule="exact"/>
        <w:rPr>
          <w:sz w:val="20"/>
          <w:szCs w:val="20"/>
          <w:color w:val="auto"/>
        </w:rPr>
      </w:pPr>
    </w:p>
    <w:p>
      <w:pPr>
        <w:spacing w:after="0"/>
        <w:tabs>
          <w:tab w:leader="none" w:pos="780" w:val="left"/>
          <w:tab w:leader="dot" w:pos="672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Descriptive Headings</w:t>
      </w:r>
      <w:r>
        <w:rPr>
          <w:sz w:val="20"/>
          <w:szCs w:val="20"/>
          <w:color w:val="auto"/>
        </w:rPr>
        <w:tab/>
      </w:r>
      <w:r>
        <w:rPr>
          <w:rFonts w:ascii="Courier New" w:cs="Courier New" w:eastAsia="Courier New" w:hAnsi="Courier New"/>
          <w:sz w:val="15"/>
          <w:szCs w:val="15"/>
          <w:color w:val="auto"/>
        </w:rPr>
        <w:t>13</w:t>
      </w:r>
    </w:p>
    <w:p>
      <w:pPr>
        <w:spacing w:after="0" w:line="166" w:lineRule="exact"/>
        <w:rPr>
          <w:sz w:val="20"/>
          <w:szCs w:val="20"/>
          <w:color w:val="auto"/>
        </w:rPr>
      </w:pPr>
    </w:p>
    <w:p>
      <w:pPr>
        <w:spacing w:after="0"/>
        <w:tabs>
          <w:tab w:leader="none" w:pos="780" w:val="left"/>
          <w:tab w:leader="dot" w:pos="672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GOVERNING LAW</w:t>
      </w:r>
      <w:r>
        <w:rPr>
          <w:sz w:val="20"/>
          <w:szCs w:val="20"/>
          <w:color w:val="auto"/>
        </w:rPr>
        <w:tab/>
      </w:r>
      <w:r>
        <w:rPr>
          <w:rFonts w:ascii="Courier New" w:cs="Courier New" w:eastAsia="Courier New" w:hAnsi="Courier New"/>
          <w:sz w:val="15"/>
          <w:szCs w:val="15"/>
          <w:color w:val="auto"/>
        </w:rPr>
        <w:t>13</w:t>
      </w:r>
    </w:p>
    <w:p>
      <w:pPr>
        <w:spacing w:after="0" w:line="166" w:lineRule="exact"/>
        <w:rPr>
          <w:sz w:val="20"/>
          <w:szCs w:val="20"/>
          <w:color w:val="auto"/>
        </w:rPr>
      </w:pPr>
    </w:p>
    <w:p>
      <w:pPr>
        <w:spacing w:after="0"/>
        <w:tabs>
          <w:tab w:leader="none" w:pos="780" w:val="left"/>
          <w:tab w:leader="dot" w:pos="6720"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5"/>
          <w:szCs w:val="15"/>
          <w:color w:val="auto"/>
        </w:rPr>
        <w:t>Counterparts</w:t>
      </w:r>
      <w:r>
        <w:rPr>
          <w:sz w:val="20"/>
          <w:szCs w:val="20"/>
          <w:color w:val="auto"/>
        </w:rPr>
        <w:tab/>
      </w:r>
      <w:r>
        <w:rPr>
          <w:rFonts w:ascii="Courier New" w:cs="Courier New" w:eastAsia="Courier New" w:hAnsi="Courier New"/>
          <w:sz w:val="15"/>
          <w:szCs w:val="15"/>
          <w:color w:val="auto"/>
        </w:rPr>
        <w:t>13</w:t>
      </w:r>
    </w:p>
    <w:p>
      <w:pPr>
        <w:spacing w:after="0" w:line="166" w:lineRule="exact"/>
        <w:rPr>
          <w:sz w:val="20"/>
          <w:szCs w:val="20"/>
          <w:color w:val="auto"/>
        </w:rPr>
      </w:pPr>
    </w:p>
    <w:p>
      <w:pPr>
        <w:spacing w:after="0"/>
        <w:tabs>
          <w:tab w:leader="none" w:pos="780" w:val="left"/>
          <w:tab w:leader="dot" w:pos="6720"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5"/>
          <w:szCs w:val="15"/>
          <w:color w:val="auto"/>
        </w:rPr>
        <w:t>Entire Agreement</w:t>
      </w:r>
      <w:r>
        <w:rPr>
          <w:sz w:val="20"/>
          <w:szCs w:val="20"/>
          <w:color w:val="auto"/>
        </w:rPr>
        <w:tab/>
      </w:r>
      <w:r>
        <w:rPr>
          <w:rFonts w:ascii="Courier New" w:cs="Courier New" w:eastAsia="Courier New" w:hAnsi="Courier New"/>
          <w:sz w:val="15"/>
          <w:szCs w:val="15"/>
          <w:color w:val="auto"/>
        </w:rPr>
        <w:t>13</w:t>
      </w:r>
    </w:p>
    <w:p>
      <w:pPr>
        <w:spacing w:after="0" w:line="166" w:lineRule="exact"/>
        <w:rPr>
          <w:sz w:val="20"/>
          <w:szCs w:val="20"/>
          <w:color w:val="auto"/>
        </w:rPr>
      </w:pPr>
    </w:p>
    <w:p>
      <w:pPr>
        <w:spacing w:after="0"/>
        <w:tabs>
          <w:tab w:leader="none" w:pos="780" w:val="left"/>
          <w:tab w:leader="dot" w:pos="6720" w:val="left"/>
        </w:tabs>
        <w:rPr>
          <w:sz w:val="20"/>
          <w:szCs w:val="20"/>
          <w:color w:val="auto"/>
        </w:rPr>
      </w:pPr>
      <w:r>
        <w:rPr>
          <w:rFonts w:ascii="Courier New" w:cs="Courier New" w:eastAsia="Courier New" w:hAnsi="Courier New"/>
          <w:sz w:val="15"/>
          <w:szCs w:val="15"/>
          <w:color w:val="auto"/>
        </w:rPr>
        <w:t>15.</w:t>
      </w:r>
      <w:r>
        <w:rPr>
          <w:sz w:val="20"/>
          <w:szCs w:val="20"/>
          <w:color w:val="auto"/>
        </w:rPr>
        <w:tab/>
      </w:r>
      <w:r>
        <w:rPr>
          <w:rFonts w:ascii="Courier New" w:cs="Courier New" w:eastAsia="Courier New" w:hAnsi="Courier New"/>
          <w:sz w:val="15"/>
          <w:szCs w:val="15"/>
          <w:color w:val="auto"/>
        </w:rPr>
        <w:t>SUBMISSION TO JURISDICTION</w:t>
      </w:r>
      <w:r>
        <w:rPr>
          <w:sz w:val="20"/>
          <w:szCs w:val="20"/>
          <w:color w:val="auto"/>
        </w:rPr>
        <w:tab/>
      </w:r>
      <w:r>
        <w:rPr>
          <w:rFonts w:ascii="Courier New" w:cs="Courier New" w:eastAsia="Courier New" w:hAnsi="Courier New"/>
          <w:sz w:val="15"/>
          <w:szCs w:val="15"/>
          <w:color w:val="auto"/>
        </w:rPr>
        <w:t>14</w:t>
      </w:r>
    </w:p>
    <w:p>
      <w:pPr>
        <w:spacing w:after="0" w:line="166" w:lineRule="exact"/>
        <w:rPr>
          <w:sz w:val="20"/>
          <w:szCs w:val="20"/>
          <w:color w:val="auto"/>
        </w:rPr>
      </w:pPr>
    </w:p>
    <w:p>
      <w:pPr>
        <w:spacing w:after="0"/>
        <w:tabs>
          <w:tab w:leader="none" w:pos="780" w:val="left"/>
          <w:tab w:leader="dot" w:pos="6720" w:val="left"/>
        </w:tabs>
        <w:rPr>
          <w:sz w:val="20"/>
          <w:szCs w:val="20"/>
          <w:color w:val="auto"/>
        </w:rPr>
      </w:pPr>
      <w:r>
        <w:rPr>
          <w:rFonts w:ascii="Courier New" w:cs="Courier New" w:eastAsia="Courier New" w:hAnsi="Courier New"/>
          <w:sz w:val="15"/>
          <w:szCs w:val="15"/>
          <w:color w:val="auto"/>
        </w:rPr>
        <w:t>17.</w:t>
      </w:r>
      <w:r>
        <w:rPr>
          <w:sz w:val="20"/>
          <w:szCs w:val="20"/>
          <w:color w:val="auto"/>
        </w:rPr>
        <w:tab/>
      </w:r>
      <w:r>
        <w:rPr>
          <w:rFonts w:ascii="Courier New" w:cs="Courier New" w:eastAsia="Courier New" w:hAnsi="Courier New"/>
          <w:sz w:val="15"/>
          <w:szCs w:val="15"/>
          <w:color w:val="auto"/>
        </w:rPr>
        <w:t>Severability</w:t>
      </w:r>
      <w:r>
        <w:rPr>
          <w:sz w:val="20"/>
          <w:szCs w:val="20"/>
          <w:color w:val="auto"/>
        </w:rPr>
        <w:tab/>
      </w:r>
      <w:r>
        <w:rPr>
          <w:rFonts w:ascii="Courier New" w:cs="Courier New" w:eastAsia="Courier New" w:hAnsi="Courier New"/>
          <w:sz w:val="15"/>
          <w:szCs w:val="15"/>
          <w:color w:val="auto"/>
        </w:rPr>
        <w:t>14</w:t>
      </w:r>
    </w:p>
    <w:p>
      <w:pPr>
        <w:spacing w:after="0" w:line="166" w:lineRule="exact"/>
        <w:rPr>
          <w:sz w:val="20"/>
          <w:szCs w:val="20"/>
          <w:color w:val="auto"/>
        </w:rPr>
      </w:pPr>
    </w:p>
    <w:p>
      <w:pPr>
        <w:spacing w:after="0"/>
        <w:tabs>
          <w:tab w:leader="none" w:pos="780" w:val="left"/>
          <w:tab w:leader="dot" w:pos="6720" w:val="left"/>
        </w:tabs>
        <w:rPr>
          <w:sz w:val="20"/>
          <w:szCs w:val="20"/>
          <w:color w:val="auto"/>
        </w:rPr>
      </w:pPr>
      <w:r>
        <w:rPr>
          <w:rFonts w:ascii="Courier New" w:cs="Courier New" w:eastAsia="Courier New" w:hAnsi="Courier New"/>
          <w:sz w:val="15"/>
          <w:szCs w:val="15"/>
          <w:color w:val="auto"/>
        </w:rPr>
        <w:t>19.</w:t>
      </w:r>
      <w:r>
        <w:rPr>
          <w:sz w:val="20"/>
          <w:szCs w:val="20"/>
          <w:color w:val="auto"/>
        </w:rPr>
        <w:tab/>
      </w:r>
      <w:r>
        <w:rPr>
          <w:rFonts w:ascii="Courier New" w:cs="Courier New" w:eastAsia="Courier New" w:hAnsi="Courier New"/>
          <w:sz w:val="15"/>
          <w:szCs w:val="15"/>
          <w:color w:val="auto"/>
        </w:rPr>
        <w:t>Enforceability and Validity</w:t>
      </w:r>
      <w:r>
        <w:rPr>
          <w:sz w:val="20"/>
          <w:szCs w:val="20"/>
          <w:color w:val="auto"/>
        </w:rPr>
        <w:tab/>
      </w: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934" w:right="1440" w:bottom="1440" w:gutter="0" w:footer="0" w:header="0"/>
        </w:sectPr>
      </w:pPr>
    </w:p>
    <w:bookmarkStart w:id="122" w:name="page123"/>
    <w:bookmarkEnd w:id="122"/>
    <w:p>
      <w:pPr>
        <w:ind w:left="2200"/>
        <w:spacing w:after="0"/>
        <w:rPr>
          <w:sz w:val="20"/>
          <w:szCs w:val="20"/>
          <w:color w:val="auto"/>
        </w:rPr>
      </w:pPr>
      <w:r>
        <w:rPr>
          <w:rFonts w:ascii="Courier New" w:cs="Courier New" w:eastAsia="Courier New" w:hAnsi="Courier New"/>
          <w:sz w:val="15"/>
          <w:szCs w:val="15"/>
          <w:color w:val="auto"/>
        </w:rPr>
        <w:t>REGISTRATION RIGHTS AGREEMENT</w:t>
      </w:r>
    </w:p>
    <w:p>
      <w:pPr>
        <w:spacing w:after="0" w:line="335" w:lineRule="exact"/>
        <w:rPr>
          <w:sz w:val="20"/>
          <w:szCs w:val="20"/>
          <w:color w:val="auto"/>
        </w:rPr>
      </w:pPr>
    </w:p>
    <w:p>
      <w:pPr>
        <w:jc w:val="both"/>
        <w:ind w:right="3579" w:firstLine="875"/>
        <w:spacing w:after="0" w:line="290" w:lineRule="auto"/>
        <w:rPr>
          <w:sz w:val="20"/>
          <w:szCs w:val="20"/>
          <w:color w:val="auto"/>
        </w:rPr>
      </w:pPr>
      <w:r>
        <w:rPr>
          <w:rFonts w:ascii="Courier New" w:cs="Courier New" w:eastAsia="Courier New" w:hAnsi="Courier New"/>
          <w:sz w:val="15"/>
          <w:szCs w:val="15"/>
          <w:color w:val="auto"/>
        </w:rPr>
        <w:t>REGISTRATION RIGHTS AGREEMENT, dated as of July 29, 1996, between Micron Technology, Inc., a Delaware corporation (the "Company") and Canadian Imperial Bank of Commerce ("CIBC").</w:t>
      </w:r>
    </w:p>
    <w:p>
      <w:pPr>
        <w:spacing w:after="0" w:line="225" w:lineRule="exact"/>
        <w:rPr>
          <w:sz w:val="20"/>
          <w:szCs w:val="20"/>
          <w:color w:val="auto"/>
        </w:rPr>
      </w:pPr>
    </w:p>
    <w:p>
      <w:pPr>
        <w:ind w:left="1320" w:hanging="436"/>
        <w:spacing w:after="0"/>
        <w:tabs>
          <w:tab w:leader="none" w:pos="132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  J.R. Simplot Company, a Nevada corporation</w:t>
      </w:r>
    </w:p>
    <w:p>
      <w:pPr>
        <w:spacing w:after="0" w:line="24" w:lineRule="exact"/>
        <w:rPr>
          <w:rFonts w:ascii="Courier New" w:cs="Courier New" w:eastAsia="Courier New" w:hAnsi="Courier New"/>
          <w:sz w:val="15"/>
          <w:szCs w:val="15"/>
          <w:color w:val="auto"/>
        </w:rPr>
      </w:pP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239"/>
        <w:spacing w:after="0" w:line="261" w:lineRule="auto"/>
        <w:rPr>
          <w:sz w:val="20"/>
          <w:szCs w:val="20"/>
          <w:color w:val="auto"/>
        </w:rPr>
      </w:pPr>
      <w:r>
        <w:rPr>
          <w:rFonts w:ascii="Courier New" w:cs="Courier New" w:eastAsia="Courier New" w:hAnsi="Courier New"/>
          <w:sz w:val="14"/>
          <w:szCs w:val="14"/>
          <w:color w:val="auto"/>
        </w:rPr>
        <w:t>("Simplot"), has entered into a Pledge dated July 29, 1996 between Simplot and CIBC (the "Pledge") pursuant to which Simplot has pledged to CIBC 5,000,000 shares of the Company's common stock, par value $.10 per share (as such shares may be substituted by other like shares from time to time in accordance with the terms of the Pledge, the "Common Shares"). The Pledge secures Simplot's obligations to CIBC under, among other things, a Loan Agreement dated as of July 29, 1996 (the "Loan Agreement") and a Master Agreement dated July 29, 1996 (together with the Schedule thereto and the confirmation entered into thereunder and dated as of July 29, 1996, the "Forward Agreement"), each between Simplot and CIBC. Micron is willing to provide certain registration rights to CIBC with respect to the Common Shares pledged by Simplot, and CIBC is willing to pay certain of the Company's expenses under this Agreement on the terms set forth herein. Certain capitalized terms used in this Agreement are defined in section 3 hereof; references to sections shall be to sections of this Agreement.</w:t>
      </w:r>
    </w:p>
    <w:p>
      <w:pPr>
        <w:spacing w:after="0" w:line="82" w:lineRule="exact"/>
        <w:rPr>
          <w:sz w:val="20"/>
          <w:szCs w:val="20"/>
          <w:color w:val="auto"/>
        </w:rPr>
      </w:pPr>
    </w:p>
    <w:p>
      <w:pPr>
        <w:ind w:left="1320" w:hanging="436"/>
        <w:spacing w:after="0"/>
        <w:tabs>
          <w:tab w:leader="none" w:pos="132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under Securities Act, etc.</w:t>
      </w:r>
    </w:p>
    <w:p>
      <w:pPr>
        <w:spacing w:after="0" w:line="24" w:lineRule="exact"/>
        <w:rPr>
          <w:rFonts w:ascii="Courier New" w:cs="Courier New" w:eastAsia="Courier New" w:hAnsi="Courier New"/>
          <w:sz w:val="15"/>
          <w:szCs w:val="15"/>
          <w:color w:val="auto"/>
        </w:rPr>
      </w:pP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880"/>
        <w:spacing w:after="0"/>
        <w:tabs>
          <w:tab w:leader="none" w:pos="130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4"/>
          <w:szCs w:val="14"/>
          <w:color w:val="auto"/>
        </w:rPr>
        <w:t>Registration on Request.</w:t>
      </w:r>
    </w:p>
    <w:p>
      <w:pPr>
        <w:spacing w:after="0" w:line="24"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680" w:hanging="358"/>
        <w:spacing w:after="0"/>
        <w:tabs>
          <w:tab w:leader="none" w:pos="168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 At any time during the two-year period (or such</w:t>
      </w:r>
    </w:p>
    <w:p>
      <w:pPr>
        <w:spacing w:after="0" w:line="24" w:lineRule="exact"/>
        <w:rPr>
          <w:rFonts w:ascii="Courier New" w:cs="Courier New" w:eastAsia="Courier New" w:hAnsi="Courier New"/>
          <w:sz w:val="15"/>
          <w:szCs w:val="15"/>
          <w:color w:val="auto"/>
        </w:rPr>
      </w:pPr>
    </w:p>
    <w:p>
      <w:pPr>
        <w:ind w:left="16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319"/>
        <w:spacing w:after="0" w:line="243" w:lineRule="auto"/>
        <w:rPr>
          <w:sz w:val="20"/>
          <w:szCs w:val="20"/>
          <w:color w:val="auto"/>
        </w:rPr>
      </w:pPr>
      <w:r>
        <w:rPr>
          <w:rFonts w:ascii="Courier New" w:cs="Courier New" w:eastAsia="Courier New" w:hAnsi="Courier New"/>
          <w:sz w:val="15"/>
          <w:szCs w:val="15"/>
          <w:color w:val="auto"/>
        </w:rPr>
        <w:t>shorter holding period as may in the good faith determination of CIBC be applicable to CIBC as holder of the Common Shares under Rule 144 under the Securities Act or any similar or successor rule or regulation hereafter adopted by the Commission) after the earlier of (i) July 29, 2003 and (ii) the date on which CIBC shall have foreclosed on the Common Shares under the Pledge OR otherwise received the Common Shares under the Forward Agreement, upon the written request of CIBC, requesting that the Company effect the registration under the Securities Act of all or part of the Common Shares and specifying the intended method of disposition thereof, the Company will, subject to the terms of this Agreement, use commercially reasonable efforts to effect the registration under the Securities Act of the Common Shares for disposition in accordance with the intended method of disposition stated in CIBC's request, to the extent requisite to permit</w:t>
      </w:r>
    </w:p>
    <w:p>
      <w:pPr>
        <w:sectPr>
          <w:pgSz w:w="11900" w:h="16838" w:orient="portrait"/>
          <w:cols w:equalWidth="0" w:num="1">
            <w:col w:w="10239"/>
          </w:cols>
          <w:pgMar w:left="220" w:top="598" w:right="1440" w:bottom="1440" w:gutter="0" w:footer="0" w:header="0"/>
        </w:sectPr>
      </w:pPr>
    </w:p>
    <w:bookmarkStart w:id="123" w:name="page124"/>
    <w:bookmarkEnd w:id="123"/>
    <w:p>
      <w:pPr>
        <w:spacing w:after="0"/>
        <w:rPr>
          <w:sz w:val="20"/>
          <w:szCs w:val="20"/>
          <w:color w:val="auto"/>
        </w:rPr>
      </w:pPr>
      <w:r>
        <w:rPr>
          <w:rFonts w:ascii="Courier New" w:cs="Courier New" w:eastAsia="Courier New" w:hAnsi="Courier New"/>
          <w:sz w:val="14"/>
          <w:szCs w:val="14"/>
          <w:color w:val="auto"/>
        </w:rPr>
        <w:t>the disposition (in accordance with the intended methods thereof as aforesaid)</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Common Stock so to be registered; provided, however, that the Company</w:t>
      </w:r>
    </w:p>
    <w:p>
      <w:pPr>
        <w:ind w:left="3600"/>
        <w:spacing w:after="0"/>
        <w:tabs>
          <w:tab w:leader="none" w:pos="44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ind w:right="3239"/>
        <w:spacing w:after="0" w:line="251" w:lineRule="auto"/>
        <w:rPr>
          <w:sz w:val="20"/>
          <w:szCs w:val="20"/>
          <w:color w:val="auto"/>
        </w:rPr>
      </w:pPr>
      <w:r>
        <w:rPr>
          <w:rFonts w:ascii="Courier New" w:cs="Courier New" w:eastAsia="Courier New" w:hAnsi="Courier New"/>
          <w:sz w:val="15"/>
          <w:szCs w:val="15"/>
          <w:color w:val="auto"/>
        </w:rPr>
        <w:t>shall not be obligated to register the Common Shares (i) during the period described above if the Commission shall have issued a no-action letter that would allow CIBC to sell the Common Shares publicly without a registration statement during such period or (ii) if the Company provides CIBC with an opinion of counsel satisfactory in form and substance to CIBC that CIBC may sell the shares publicly without a registration statement.</w:t>
      </w:r>
    </w:p>
    <w:p>
      <w:pPr>
        <w:spacing w:after="0" w:line="85" w:lineRule="exact"/>
        <w:rPr>
          <w:sz w:val="20"/>
          <w:szCs w:val="20"/>
          <w:color w:val="auto"/>
        </w:rPr>
      </w:pPr>
    </w:p>
    <w:p>
      <w:pPr>
        <w:ind w:left="1680" w:hanging="358"/>
        <w:spacing w:after="0"/>
        <w:tabs>
          <w:tab w:leader="none" w:pos="168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Statement Form. Registrations under this section</w:t>
      </w:r>
    </w:p>
    <w:p>
      <w:pPr>
        <w:spacing w:after="0" w:line="35" w:lineRule="exact"/>
        <w:rPr>
          <w:rFonts w:ascii="Courier New" w:cs="Courier New" w:eastAsia="Courier New" w:hAnsi="Courier New"/>
          <w:sz w:val="14"/>
          <w:szCs w:val="14"/>
          <w:color w:val="auto"/>
        </w:rPr>
      </w:pPr>
    </w:p>
    <w:p>
      <w:pPr>
        <w:ind w:left="16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2.1 shall be on such appropriate registration form of the Commission (i) as</w:t>
      </w:r>
    </w:p>
    <w:p>
      <w:pPr>
        <w:ind w:left="6040"/>
        <w:spacing w:after="0" w:line="237" w:lineRule="auto"/>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be selected by the Company and (ii) as shall permit the disposition of the</w:t>
      </w:r>
    </w:p>
    <w:p>
      <w:pPr>
        <w:spacing w:after="0" w:line="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w:t>
      </w:r>
    </w:p>
    <w:p>
      <w:pPr>
        <w:ind w:right="3399"/>
        <w:spacing w:after="0" w:line="307" w:lineRule="auto"/>
        <w:rPr>
          <w:sz w:val="20"/>
          <w:szCs w:val="20"/>
          <w:color w:val="auto"/>
        </w:rPr>
      </w:pPr>
      <w:r>
        <w:rPr>
          <w:rFonts w:ascii="Courier New" w:cs="Courier New" w:eastAsia="Courier New" w:hAnsi="Courier New"/>
          <w:sz w:val="15"/>
          <w:szCs w:val="15"/>
          <w:color w:val="auto"/>
        </w:rPr>
        <w:t>Common Shares in accordance with the intended method or methods of disposition specified in CIBC's request for such registration.</w:t>
      </w:r>
    </w:p>
    <w:p>
      <w:pPr>
        <w:spacing w:after="0" w:line="44"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 Expenses. CIBC shall pay all Registration Expenses in</w:t>
      </w:r>
    </w:p>
    <w:p>
      <w:pPr>
        <w:spacing w:after="0" w:line="2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connection with any registration requested pursuant to this section 2.1.</w:t>
      </w:r>
    </w:p>
    <w:p>
      <w:pPr>
        <w:spacing w:after="0" w:line="140" w:lineRule="exact"/>
        <w:rPr>
          <w:sz w:val="20"/>
          <w:szCs w:val="20"/>
          <w:color w:val="auto"/>
        </w:rPr>
      </w:pPr>
    </w:p>
    <w:p>
      <w:pPr>
        <w:ind w:right="3319" w:firstLine="1322"/>
        <w:spacing w:after="0" w:line="248" w:lineRule="auto"/>
        <w:tabs>
          <w:tab w:leader="none" w:pos="1662"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(i) the Company shall not be obligated to take any action pursuant to this section 2.1 if the Company shall furnish to CIBC a certificate signed by the Chief Executive Officer of the Company stating that in the good faith judgment of its Board of Directors it would be seriously detrimental to the Company or its shareholders for registration statements to be filed in the near future, then the Company's obligation to use commercially reasonable efforts to file a registration statement shall be deferred for a period not to exceed one hundred twenty (120) days from the receipt of the request to file such registration by CIBC and (ii) the Company may register other securities in a registration statement filed pursuant to this section 2.1.</w:t>
      </w:r>
    </w:p>
    <w:p>
      <w:pPr>
        <w:spacing w:after="0" w:line="87" w:lineRule="exact"/>
        <w:rPr>
          <w:sz w:val="20"/>
          <w:szCs w:val="20"/>
          <w:color w:val="auto"/>
        </w:rPr>
      </w:pPr>
    </w:p>
    <w:p>
      <w:pPr>
        <w:jc w:val="right"/>
        <w:ind w:right="3239"/>
        <w:spacing w:after="0"/>
        <w:tabs>
          <w:tab w:leader="none" w:pos="5660" w:val="left"/>
          <w:tab w:leader="none" w:pos="3380" w:val="left"/>
        </w:tabs>
        <w:rPr>
          <w:sz w:val="20"/>
          <w:szCs w:val="20"/>
          <w:color w:val="auto"/>
        </w:rPr>
      </w:pPr>
      <w:r>
        <w:rPr>
          <w:rFonts w:ascii="Courier New" w:cs="Courier New" w:eastAsia="Courier New" w:hAnsi="Courier New"/>
          <w:sz w:val="15"/>
          <w:szCs w:val="15"/>
          <w:color w:val="auto"/>
        </w:rPr>
        <w:t>2.2</w:t>
        <w:tab/>
        <w:t>Registration Procedures.</w:t>
      </w:r>
      <w:r>
        <w:rPr>
          <w:sz w:val="20"/>
          <w:szCs w:val="20"/>
          <w:color w:val="auto"/>
        </w:rPr>
        <w:tab/>
      </w:r>
      <w:r>
        <w:rPr>
          <w:rFonts w:ascii="Courier New" w:cs="Courier New" w:eastAsia="Courier New" w:hAnsi="Courier New"/>
          <w:sz w:val="14"/>
          <w:szCs w:val="14"/>
          <w:color w:val="auto"/>
        </w:rPr>
        <w:t>If and whenever the Company is required</w:t>
      </w:r>
    </w:p>
    <w:p>
      <w:pPr>
        <w:spacing w:after="0" w:line="2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jc w:val="both"/>
        <w:ind w:right="3319"/>
        <w:spacing w:after="0" w:line="272" w:lineRule="auto"/>
        <w:rPr>
          <w:sz w:val="20"/>
          <w:szCs w:val="20"/>
          <w:color w:val="auto"/>
        </w:rPr>
      </w:pPr>
      <w:r>
        <w:rPr>
          <w:rFonts w:ascii="Courier New" w:cs="Courier New" w:eastAsia="Courier New" w:hAnsi="Courier New"/>
          <w:sz w:val="15"/>
          <w:szCs w:val="15"/>
          <w:color w:val="auto"/>
        </w:rPr>
        <w:t>to use commercially reasonable efforts to effect the registration of the Common Shares under the Securities Act as provided in section 2.1, the Company shall, as expeditiously as possible:</w:t>
      </w:r>
    </w:p>
    <w:p>
      <w:pPr>
        <w:spacing w:after="0" w:line="69" w:lineRule="exact"/>
        <w:rPr>
          <w:sz w:val="20"/>
          <w:szCs w:val="20"/>
          <w:color w:val="auto"/>
        </w:rPr>
      </w:pPr>
    </w:p>
    <w:p>
      <w:pPr>
        <w:ind w:left="440" w:right="3239" w:firstLine="882"/>
        <w:spacing w:after="0" w:line="260" w:lineRule="auto"/>
        <w:tabs>
          <w:tab w:leader="none" w:pos="1664"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prepare and within 60 days after CIBC's request file with the Commission the requisite registration statement to effect such registration (including such audited financial statements as may be required by the Securities Act or the rules and regulations promulgated thereunder) and thereafter use commercially reasonable efforts to cause such registration statement to become and remain effective for a period of not more than 180 days, provided however that before filing such registration statement or</w:t>
      </w:r>
    </w:p>
    <w:p>
      <w:pPr>
        <w:ind w:left="9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any amendments thereto, the</w:t>
      </w:r>
    </w:p>
    <w:p>
      <w:pPr>
        <w:spacing w:after="0" w:line="1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598" w:right="1440" w:bottom="1440" w:gutter="0" w:footer="0" w:header="0"/>
        </w:sectPr>
      </w:pPr>
    </w:p>
    <w:bookmarkStart w:id="124" w:name="page125"/>
    <w:bookmarkEnd w:id="124"/>
    <w:p>
      <w:pPr>
        <w:jc w:val="both"/>
        <w:ind w:right="3579"/>
        <w:spacing w:after="0" w:line="290" w:lineRule="auto"/>
        <w:rPr>
          <w:sz w:val="20"/>
          <w:szCs w:val="20"/>
          <w:color w:val="auto"/>
        </w:rPr>
      </w:pPr>
      <w:r>
        <w:rPr>
          <w:rFonts w:ascii="Courier New" w:cs="Courier New" w:eastAsia="Courier New" w:hAnsi="Courier New"/>
          <w:sz w:val="15"/>
          <w:szCs w:val="15"/>
          <w:color w:val="auto"/>
        </w:rPr>
        <w:t>Company will furnish to the counsel selected by CIBC copies of all such documents proposed to be filed, which documents will be subject to the review of such counsel;</w:t>
      </w:r>
    </w:p>
    <w:p>
      <w:pPr>
        <w:spacing w:after="0" w:line="57" w:lineRule="exact"/>
        <w:rPr>
          <w:sz w:val="20"/>
          <w:szCs w:val="20"/>
          <w:color w:val="auto"/>
        </w:rPr>
      </w:pPr>
    </w:p>
    <w:p>
      <w:pPr>
        <w:ind w:right="3399" w:firstLine="882"/>
        <w:spacing w:after="0" w:line="258" w:lineRule="auto"/>
        <w:tabs>
          <w:tab w:leader="none" w:pos="1487"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and file with the Commission such amendments and supplements to such registration statement and the prospectus used in connection therewith as may be necessary to keep such registration statement effective for a period of not more than 180 days and to comply with the provisions of the Securities Act with respect to the disposition of all securities covered by such registration statement;</w:t>
      </w:r>
    </w:p>
    <w:p>
      <w:pPr>
        <w:spacing w:after="0" w:line="81" w:lineRule="exact"/>
        <w:rPr>
          <w:rFonts w:ascii="Courier New" w:cs="Courier New" w:eastAsia="Courier New" w:hAnsi="Courier New"/>
          <w:sz w:val="15"/>
          <w:szCs w:val="15"/>
          <w:color w:val="auto"/>
        </w:rPr>
      </w:pPr>
    </w:p>
    <w:p>
      <w:pPr>
        <w:ind w:right="3239" w:firstLine="882"/>
        <w:spacing w:after="0" w:line="250" w:lineRule="auto"/>
        <w:tabs>
          <w:tab w:leader="none" w:pos="1487"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to CIBC such number of conformed copies of such registration statement and of each such amendment and supplement thereto (in each case including all exhibits), such number of copies of the prospectus contained in such registration statement (including each prelimi nary prospectus and any summary prospectus) and any other prospectus filed under Rule 424 under the Securities Act, in conformity with the requirements of the Securities Act, and such other documents, as CIBC may reasonably request in order to facilitate the disposition of the Common Shares in accordance with the intended method of disposition;</w:t>
      </w:r>
    </w:p>
    <w:p>
      <w:pPr>
        <w:spacing w:after="0" w:line="88" w:lineRule="exact"/>
        <w:rPr>
          <w:rFonts w:ascii="Courier New" w:cs="Courier New" w:eastAsia="Courier New" w:hAnsi="Courier New"/>
          <w:sz w:val="15"/>
          <w:szCs w:val="15"/>
          <w:color w:val="auto"/>
        </w:rPr>
      </w:pPr>
    </w:p>
    <w:p>
      <w:pPr>
        <w:ind w:right="3239" w:firstLine="882"/>
        <w:spacing w:after="0" w:line="267" w:lineRule="auto"/>
        <w:tabs>
          <w:tab w:leader="none" w:pos="1487"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commercially reasonable efforts to register or qualify the Common Shares under such other securities laws or blue sky laws of such jurisdictions as CIBC shall reasonably request, to keep such registra tions or qualifications in effect for so long as such registration statement remains in effect, and take any other action which may be reasonably necessary or advisable to enable CIBC to consummate the disposition in such jurisdictions of the Common Shares, except that the Company shall not for any such purpose be required to qualify generally to do business as a foreign corporation in any jurisdiction wherein it would not but for the requirements of this subdivision (iv) be obligated to be so qualified or to consent to general service of process in any such jurisdiction;</w:t>
      </w:r>
    </w:p>
    <w:p>
      <w:pPr>
        <w:spacing w:after="0" w:line="77" w:lineRule="exact"/>
        <w:rPr>
          <w:rFonts w:ascii="Courier New" w:cs="Courier New" w:eastAsia="Courier New" w:hAnsi="Courier New"/>
          <w:sz w:val="14"/>
          <w:szCs w:val="14"/>
          <w:color w:val="auto"/>
        </w:rPr>
      </w:pPr>
    </w:p>
    <w:p>
      <w:pPr>
        <w:ind w:right="3239" w:firstLine="882"/>
        <w:spacing w:after="0" w:line="264" w:lineRule="auto"/>
        <w:tabs>
          <w:tab w:leader="none" w:pos="1487"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commercially reasonable efforts for so long as such registration statement remains in effect to cause all the Common Shares to be registered with or approved by such governmental agencies or authorities as CIBC shall reasonably request to enable CIBC to consummate the disposi tion of the Common Shares;</w:t>
      </w:r>
    </w:p>
    <w:p>
      <w:pPr>
        <w:spacing w:after="0" w:line="7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99"/>
          </w:cols>
          <w:pgMar w:left="660" w:top="597" w:right="1440" w:bottom="1440" w:gutter="0" w:footer="0" w:header="0"/>
        </w:sectPr>
      </w:pPr>
    </w:p>
    <w:bookmarkStart w:id="125" w:name="page126"/>
    <w:bookmarkEnd w:id="125"/>
    <w:p>
      <w:pPr>
        <w:ind w:left="-780" w:right="3499" w:firstLine="882"/>
        <w:spacing w:after="0" w:line="344" w:lineRule="auto"/>
        <w:tabs>
          <w:tab w:leader="none" w:pos="707"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CIBC promptly and confirm such advice in writing promptly thereafter:</w:t>
      </w:r>
    </w:p>
    <w:p>
      <w:pPr>
        <w:spacing w:after="0" w:line="17" w:lineRule="exact"/>
        <w:rPr>
          <w:sz w:val="20"/>
          <w:szCs w:val="20"/>
          <w:color w:val="auto"/>
        </w:rPr>
      </w:pPr>
    </w:p>
    <w:p>
      <w:pPr>
        <w:ind w:left="-340" w:right="3399" w:firstLine="442"/>
        <w:spacing w:after="0" w:line="264" w:lineRule="auto"/>
        <w:tabs>
          <w:tab w:leader="none" w:pos="709"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the registration statement, the prospectus or any prospectus supplement related thereto or post-effective amendment to the registration statement has been filed, and, with respect to the registration statement or any post-effective amendment thereto, when the same has become effective;</w:t>
      </w:r>
    </w:p>
    <w:p>
      <w:pPr>
        <w:spacing w:after="0" w:line="74" w:lineRule="exact"/>
        <w:rPr>
          <w:rFonts w:ascii="Courier New" w:cs="Courier New" w:eastAsia="Courier New" w:hAnsi="Courier New"/>
          <w:sz w:val="15"/>
          <w:szCs w:val="15"/>
          <w:color w:val="auto"/>
        </w:rPr>
      </w:pPr>
    </w:p>
    <w:p>
      <w:pPr>
        <w:ind w:left="-340" w:right="3579" w:firstLine="442"/>
        <w:spacing w:after="0" w:line="290" w:lineRule="auto"/>
        <w:tabs>
          <w:tab w:leader="none" w:pos="709"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any request by the Commission for amendments or supplements to the registration statement or the prospectus or for additional information;</w:t>
      </w:r>
    </w:p>
    <w:p>
      <w:pPr>
        <w:spacing w:after="0" w:line="56" w:lineRule="exact"/>
        <w:rPr>
          <w:rFonts w:ascii="Courier New" w:cs="Courier New" w:eastAsia="Courier New" w:hAnsi="Courier New"/>
          <w:sz w:val="15"/>
          <w:szCs w:val="15"/>
          <w:color w:val="auto"/>
        </w:rPr>
      </w:pPr>
    </w:p>
    <w:p>
      <w:pPr>
        <w:ind w:left="-340" w:right="3679" w:firstLine="442"/>
        <w:spacing w:after="0" w:line="320" w:lineRule="auto"/>
        <w:tabs>
          <w:tab w:leader="none" w:pos="709"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issuance by the Commission of any stop order suspending the effectiveness of the registration statement or the initiation of any proceedings by any Person for that purpose;</w:t>
      </w:r>
    </w:p>
    <w:p>
      <w:pPr>
        <w:spacing w:after="0" w:line="38" w:lineRule="exact"/>
        <w:rPr>
          <w:rFonts w:ascii="Courier New" w:cs="Courier New" w:eastAsia="Courier New" w:hAnsi="Courier New"/>
          <w:sz w:val="14"/>
          <w:szCs w:val="14"/>
          <w:color w:val="auto"/>
        </w:rPr>
      </w:pPr>
    </w:p>
    <w:p>
      <w:pPr>
        <w:ind w:left="-340" w:right="3319" w:firstLine="442"/>
        <w:spacing w:after="0" w:line="273" w:lineRule="auto"/>
        <w:tabs>
          <w:tab w:leader="none" w:pos="709"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receipt by the Company of any notification with respect to the suspension of the qualification of any Common Shares for sale under the securities or blue sky laws of any jurisdiction or the initiation or threat of any proceeding for such purpose; and</w:t>
      </w:r>
    </w:p>
    <w:p>
      <w:pPr>
        <w:spacing w:after="0" w:line="68" w:lineRule="exact"/>
        <w:rPr>
          <w:sz w:val="20"/>
          <w:szCs w:val="20"/>
          <w:color w:val="auto"/>
        </w:rPr>
      </w:pPr>
    </w:p>
    <w:p>
      <w:pPr>
        <w:ind w:left="-780" w:right="3239" w:firstLine="882"/>
        <w:spacing w:after="0" w:line="245" w:lineRule="auto"/>
        <w:tabs>
          <w:tab w:leader="none" w:pos="707"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CIBC, at any time when with respect to the Common Shares a prospectus relating thereto is required to be delivered under the Securities Act, upon the Company's discovery that, or upon the happening of any event as a result of which, the prospectus included in such registration statement, as then in effect, includes an untrue statement of a material fact or omits to state any material fact required to be stated therein or necessary to make the statements therein not misleading in the light of the circumstances then existing, and at the request of CIBC promptly prepare and furnish to CIBC a reasonable number of copies of a supplement to or an amendment of such prospectus as may be necessary so that, as thereafter delivered to the purchasers of such securities, such prospectus shall not include an untrue statement of a material fact or omit to state a material fact required to be stated therein or necessary to make the statements therein not misleading in the light of the circumstances then existing;</w:t>
      </w:r>
    </w:p>
    <w:p>
      <w:pPr>
        <w:spacing w:after="0" w:line="89" w:lineRule="exact"/>
        <w:rPr>
          <w:rFonts w:ascii="Courier New" w:cs="Courier New" w:eastAsia="Courier New" w:hAnsi="Courier New"/>
          <w:sz w:val="15"/>
          <w:szCs w:val="15"/>
          <w:color w:val="auto"/>
        </w:rPr>
      </w:pPr>
    </w:p>
    <w:p>
      <w:pPr>
        <w:ind w:left="-780" w:right="3579" w:firstLine="882"/>
        <w:spacing w:after="0" w:line="290" w:lineRule="auto"/>
        <w:tabs>
          <w:tab w:leader="none" w:pos="707"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commercially reasonable efforts to obtain the with drawal of any order suspending the effectiveness of the registration statement at the earliest possible moment; and</w:t>
      </w:r>
    </w:p>
    <w:p>
      <w:pPr>
        <w:spacing w:after="0" w:line="5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019"/>
          </w:cols>
          <w:pgMar w:left="1440" w:top="598" w:right="1440" w:bottom="1440" w:gutter="0" w:footer="0" w:header="0"/>
        </w:sectPr>
      </w:pPr>
    </w:p>
    <w:bookmarkStart w:id="126" w:name="page127"/>
    <w:bookmarkEnd w:id="126"/>
    <w:p>
      <w:pPr>
        <w:ind w:left="440" w:right="3239" w:firstLine="882"/>
        <w:spacing w:after="0" w:line="245" w:lineRule="auto"/>
        <w:tabs>
          <w:tab w:leader="none" w:pos="1927"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 use commercially reasonable efforts to comply with all applicable rules and regulations of the Commission, and make available to its security holders, as soon as reasonably practicable, an earnings statement covering the period of at least twelve months, but not more than eighteen months, beginning with the first full calendar month after the effective date of such registration statement, which earnings statement shall satisfy the provisions of Section 11(a) of the Securities Act and Rule 158 thereunder, and furnish to CIBC at least five business days prior to the filing thereof a copy of any amendment or supplement to such registration statement or prospectus and shall not file any thereof to which CIBC shall have reasonably objected on the grounds that such amendment or supplement does not comply in all material respects with the requirements of the Securities Act or of the rules or regulations thereunder.</w:t>
      </w:r>
    </w:p>
    <w:p>
      <w:pPr>
        <w:spacing w:after="0" w:line="95" w:lineRule="exact"/>
        <w:rPr>
          <w:sz w:val="20"/>
          <w:szCs w:val="20"/>
          <w:color w:val="auto"/>
        </w:rPr>
      </w:pPr>
    </w:p>
    <w:p>
      <w:pPr>
        <w:ind w:right="3319"/>
        <w:spacing w:after="0" w:line="290" w:lineRule="auto"/>
        <w:rPr>
          <w:sz w:val="20"/>
          <w:szCs w:val="20"/>
          <w:color w:val="auto"/>
        </w:rPr>
      </w:pPr>
      <w:r>
        <w:rPr>
          <w:rFonts w:ascii="Courier New" w:cs="Courier New" w:eastAsia="Courier New" w:hAnsi="Courier New"/>
          <w:sz w:val="15"/>
          <w:szCs w:val="15"/>
          <w:color w:val="auto"/>
        </w:rPr>
        <w:t>CIBC shall furnish the Company such information regarding CIBC and the distribution of such securities as the Company may from time to time reasonably request in writing.</w:t>
      </w:r>
    </w:p>
    <w:p>
      <w:pPr>
        <w:spacing w:after="0" w:line="57" w:lineRule="exact"/>
        <w:rPr>
          <w:sz w:val="20"/>
          <w:szCs w:val="20"/>
          <w:color w:val="auto"/>
        </w:rPr>
      </w:pPr>
    </w:p>
    <w:p>
      <w:pPr>
        <w:ind w:right="3319" w:firstLine="875"/>
        <w:spacing w:after="0" w:line="262" w:lineRule="auto"/>
        <w:rPr>
          <w:sz w:val="20"/>
          <w:szCs w:val="20"/>
          <w:color w:val="auto"/>
        </w:rPr>
      </w:pPr>
      <w:r>
        <w:rPr>
          <w:rFonts w:ascii="Courier New" w:cs="Courier New" w:eastAsia="Courier New" w:hAnsi="Courier New"/>
          <w:sz w:val="14"/>
          <w:szCs w:val="14"/>
          <w:color w:val="auto"/>
        </w:rPr>
        <w:t>The Company will not file any registration statement or amendment thereto or any prospectus or any supplement thereto (including such documents incorporated by reference and proposed to be filed after the initial filing of the registration statement) in satisfaction of its obligations pursuant to this section 2 to which CIBC shall reasonably object, provided that the Company may</w:t>
      </w:r>
    </w:p>
    <w:p>
      <w:pPr>
        <w:ind w:left="430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4"/>
          <w:szCs w:val="14"/>
          <w:color w:val="auto"/>
        </w:rPr>
        <w:t>file such document in a form required by law or upon the advice of its counsel.</w:t>
      </w:r>
    </w:p>
    <w:p>
      <w:pPr>
        <w:spacing w:after="0" w:line="152" w:lineRule="exact"/>
        <w:rPr>
          <w:sz w:val="20"/>
          <w:szCs w:val="20"/>
          <w:color w:val="auto"/>
        </w:rPr>
      </w:pPr>
    </w:p>
    <w:p>
      <w:pPr>
        <w:ind w:right="3239" w:firstLine="875"/>
        <w:spacing w:after="0" w:line="245" w:lineRule="auto"/>
        <w:rPr>
          <w:sz w:val="20"/>
          <w:szCs w:val="20"/>
          <w:color w:val="auto"/>
        </w:rPr>
      </w:pPr>
      <w:r>
        <w:rPr>
          <w:rFonts w:ascii="Courier New" w:cs="Courier New" w:eastAsia="Courier New" w:hAnsi="Courier New"/>
          <w:sz w:val="15"/>
          <w:szCs w:val="15"/>
          <w:color w:val="auto"/>
        </w:rPr>
        <w:t>CIBC shall be deemed to have agreed by acquisition of the Common Shares that, upon receipt of any notice from the Company of the occurrence of any event of the kind described in subdivision (vii) of this section 2.2, CIBC will forthwith discontinue its disposition of the Common Shares pursuant to the registra tion statement relating thereto until CIBC's receipt of the copies of the supplemented or amended prospectus contemplated by subdivision (vii) of this section 2.2 and, if so directed by the Company, will deliver to the Company (at CIBC's expense) all copies, other than permanent file copies, then in CIBC's possession of the prospectus relating to the Common Shares current at the time of receipt of such notice. In the event the Company shall give any such notice, the period mentioned in paragraph (ii) of this section 2.2 shall be extended by the length of the period from and including the date CIBC shall have received such notice to the date on which CIBC has received the copies of the supplemented or amended prospectus contemplated by paragraph (vii) of this section 2.2.</w:t>
      </w:r>
    </w:p>
    <w:p>
      <w:pPr>
        <w:spacing w:after="0" w:line="89" w:lineRule="exact"/>
        <w:rPr>
          <w:sz w:val="20"/>
          <w:szCs w:val="20"/>
          <w:color w:val="auto"/>
        </w:rPr>
      </w:pPr>
    </w:p>
    <w:p>
      <w:pPr>
        <w:ind w:left="880"/>
        <w:spacing w:after="0"/>
        <w:tabs>
          <w:tab w:leader="none" w:pos="1300" w:val="left"/>
          <w:tab w:leader="none" w:pos="4800" w:val="left"/>
        </w:tabs>
        <w:rPr>
          <w:sz w:val="20"/>
          <w:szCs w:val="20"/>
          <w:color w:val="auto"/>
        </w:rPr>
      </w:pPr>
      <w:r>
        <w:rPr>
          <w:rFonts w:ascii="Courier New" w:cs="Courier New" w:eastAsia="Courier New" w:hAnsi="Courier New"/>
          <w:sz w:val="15"/>
          <w:szCs w:val="15"/>
          <w:color w:val="auto"/>
        </w:rPr>
        <w:t>2.3</w:t>
        <w:tab/>
        <w:t>Preparation; Reasonable Investigation.</w:t>
      </w:r>
      <w:r>
        <w:rPr>
          <w:sz w:val="20"/>
          <w:szCs w:val="20"/>
          <w:color w:val="auto"/>
        </w:rPr>
        <w:tab/>
      </w:r>
      <w:r>
        <w:rPr>
          <w:rFonts w:ascii="Courier New" w:cs="Courier New" w:eastAsia="Courier New" w:hAnsi="Courier New"/>
          <w:sz w:val="14"/>
          <w:szCs w:val="14"/>
          <w:color w:val="auto"/>
        </w:rPr>
        <w:t>In connection with the</w:t>
      </w:r>
    </w:p>
    <w:p>
      <w:pPr>
        <w:spacing w:after="0" w:line="2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ind w:right="3399"/>
        <w:spacing w:after="0" w:line="272" w:lineRule="auto"/>
        <w:rPr>
          <w:sz w:val="20"/>
          <w:szCs w:val="20"/>
          <w:color w:val="auto"/>
        </w:rPr>
      </w:pPr>
      <w:r>
        <w:rPr>
          <w:rFonts w:ascii="Courier New" w:cs="Courier New" w:eastAsia="Courier New" w:hAnsi="Courier New"/>
          <w:sz w:val="15"/>
          <w:szCs w:val="15"/>
          <w:color w:val="auto"/>
        </w:rPr>
        <w:t>preparation and filing of each registration statement under the Securities Act pursuant to this Agreement, the Company will give CIBC and its counsel and accountants the</w:t>
      </w:r>
    </w:p>
    <w:p>
      <w:pPr>
        <w:spacing w:after="0" w:line="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597" w:right="1440" w:bottom="1440" w:gutter="0" w:footer="0" w:header="0"/>
        </w:sectPr>
      </w:pPr>
    </w:p>
    <w:bookmarkStart w:id="127" w:name="page128"/>
    <w:bookmarkEnd w:id="127"/>
    <w:p>
      <w:pPr>
        <w:ind w:right="3239"/>
        <w:spacing w:after="0" w:line="247" w:lineRule="auto"/>
        <w:rPr>
          <w:sz w:val="20"/>
          <w:szCs w:val="20"/>
          <w:color w:val="auto"/>
        </w:rPr>
      </w:pPr>
      <w:r>
        <w:rPr>
          <w:rFonts w:ascii="Courier New" w:cs="Courier New" w:eastAsia="Courier New" w:hAnsi="Courier New"/>
          <w:sz w:val="15"/>
          <w:szCs w:val="15"/>
          <w:color w:val="auto"/>
        </w:rPr>
        <w:t>opportunity to participate in the preparation of such registration statement, each prospectus included therein or filed with the Commission, and each amendment thereof or supplement thereto, and will give each of them such access to its financial books and records and such opportunities to discuss the business of the Company with its officers and the independent public accountants who have certified its financial statements as shall be necessary, in the opinion of CIBC's counsel, to conduct a reasonable investigation within the meaning of the Securities Act. The Company shall not be responsible for any cost or expense incurred by CIBC, its counsel or accountants pursuant to this section 2.3. All information obtained by CIBC, its counsel or accountants pursuant to this section 2.3 shall be subject to the confidentiality provisions of section 4 herein.</w:t>
      </w:r>
    </w:p>
    <w:p>
      <w:pPr>
        <w:spacing w:after="0" w:line="88" w:lineRule="exact"/>
        <w:rPr>
          <w:sz w:val="20"/>
          <w:szCs w:val="20"/>
          <w:color w:val="auto"/>
        </w:rPr>
      </w:pPr>
    </w:p>
    <w:p>
      <w:pPr>
        <w:ind w:left="880"/>
        <w:spacing w:after="0"/>
        <w:tabs>
          <w:tab w:leader="none" w:pos="130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4"/>
          <w:szCs w:val="14"/>
          <w:color w:val="auto"/>
        </w:rPr>
        <w:t>Indemnification.</w:t>
      </w:r>
    </w:p>
    <w:p>
      <w:pPr>
        <w:spacing w:after="0" w:line="24"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680" w:hanging="358"/>
        <w:spacing w:after="0"/>
        <w:tabs>
          <w:tab w:leader="none" w:pos="168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by the Company. In the event of any</w:t>
      </w:r>
    </w:p>
    <w:p>
      <w:pPr>
        <w:spacing w:after="0" w:line="24" w:lineRule="exact"/>
        <w:rPr>
          <w:rFonts w:ascii="Courier New" w:cs="Courier New" w:eastAsia="Courier New" w:hAnsi="Courier New"/>
          <w:sz w:val="15"/>
          <w:szCs w:val="15"/>
          <w:color w:val="auto"/>
        </w:rPr>
      </w:pPr>
    </w:p>
    <w:p>
      <w:pPr>
        <w:ind w:left="16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239"/>
        <w:spacing w:after="0" w:line="255" w:lineRule="auto"/>
        <w:rPr>
          <w:sz w:val="20"/>
          <w:szCs w:val="20"/>
          <w:color w:val="auto"/>
        </w:rPr>
      </w:pPr>
      <w:r>
        <w:rPr>
          <w:rFonts w:ascii="Courier New" w:cs="Courier New" w:eastAsia="Courier New" w:hAnsi="Courier New"/>
          <w:sz w:val="14"/>
          <w:szCs w:val="14"/>
          <w:color w:val="auto"/>
        </w:rPr>
        <w:t>registration of the Common Shares under the Securities Act pursuant to the terms of this Agreement, the Company will, and hereby does agree to, indemnify and hold harmless CIBC, its directors and officers and each other Person, if any, who controls CIBC within the meaning of the Securities Act, against any losses, claims, damages or liabilities, joint or several, to which CIBC or any such director or officer or controlling person may become subject under the Securities Act or otherwise, insofar as such losses, claims, damages or liabilities (or actions or proceedings, whether commenced or threatened, in respect thereof) arise out of or are based upon any untrue statement or alleged untrue statement of any material fact contained in any registration statement under which such securities were registered under the Securities Act, any preliminary prospectus, final prospectus or summary prospectus contained therein, or any amendment or supplement thereto, or any omission or alleged omission to state therein a material fact required to be stated therein or necessary to make the statements therein not misleading, and the Company will reimburse CIBC and each such director, officer and controlling person for any legal or any other expenses reasonably incurred by them in connection with investi gating or defending any such loss, claim, liability, action or proceeding, provided that the Company shall not be liable in any such case to</w:t>
      </w:r>
    </w:p>
    <w:p>
      <w:pPr>
        <w:spacing w:after="0" w:line="16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ind w:right="3239"/>
        <w:spacing w:after="0" w:line="245" w:lineRule="auto"/>
        <w:rPr>
          <w:sz w:val="20"/>
          <w:szCs w:val="20"/>
          <w:color w:val="auto"/>
        </w:rPr>
      </w:pPr>
      <w:r>
        <w:rPr>
          <w:rFonts w:ascii="Courier New" w:cs="Courier New" w:eastAsia="Courier New" w:hAnsi="Courier New"/>
          <w:sz w:val="15"/>
          <w:szCs w:val="15"/>
          <w:color w:val="auto"/>
        </w:rPr>
        <w:t>the extent that any such loss, claim, damage, liability (or action or proceeding in respect thereof) or expense arises out of or is based upon an untrue statement or alleged untrue statement or omission or alleged omission made in such registration statement, any such preliminary prospectus, final prospectus, summary prospectus, amendment or sup plement in reliance upon and in conformity with written information furnished to the Company through an instrument duly executed by CIBC. Such indemnity shall remain in full force and effect regardless of any investigation made by or on behalf of CIBC or any such director, officer, or controlling person and shall survive the transfer of such securities by CIBC.</w:t>
      </w:r>
    </w:p>
    <w:p>
      <w:pPr>
        <w:spacing w:after="0" w:line="9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598" w:right="1440" w:bottom="1440" w:gutter="0" w:footer="0" w:header="0"/>
        </w:sectPr>
      </w:pPr>
    </w:p>
    <w:bookmarkStart w:id="128" w:name="page129"/>
    <w:bookmarkEnd w:id="128"/>
    <w:p>
      <w:pPr>
        <w:ind w:left="1680" w:hanging="358"/>
        <w:spacing w:after="0"/>
        <w:tabs>
          <w:tab w:leader="none" w:pos="168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by CIBC. CIBC shall indemnify and hold</w:t>
      </w:r>
    </w:p>
    <w:p>
      <w:pPr>
        <w:spacing w:after="0" w:line="24" w:lineRule="exact"/>
        <w:rPr>
          <w:rFonts w:ascii="Courier New" w:cs="Courier New" w:eastAsia="Courier New" w:hAnsi="Courier New"/>
          <w:sz w:val="15"/>
          <w:szCs w:val="15"/>
          <w:color w:val="auto"/>
        </w:rPr>
      </w:pPr>
    </w:p>
    <w:p>
      <w:pPr>
        <w:ind w:left="16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4"/>
          <w:szCs w:val="14"/>
          <w:color w:val="auto"/>
        </w:rPr>
        <w:t>harmless (in the same manner and to the same extent as set forth in subdivision</w:t>
      </w:r>
    </w:p>
    <w:p>
      <w:pPr>
        <w:spacing w:after="0" w:line="10" w:lineRule="exact"/>
        <w:rPr>
          <w:sz w:val="20"/>
          <w:szCs w:val="20"/>
          <w:color w:val="auto"/>
        </w:rPr>
      </w:pPr>
    </w:p>
    <w:p>
      <w:pPr>
        <w:ind w:right="3239" w:firstLine="10"/>
        <w:spacing w:after="0" w:line="261" w:lineRule="auto"/>
        <w:tabs>
          <w:tab w:leader="none" w:pos="35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section 2.4) the Company, each director of the Company, each officer of the Company and each other person, if any, who controls the Company within the meaning of the Securities Act, with respect to any statement or alleged statement in or omission or alleged omission from such registration statement, any preliminary prospectus, final prospectus or summary prospectus contained therein, or any amendment or supplement thereto, if such statement or alleged statement or omission or alleged omission was made in reliance upon and in conformity with written information furnished to the Company through an instrument duly executed by CIBC specifically stating that it is for use in the preparation of such registration statement, preliminary prospectus, final prospectus, summary prospectus, amendment or supplement. Such indemnity shall remain in full force and effect, regardless of any investigation made by or on behalf of the Company or any such director, officer or controlling person and shall survive the transfer of such securities by CIBC.</w:t>
      </w:r>
    </w:p>
    <w:p>
      <w:pPr>
        <w:spacing w:after="0" w:line="82" w:lineRule="exact"/>
        <w:rPr>
          <w:rFonts w:ascii="Courier New" w:cs="Courier New" w:eastAsia="Courier New" w:hAnsi="Courier New"/>
          <w:sz w:val="14"/>
          <w:szCs w:val="14"/>
          <w:color w:val="auto"/>
        </w:rPr>
      </w:pPr>
    </w:p>
    <w:p>
      <w:pPr>
        <w:ind w:left="1680" w:hanging="358"/>
        <w:spacing w:after="0"/>
        <w:tabs>
          <w:tab w:leader="none" w:pos="1680"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of Claims, etc. Promptly after receipt by an</w:t>
      </w:r>
    </w:p>
    <w:p>
      <w:pPr>
        <w:spacing w:after="0" w:line="2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w:t>
      </w:r>
    </w:p>
    <w:p>
      <w:pPr>
        <w:ind w:right="3239"/>
        <w:spacing w:after="0" w:line="254" w:lineRule="auto"/>
        <w:rPr>
          <w:sz w:val="20"/>
          <w:szCs w:val="20"/>
          <w:color w:val="auto"/>
        </w:rPr>
      </w:pPr>
      <w:r>
        <w:rPr>
          <w:rFonts w:ascii="Courier New" w:cs="Courier New" w:eastAsia="Courier New" w:hAnsi="Courier New"/>
          <w:sz w:val="14"/>
          <w:szCs w:val="14"/>
          <w:color w:val="auto"/>
        </w:rPr>
        <w:t>indemnified party of notice of the commencement of any action or proceeding involving a claim referred to in the preceding subdivisions of this section 2.4, such indemnified party will, if a claim in respect thereof is to be made against an indemnifying party, give written notice to the latter of the commencement of such action, provided that the failure of any indemnified party to give notice</w:t>
      </w:r>
    </w:p>
    <w:p>
      <w:pPr>
        <w:ind w:left="1140"/>
        <w:spacing w:after="0"/>
        <w:rPr>
          <w:sz w:val="20"/>
          <w:szCs w:val="20"/>
          <w:color w:val="auto"/>
        </w:rPr>
      </w:pPr>
      <w:r>
        <w:rPr>
          <w:rFonts w:ascii="Courier New" w:cs="Courier New" w:eastAsia="Courier New" w:hAnsi="Courier New"/>
          <w:sz w:val="15"/>
          <w:szCs w:val="15"/>
          <w:color w:val="auto"/>
        </w:rPr>
        <w:t>--------</w:t>
      </w:r>
    </w:p>
    <w:p>
      <w:pPr>
        <w:ind w:right="3239"/>
        <w:spacing w:after="0" w:line="259" w:lineRule="auto"/>
        <w:rPr>
          <w:sz w:val="20"/>
          <w:szCs w:val="20"/>
          <w:color w:val="auto"/>
        </w:rPr>
      </w:pPr>
      <w:r>
        <w:rPr>
          <w:rFonts w:ascii="Courier New" w:cs="Courier New" w:eastAsia="Courier New" w:hAnsi="Courier New"/>
          <w:sz w:val="14"/>
          <w:szCs w:val="14"/>
          <w:color w:val="auto"/>
        </w:rPr>
        <w:t>as provided herein shall not relieve the indemnifying party of its obligations under the preceding subdivisions of this section 2.4, except to the extent that the indemnifying party is actually prejudiced by such failure to give notice. In case any such action is brought against an indemnified party, unless in such indemnified party's reasonable judgment a conflict of interest between such indemnified and indemnifying parties may exist in respect of such claim, the indemnifying party shall be entitled to participate in and to assume the defense thereof, jointly with any other indemnifying party similarly notified, to the extent that the indemnifying party may wish, with counsel reasonably satisfactory to such indemnified party, and after notice from the indemnifying party to such indemnified party of its election so to assume the defense thereof, the indemnifying party shall not be liable to such indemnified party for any legal or other expenses subsequently incurred by the latter in connection with the defense thereof other than reasonable costs of investigation. No indemnifying party shall, without the consent of the indemnified party, consent to entry of any judgment or enter into any settlement of any such action which does not include as an uncondi tional term thereof the giving by the claimant or plaintiff to such indemnified party of a release from all liability in respect to such claim or litigation. No indemnified party shall consent to entry of any judgment or enter into any settlement of any such action the defense of</w:t>
      </w:r>
    </w:p>
    <w:p>
      <w:pPr>
        <w:spacing w:after="0" w:line="25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597" w:right="1440" w:bottom="1440" w:gutter="0" w:footer="0" w:header="0"/>
        </w:sectPr>
      </w:pPr>
    </w:p>
    <w:bookmarkStart w:id="129" w:name="page130"/>
    <w:bookmarkEnd w:id="129"/>
    <w:p>
      <w:pPr>
        <w:ind w:right="3679"/>
        <w:spacing w:after="0" w:line="344" w:lineRule="auto"/>
        <w:rPr>
          <w:sz w:val="20"/>
          <w:szCs w:val="20"/>
          <w:color w:val="auto"/>
        </w:rPr>
      </w:pPr>
      <w:r>
        <w:rPr>
          <w:rFonts w:ascii="Courier New" w:cs="Courier New" w:eastAsia="Courier New" w:hAnsi="Courier New"/>
          <w:sz w:val="15"/>
          <w:szCs w:val="15"/>
          <w:color w:val="auto"/>
        </w:rPr>
        <w:t>which has been assumed by an indemnifying party without the consent of such indemnifying party.</w:t>
      </w:r>
    </w:p>
    <w:p>
      <w:pPr>
        <w:spacing w:after="0" w:line="17" w:lineRule="exact"/>
        <w:rPr>
          <w:sz w:val="20"/>
          <w:szCs w:val="20"/>
          <w:color w:val="auto"/>
        </w:rPr>
      </w:pPr>
    </w:p>
    <w:p>
      <w:pPr>
        <w:ind w:left="1680" w:hanging="358"/>
        <w:spacing w:after="0"/>
        <w:tabs>
          <w:tab w:leader="none" w:pos="168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Indemnification. Indemnification similar to that</w:t>
      </w:r>
    </w:p>
    <w:p>
      <w:pPr>
        <w:spacing w:after="0" w:line="24" w:lineRule="exact"/>
        <w:rPr>
          <w:rFonts w:ascii="Courier New" w:cs="Courier New" w:eastAsia="Courier New" w:hAnsi="Courier New"/>
          <w:sz w:val="15"/>
          <w:szCs w:val="15"/>
          <w:color w:val="auto"/>
        </w:rPr>
      </w:pPr>
    </w:p>
    <w:p>
      <w:pPr>
        <w:ind w:left="16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239"/>
        <w:spacing w:after="0" w:line="255" w:lineRule="auto"/>
        <w:rPr>
          <w:sz w:val="20"/>
          <w:szCs w:val="20"/>
          <w:color w:val="auto"/>
        </w:rPr>
      </w:pPr>
      <w:r>
        <w:rPr>
          <w:rFonts w:ascii="Courier New" w:cs="Courier New" w:eastAsia="Courier New" w:hAnsi="Courier New"/>
          <w:sz w:val="15"/>
          <w:szCs w:val="15"/>
          <w:color w:val="auto"/>
        </w:rPr>
        <w:t>specified in the preceding subdivisions of this section 2.4 (with appropriate modifica tions) shall be given by the Company and CIBC with respect to any required registration or other qualification of securities under any Federal or state law or regulation of any governmental authority, other than the Securities Act.</w:t>
      </w:r>
    </w:p>
    <w:p>
      <w:pPr>
        <w:spacing w:after="0" w:line="80"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(e) Indemnification Payments. The indemnification re quired by</w:t>
      </w:r>
    </w:p>
    <w:p>
      <w:pPr>
        <w:spacing w:after="0" w:line="2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w:t>
      </w:r>
    </w:p>
    <w:p>
      <w:pPr>
        <w:ind w:right="3239"/>
        <w:spacing w:after="0" w:line="272" w:lineRule="auto"/>
        <w:rPr>
          <w:sz w:val="20"/>
          <w:szCs w:val="20"/>
          <w:color w:val="auto"/>
        </w:rPr>
      </w:pPr>
      <w:r>
        <w:rPr>
          <w:rFonts w:ascii="Courier New" w:cs="Courier New" w:eastAsia="Courier New" w:hAnsi="Courier New"/>
          <w:sz w:val="15"/>
          <w:szCs w:val="15"/>
          <w:color w:val="auto"/>
        </w:rPr>
        <w:t>this section 2.4 shall be made by periodic payments of the amount thereof during the course of the investigation or defense upon thirty days written invoice of such bills expense, loss, damage or liability.</w:t>
      </w:r>
    </w:p>
    <w:p>
      <w:pPr>
        <w:spacing w:after="0" w:line="69" w:lineRule="exact"/>
        <w:rPr>
          <w:sz w:val="20"/>
          <w:szCs w:val="20"/>
          <w:color w:val="auto"/>
        </w:rPr>
      </w:pPr>
    </w:p>
    <w:p>
      <w:pPr>
        <w:ind w:left="1680" w:hanging="358"/>
        <w:spacing w:after="0"/>
        <w:tabs>
          <w:tab w:leader="none" w:pos="168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Contribution.  If the indemnification provided for in the</w:t>
      </w:r>
    </w:p>
    <w:p>
      <w:pPr>
        <w:spacing w:after="0" w:line="24" w:lineRule="exact"/>
        <w:rPr>
          <w:rFonts w:ascii="Courier New" w:cs="Courier New" w:eastAsia="Courier New" w:hAnsi="Courier New"/>
          <w:sz w:val="15"/>
          <w:szCs w:val="15"/>
          <w:color w:val="auto"/>
        </w:rPr>
      </w:pPr>
    </w:p>
    <w:p>
      <w:pPr>
        <w:ind w:left="16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239"/>
        <w:spacing w:after="0" w:line="254" w:lineRule="auto"/>
        <w:rPr>
          <w:sz w:val="20"/>
          <w:szCs w:val="20"/>
          <w:color w:val="auto"/>
        </w:rPr>
      </w:pPr>
      <w:r>
        <w:rPr>
          <w:rFonts w:ascii="Courier New" w:cs="Courier New" w:eastAsia="Courier New" w:hAnsi="Courier New"/>
          <w:sz w:val="14"/>
          <w:szCs w:val="14"/>
          <w:color w:val="auto"/>
        </w:rPr>
        <w:t>preceding subdivisions of this section 2.4 is unavailable to an indemnified party in respect of any expense, loss, claim, damage or liability referred to therein, then each indemnifying party, in lieu of indemnifying such indemnified party, shall contribute to the amount paid or payable by such indemnified party as a result of such expense, loss, claim, damage or liability in such proportion as is appropriate to reflect the relative fault of the Company on the one hand and of CIBC on the other in connec tion with the statements or omissions which resulted in such expense, loss, damage or liability, as well as any other relevant equitable considerations. The relative fault of the Company on the one hand and of CIBC on the other shall be determined by reference to, among other things, whether the untrue or alleged untrue statement of a material fact or omission to state a material fact relates to information supplied by the Company, by CIBC and the parties' relative intent, knowledge, access to information and opportunity to correct or prevent such statement or omission, provided that the foregoing contribution agreement shall not inure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right="3239"/>
        <w:spacing w:after="0" w:line="269" w:lineRule="auto"/>
        <w:rPr>
          <w:sz w:val="20"/>
          <w:szCs w:val="20"/>
          <w:color w:val="auto"/>
        </w:rPr>
      </w:pPr>
      <w:r>
        <w:rPr>
          <w:rFonts w:ascii="Courier New" w:cs="Courier New" w:eastAsia="Courier New" w:hAnsi="Courier New"/>
          <w:sz w:val="14"/>
          <w:szCs w:val="14"/>
          <w:color w:val="auto"/>
        </w:rPr>
        <w:t>benefit of any indemnified party if indemnification would be unavailable to such indemnified party by reason of the provisions contained in the first sentence of subdivision (a) of this section 2.4, and in no event shall the obligation of any indemnifying party to contribute under this subdivision (f) exceed the amount that such indemnifying party would have been obligated to pay by way of indemnification if the indemnification provided for under subdivisions (a) or (b) of this section 2.4 had been available under the circumstances.</w:t>
      </w:r>
    </w:p>
    <w:p>
      <w:pPr>
        <w:spacing w:after="0" w:line="75" w:lineRule="exact"/>
        <w:rPr>
          <w:sz w:val="20"/>
          <w:szCs w:val="20"/>
          <w:color w:val="auto"/>
        </w:rPr>
      </w:pPr>
    </w:p>
    <w:p>
      <w:pPr>
        <w:ind w:right="3319" w:firstLine="875"/>
        <w:spacing w:after="0" w:line="255" w:lineRule="auto"/>
        <w:rPr>
          <w:sz w:val="20"/>
          <w:szCs w:val="20"/>
          <w:color w:val="auto"/>
        </w:rPr>
      </w:pPr>
      <w:r>
        <w:rPr>
          <w:rFonts w:ascii="Courier New" w:cs="Courier New" w:eastAsia="Courier New" w:hAnsi="Courier New"/>
          <w:sz w:val="15"/>
          <w:szCs w:val="15"/>
          <w:color w:val="auto"/>
        </w:rPr>
        <w:t>The Company and CIBC agree that it would not be just and equitable if contribution pursuant to this subdivision (f) were determined by pro rata</w:t>
      </w:r>
    </w:p>
    <w:p>
      <w:pPr>
        <w:ind w:left="5700"/>
        <w:spacing w:after="0"/>
        <w:rPr>
          <w:sz w:val="20"/>
          <w:szCs w:val="20"/>
          <w:color w:val="auto"/>
        </w:rPr>
      </w:pPr>
      <w:r>
        <w:rPr>
          <w:rFonts w:ascii="Courier New" w:cs="Courier New" w:eastAsia="Courier New" w:hAnsi="Courier New"/>
          <w:sz w:val="15"/>
          <w:szCs w:val="15"/>
          <w:color w:val="auto"/>
        </w:rPr>
        <w:t>--- ----</w:t>
      </w:r>
    </w:p>
    <w:p>
      <w:pPr>
        <w:ind w:right="3499"/>
        <w:spacing w:after="0" w:line="272" w:lineRule="auto"/>
        <w:rPr>
          <w:sz w:val="20"/>
          <w:szCs w:val="20"/>
          <w:color w:val="auto"/>
        </w:rPr>
      </w:pPr>
      <w:r>
        <w:rPr>
          <w:rFonts w:ascii="Courier New" w:cs="Courier New" w:eastAsia="Courier New" w:hAnsi="Courier New"/>
          <w:sz w:val="15"/>
          <w:szCs w:val="15"/>
          <w:color w:val="auto"/>
        </w:rPr>
        <w:t>allocation or by any other method of allocation that does not take account of the equitable con siderations referred to in the immediately preceding paragraph. The amount paid or payable by an</w:t>
      </w:r>
    </w:p>
    <w:p>
      <w:pPr>
        <w:spacing w:after="0" w:line="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597" w:right="1440" w:bottom="1440" w:gutter="0" w:footer="0" w:header="0"/>
        </w:sectPr>
      </w:pPr>
    </w:p>
    <w:bookmarkStart w:id="130" w:name="page131"/>
    <w:bookmarkEnd w:id="130"/>
    <w:p>
      <w:pPr>
        <w:ind w:right="3399"/>
        <w:spacing w:after="0" w:line="267" w:lineRule="auto"/>
        <w:rPr>
          <w:sz w:val="20"/>
          <w:szCs w:val="20"/>
          <w:color w:val="auto"/>
        </w:rPr>
      </w:pPr>
      <w:r>
        <w:rPr>
          <w:rFonts w:ascii="Courier New" w:cs="Courier New" w:eastAsia="Courier New" w:hAnsi="Courier New"/>
          <w:sz w:val="14"/>
          <w:szCs w:val="14"/>
          <w:color w:val="auto"/>
        </w:rPr>
        <w:t>indemnified party as a result of the losses, claims, damages and liabilities referred to in the immediately preceding paragraph shall be deemed to include, subject to the limitations set forth in the preceding sentence and subdivision</w:t>
      </w:r>
    </w:p>
    <w:p>
      <w:pPr>
        <w:spacing w:after="0" w:line="1" w:lineRule="exact"/>
        <w:rPr>
          <w:sz w:val="20"/>
          <w:szCs w:val="20"/>
          <w:color w:val="auto"/>
        </w:rPr>
      </w:pPr>
    </w:p>
    <w:p>
      <w:pPr>
        <w:ind w:right="3239" w:firstLine="10"/>
        <w:spacing w:after="0" w:line="272" w:lineRule="auto"/>
        <w:tabs>
          <w:tab w:leader="none" w:pos="35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2.4, any legal or other expenses reasonably incurred by such indemnified party in connection with investigating or defending any such action or claim.</w:t>
      </w:r>
    </w:p>
    <w:p>
      <w:pPr>
        <w:spacing w:after="0" w:line="69" w:lineRule="exact"/>
        <w:rPr>
          <w:sz w:val="20"/>
          <w:szCs w:val="20"/>
          <w:color w:val="auto"/>
        </w:rPr>
      </w:pPr>
    </w:p>
    <w:p>
      <w:pPr>
        <w:ind w:right="3239" w:firstLine="875"/>
        <w:spacing w:after="0" w:line="273" w:lineRule="auto"/>
        <w:rPr>
          <w:sz w:val="20"/>
          <w:szCs w:val="20"/>
          <w:color w:val="auto"/>
        </w:rPr>
      </w:pPr>
      <w:r>
        <w:rPr>
          <w:rFonts w:ascii="Courier New" w:cs="Courier New" w:eastAsia="Courier New" w:hAnsi="Courier New"/>
          <w:sz w:val="14"/>
          <w:szCs w:val="14"/>
          <w:color w:val="auto"/>
        </w:rPr>
        <w:t>Notwithstanding the provisions of this subdivision (f), CIBC shall not be required to contribute any amount in excess of the amount by which the net proceeds received by CIBC from the sale of the Common Shares exceeds, in any such case, the amount of any damages that CIBC has otherwise been required to pay by reason of such untrue or alleged untrue statement or omission. No Person guilty of fraudulent misrepresentation (within the meaning of Section 11(f) of the Securities Act) shall be entitled to contribution from any person who was not guilty of such fraudulent misrepresentation.</w:t>
      </w:r>
    </w:p>
    <w:p>
      <w:pPr>
        <w:spacing w:after="0" w:line="71" w:lineRule="exact"/>
        <w:rPr>
          <w:sz w:val="20"/>
          <w:szCs w:val="20"/>
          <w:color w:val="auto"/>
        </w:rPr>
      </w:pPr>
    </w:p>
    <w:p>
      <w:pPr>
        <w:ind w:left="1320" w:hanging="436"/>
        <w:spacing w:after="0"/>
        <w:tabs>
          <w:tab w:leader="none" w:pos="132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As used herein, unless the context otherwise</w:t>
      </w:r>
    </w:p>
    <w:p>
      <w:pPr>
        <w:spacing w:after="0" w:line="24" w:lineRule="exact"/>
        <w:rPr>
          <w:rFonts w:ascii="Courier New" w:cs="Courier New" w:eastAsia="Courier New" w:hAnsi="Courier New"/>
          <w:sz w:val="15"/>
          <w:szCs w:val="15"/>
          <w:color w:val="auto"/>
        </w:rPr>
      </w:pP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requires, the following terms have the following respective meanings:</w:t>
      </w:r>
    </w:p>
    <w:p>
      <w:pPr>
        <w:spacing w:after="0" w:line="309" w:lineRule="exact"/>
        <w:rPr>
          <w:sz w:val="20"/>
          <w:szCs w:val="20"/>
          <w:color w:val="auto"/>
        </w:rPr>
      </w:pPr>
    </w:p>
    <w:p>
      <w:pPr>
        <w:ind w:left="880"/>
        <w:spacing w:after="0"/>
        <w:tabs>
          <w:tab w:leader="none" w:pos="2000" w:val="left"/>
        </w:tabs>
        <w:rPr>
          <w:sz w:val="20"/>
          <w:szCs w:val="20"/>
          <w:color w:val="auto"/>
        </w:rPr>
      </w:pPr>
      <w:r>
        <w:rPr>
          <w:rFonts w:ascii="Courier New" w:cs="Courier New" w:eastAsia="Courier New" w:hAnsi="Courier New"/>
          <w:sz w:val="15"/>
          <w:szCs w:val="15"/>
          <w:color w:val="auto"/>
        </w:rPr>
        <w:t>Commission:</w:t>
        <w:tab/>
        <w:t>The Securities and Exchange Commission or any other</w:t>
      </w:r>
    </w:p>
    <w:p>
      <w:pPr>
        <w:spacing w:after="0" w:line="2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ind w:left="880"/>
        <w:spacing w:after="0"/>
        <w:rPr>
          <w:sz w:val="20"/>
          <w:szCs w:val="20"/>
          <w:color w:val="auto"/>
        </w:rPr>
      </w:pPr>
      <w:r>
        <w:rPr>
          <w:rFonts w:ascii="Courier New" w:cs="Courier New" w:eastAsia="Courier New" w:hAnsi="Courier New"/>
          <w:sz w:val="15"/>
          <w:szCs w:val="15"/>
          <w:color w:val="auto"/>
        </w:rPr>
        <w:t>Federal agency at the time administering the Securities Act.</w:t>
      </w:r>
    </w:p>
    <w:p>
      <w:pPr>
        <w:spacing w:after="0" w:line="140" w:lineRule="exact"/>
        <w:rPr>
          <w:sz w:val="20"/>
          <w:szCs w:val="20"/>
          <w:color w:val="auto"/>
        </w:rPr>
      </w:pPr>
    </w:p>
    <w:p>
      <w:pPr>
        <w:ind w:left="880"/>
        <w:spacing w:after="0"/>
        <w:tabs>
          <w:tab w:leader="none" w:pos="2260" w:val="left"/>
        </w:tabs>
        <w:rPr>
          <w:sz w:val="20"/>
          <w:szCs w:val="20"/>
          <w:color w:val="auto"/>
        </w:rPr>
      </w:pPr>
      <w:r>
        <w:rPr>
          <w:rFonts w:ascii="Courier New" w:cs="Courier New" w:eastAsia="Courier New" w:hAnsi="Courier New"/>
          <w:sz w:val="15"/>
          <w:szCs w:val="15"/>
          <w:color w:val="auto"/>
        </w:rPr>
        <w:t>Common Shares:</w:t>
      </w:r>
      <w:r>
        <w:rPr>
          <w:sz w:val="20"/>
          <w:szCs w:val="20"/>
          <w:color w:val="auto"/>
        </w:rPr>
        <w:tab/>
      </w:r>
      <w:r>
        <w:rPr>
          <w:rFonts w:ascii="Courier New" w:cs="Courier New" w:eastAsia="Courier New" w:hAnsi="Courier New"/>
          <w:sz w:val="14"/>
          <w:szCs w:val="14"/>
          <w:color w:val="auto"/>
        </w:rPr>
        <w:t>As defined in section 1.</w:t>
      </w:r>
    </w:p>
    <w:p>
      <w:pPr>
        <w:spacing w:after="0" w:line="2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880"/>
        <w:spacing w:after="0"/>
        <w:tabs>
          <w:tab w:leader="none" w:pos="1740" w:val="left"/>
        </w:tabs>
        <w:rPr>
          <w:sz w:val="20"/>
          <w:szCs w:val="20"/>
          <w:color w:val="auto"/>
        </w:rPr>
      </w:pPr>
      <w:r>
        <w:rPr>
          <w:rFonts w:ascii="Courier New" w:cs="Courier New" w:eastAsia="Courier New" w:hAnsi="Courier New"/>
          <w:sz w:val="14"/>
          <w:szCs w:val="14"/>
          <w:color w:val="auto"/>
        </w:rPr>
        <w:t>Company:</w:t>
        <w:tab/>
        <w:t>As defined in the introductory paragraph of this Agree ment.</w:t>
      </w:r>
    </w:p>
    <w:p>
      <w:pPr>
        <w:spacing w:after="0" w:line="3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880"/>
        <w:spacing w:after="0"/>
        <w:tabs>
          <w:tab w:leader="none" w:pos="2180" w:val="left"/>
        </w:tabs>
        <w:rPr>
          <w:sz w:val="20"/>
          <w:szCs w:val="20"/>
          <w:color w:val="auto"/>
        </w:rPr>
      </w:pPr>
      <w:r>
        <w:rPr>
          <w:rFonts w:ascii="Courier New" w:cs="Courier New" w:eastAsia="Courier New" w:hAnsi="Courier New"/>
          <w:sz w:val="15"/>
          <w:szCs w:val="15"/>
          <w:color w:val="auto"/>
        </w:rPr>
        <w:t>Exchange Act:</w:t>
      </w:r>
      <w:r>
        <w:rPr>
          <w:sz w:val="20"/>
          <w:szCs w:val="20"/>
          <w:color w:val="auto"/>
        </w:rPr>
        <w:tab/>
      </w:r>
      <w:r>
        <w:rPr>
          <w:rFonts w:ascii="Courier New" w:cs="Courier New" w:eastAsia="Courier New" w:hAnsi="Courier New"/>
          <w:sz w:val="14"/>
          <w:szCs w:val="14"/>
          <w:color w:val="auto"/>
        </w:rPr>
        <w:t>The Securities Exchange Act of 1934, or any similar</w:t>
      </w:r>
    </w:p>
    <w:p>
      <w:pPr>
        <w:spacing w:after="0" w:line="2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ind w:left="880" w:right="3239"/>
        <w:spacing w:after="0" w:line="255" w:lineRule="auto"/>
        <w:rPr>
          <w:sz w:val="20"/>
          <w:szCs w:val="20"/>
          <w:color w:val="auto"/>
        </w:rPr>
      </w:pPr>
      <w:r>
        <w:rPr>
          <w:rFonts w:ascii="Courier New" w:cs="Courier New" w:eastAsia="Courier New" w:hAnsi="Courier New"/>
          <w:sz w:val="15"/>
          <w:szCs w:val="15"/>
          <w:color w:val="auto"/>
        </w:rPr>
        <w:t>Federal statute, and the rules and regulations of the Commission thereunder, all as the same shall be in effect at the time. Reference to a particular section of the Securities Exchange Act of 1934 shall in clude a reference to the comparable section, if any, of any such similar Federal statute.</w:t>
      </w:r>
    </w:p>
    <w:p>
      <w:pPr>
        <w:spacing w:after="0" w:line="80" w:lineRule="exact"/>
        <w:rPr>
          <w:sz w:val="20"/>
          <w:szCs w:val="20"/>
          <w:color w:val="auto"/>
        </w:rPr>
      </w:pPr>
    </w:p>
    <w:p>
      <w:pPr>
        <w:ind w:left="880"/>
        <w:spacing w:after="0"/>
        <w:tabs>
          <w:tab w:leader="none" w:pos="1660" w:val="left"/>
        </w:tabs>
        <w:rPr>
          <w:sz w:val="20"/>
          <w:szCs w:val="20"/>
          <w:color w:val="auto"/>
        </w:rPr>
      </w:pPr>
      <w:r>
        <w:rPr>
          <w:rFonts w:ascii="Courier New" w:cs="Courier New" w:eastAsia="Courier New" w:hAnsi="Courier New"/>
          <w:sz w:val="15"/>
          <w:szCs w:val="15"/>
          <w:color w:val="auto"/>
        </w:rPr>
        <w:t>Person:</w:t>
      </w:r>
      <w:r>
        <w:rPr>
          <w:sz w:val="20"/>
          <w:szCs w:val="20"/>
          <w:color w:val="auto"/>
        </w:rPr>
        <w:tab/>
      </w:r>
      <w:r>
        <w:rPr>
          <w:rFonts w:ascii="Courier New" w:cs="Courier New" w:eastAsia="Courier New" w:hAnsi="Courier New"/>
          <w:sz w:val="14"/>
          <w:szCs w:val="14"/>
          <w:color w:val="auto"/>
        </w:rPr>
        <w:t>A corporation, an association, a partnership, an</w:t>
      </w:r>
    </w:p>
    <w:p>
      <w:pPr>
        <w:spacing w:after="0" w:line="2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ind w:left="880" w:right="3579"/>
        <w:spacing w:after="0" w:line="307" w:lineRule="auto"/>
        <w:rPr>
          <w:sz w:val="20"/>
          <w:szCs w:val="20"/>
          <w:color w:val="auto"/>
        </w:rPr>
      </w:pPr>
      <w:r>
        <w:rPr>
          <w:rFonts w:ascii="Courier New" w:cs="Courier New" w:eastAsia="Courier New" w:hAnsi="Courier New"/>
          <w:sz w:val="15"/>
          <w:szCs w:val="15"/>
          <w:color w:val="auto"/>
        </w:rPr>
        <w:t>organization, business, an individual, a governmental or political subdivision thereof or a governmental agency.</w:t>
      </w:r>
    </w:p>
    <w:p>
      <w:pPr>
        <w:spacing w:after="0" w:line="44" w:lineRule="exact"/>
        <w:rPr>
          <w:sz w:val="20"/>
          <w:szCs w:val="20"/>
          <w:color w:val="auto"/>
        </w:rPr>
      </w:pPr>
    </w:p>
    <w:p>
      <w:pPr>
        <w:ind w:left="880"/>
        <w:spacing w:after="0"/>
        <w:tabs>
          <w:tab w:leader="none" w:pos="2960" w:val="left"/>
        </w:tabs>
        <w:rPr>
          <w:sz w:val="20"/>
          <w:szCs w:val="20"/>
          <w:color w:val="auto"/>
        </w:rPr>
      </w:pPr>
      <w:r>
        <w:rPr>
          <w:rFonts w:ascii="Courier New" w:cs="Courier New" w:eastAsia="Courier New" w:hAnsi="Courier New"/>
          <w:sz w:val="15"/>
          <w:szCs w:val="15"/>
          <w:color w:val="auto"/>
        </w:rPr>
        <w:t>Registration Expenses:</w:t>
      </w:r>
      <w:r>
        <w:rPr>
          <w:sz w:val="20"/>
          <w:szCs w:val="20"/>
          <w:color w:val="auto"/>
        </w:rPr>
        <w:tab/>
      </w:r>
      <w:r>
        <w:rPr>
          <w:rFonts w:ascii="Courier New" w:cs="Courier New" w:eastAsia="Courier New" w:hAnsi="Courier New"/>
          <w:sz w:val="14"/>
          <w:szCs w:val="14"/>
          <w:color w:val="auto"/>
        </w:rPr>
        <w:t>All expenses incident to the Company's</w:t>
      </w:r>
    </w:p>
    <w:p>
      <w:pPr>
        <w:spacing w:after="0" w:line="2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ind w:left="880" w:right="3239"/>
        <w:spacing w:after="0" w:line="260" w:lineRule="auto"/>
        <w:rPr>
          <w:sz w:val="20"/>
          <w:szCs w:val="20"/>
          <w:color w:val="auto"/>
        </w:rPr>
      </w:pPr>
      <w:r>
        <w:rPr>
          <w:rFonts w:ascii="Courier New" w:cs="Courier New" w:eastAsia="Courier New" w:hAnsi="Courier New"/>
          <w:sz w:val="15"/>
          <w:szCs w:val="15"/>
          <w:color w:val="auto"/>
        </w:rPr>
        <w:t>performance of or compliance with section 2, including, without limitation, all registration, filing and NASD fees, all stock exchange listing fees, all fees and expenses of complying with securities or blue sky laws, all word</w:t>
      </w:r>
    </w:p>
    <w:p>
      <w:pPr>
        <w:spacing w:after="0" w:line="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597" w:right="1440" w:bottom="1440" w:gutter="0" w:footer="0" w:header="0"/>
        </w:sectPr>
      </w:pPr>
    </w:p>
    <w:bookmarkStart w:id="131" w:name="page132"/>
    <w:bookmarkEnd w:id="131"/>
    <w:p>
      <w:pPr>
        <w:ind w:left="880" w:right="3239"/>
        <w:spacing w:after="0" w:line="248" w:lineRule="auto"/>
        <w:rPr>
          <w:sz w:val="20"/>
          <w:szCs w:val="20"/>
          <w:color w:val="auto"/>
        </w:rPr>
      </w:pPr>
      <w:r>
        <w:rPr>
          <w:rFonts w:ascii="Courier New" w:cs="Courier New" w:eastAsia="Courier New" w:hAnsi="Courier New"/>
          <w:sz w:val="15"/>
          <w:szCs w:val="15"/>
          <w:color w:val="auto"/>
        </w:rPr>
        <w:t>processing, duplicating and printing expenses, messenger and delivery expenses, the reasonable fees and disburse ments of a single outside counsel for the Company, including the expenses of any special audits or "cold comfort" letters required by or incident to such performance and compliance, and the fees and dis bursements of any counsel and accountants retained by CIBC. Such expenses shall not include salaries of Company personnel or general overhead expenses of the Company, auditing fees, or other expenses for the preparation of financial statements or other data normally prepared by the Company in the ordinary course of its business or which the Company would have incurred in any event.</w:t>
      </w:r>
    </w:p>
    <w:p>
      <w:pPr>
        <w:spacing w:after="0" w:line="87" w:lineRule="exact"/>
        <w:rPr>
          <w:sz w:val="20"/>
          <w:szCs w:val="20"/>
          <w:color w:val="auto"/>
        </w:rPr>
      </w:pPr>
    </w:p>
    <w:p>
      <w:pPr>
        <w:ind w:left="880"/>
        <w:spacing w:after="0"/>
        <w:tabs>
          <w:tab w:leader="none" w:pos="2360" w:val="left"/>
        </w:tabs>
        <w:rPr>
          <w:sz w:val="20"/>
          <w:szCs w:val="20"/>
          <w:color w:val="auto"/>
        </w:rPr>
      </w:pPr>
      <w:r>
        <w:rPr>
          <w:rFonts w:ascii="Courier New" w:cs="Courier New" w:eastAsia="Courier New" w:hAnsi="Courier New"/>
          <w:sz w:val="15"/>
          <w:szCs w:val="15"/>
          <w:color w:val="auto"/>
        </w:rPr>
        <w:t>Securities Act:</w:t>
      </w:r>
      <w:r>
        <w:rPr>
          <w:sz w:val="20"/>
          <w:szCs w:val="20"/>
          <w:color w:val="auto"/>
        </w:rPr>
        <w:tab/>
      </w:r>
      <w:r>
        <w:rPr>
          <w:rFonts w:ascii="Courier New" w:cs="Courier New" w:eastAsia="Courier New" w:hAnsi="Courier New"/>
          <w:sz w:val="14"/>
          <w:szCs w:val="14"/>
          <w:color w:val="auto"/>
        </w:rPr>
        <w:t>The Securities Act of 1933, or any similar Federal</w:t>
      </w:r>
    </w:p>
    <w:p>
      <w:pPr>
        <w:spacing w:after="0" w:line="2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ind w:left="880" w:right="3399"/>
        <w:spacing w:after="0" w:line="255" w:lineRule="auto"/>
        <w:rPr>
          <w:sz w:val="20"/>
          <w:szCs w:val="20"/>
          <w:color w:val="auto"/>
        </w:rPr>
      </w:pPr>
      <w:r>
        <w:rPr>
          <w:rFonts w:ascii="Courier New" w:cs="Courier New" w:eastAsia="Courier New" w:hAnsi="Courier New"/>
          <w:sz w:val="15"/>
          <w:szCs w:val="15"/>
          <w:color w:val="auto"/>
        </w:rPr>
        <w:t>statute, and the rules and regulations of the Commission thereunder, all as of the same shall be in effect at the time. References to a particular section of the Securities Act of 1933 shall include a reference to the comparable section, if any, of any such similar Federal statute.</w:t>
      </w:r>
    </w:p>
    <w:p>
      <w:pPr>
        <w:spacing w:after="0" w:line="80" w:lineRule="exact"/>
        <w:rPr>
          <w:sz w:val="20"/>
          <w:szCs w:val="20"/>
          <w:color w:val="auto"/>
        </w:rPr>
      </w:pPr>
    </w:p>
    <w:p>
      <w:pPr>
        <w:ind w:left="1320" w:hanging="436"/>
        <w:spacing w:after="0"/>
        <w:tabs>
          <w:tab w:leader="none" w:pos="132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CIBC agrees that any information</w:t>
      </w:r>
    </w:p>
    <w:p>
      <w:pPr>
        <w:spacing w:after="0" w:line="24" w:lineRule="exact"/>
        <w:rPr>
          <w:rFonts w:ascii="Courier New" w:cs="Courier New" w:eastAsia="Courier New" w:hAnsi="Courier New"/>
          <w:sz w:val="15"/>
          <w:szCs w:val="15"/>
          <w:color w:val="auto"/>
        </w:rPr>
      </w:pP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239"/>
        <w:spacing w:after="0" w:line="261" w:lineRule="auto"/>
        <w:rPr>
          <w:sz w:val="20"/>
          <w:szCs w:val="20"/>
          <w:color w:val="auto"/>
        </w:rPr>
      </w:pPr>
      <w:r>
        <w:rPr>
          <w:rFonts w:ascii="Courier New" w:cs="Courier New" w:eastAsia="Courier New" w:hAnsi="Courier New"/>
          <w:sz w:val="14"/>
          <w:szCs w:val="14"/>
          <w:color w:val="auto"/>
        </w:rPr>
        <w:t>obtained pursuant to this Agreement which is, or would reasonably be perceived to be, proprietary to the Company or otherwise confidential will not be disclosed without the prior written consent of the Company. Notwithstanding the foregoing, CIBC may disclose such information, on a need to know basis, to its employees, accountants or attorneys (so long as each such person to whom confidential information is disclosed agrees to keep such information confidential), as required by applicable law or regulation based on the written advice of CIBC's counsel (a copy of which shall be provided to the Company unless CIBC is prevented from revealing such disclosure by such applicable law or regulation or the relevant government agency requesting such disclosure) or in compliance with a court order or when otherwise necessary to enforce any of their rights hereunder. CIBC further acknowledges, understands and agrees that any confidential information will not be utilized in connection with purchases and/or sales of the Company's securities except in compliance with applicable state and federal antifraud statutes.</w:t>
      </w:r>
    </w:p>
    <w:p>
      <w:pPr>
        <w:spacing w:after="0" w:line="250" w:lineRule="exact"/>
        <w:rPr>
          <w:sz w:val="20"/>
          <w:szCs w:val="20"/>
          <w:color w:val="auto"/>
        </w:rPr>
      </w:pPr>
    </w:p>
    <w:p>
      <w:pPr>
        <w:ind w:left="1320" w:hanging="436"/>
        <w:spacing w:after="0"/>
        <w:tabs>
          <w:tab w:leader="none" w:pos="132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Restrictive Legend.  During all periods of time in which an</w:t>
      </w:r>
    </w:p>
    <w:p>
      <w:pPr>
        <w:spacing w:after="0" w:line="24" w:lineRule="exact"/>
        <w:rPr>
          <w:rFonts w:ascii="Courier New" w:cs="Courier New" w:eastAsia="Courier New" w:hAnsi="Courier New"/>
          <w:sz w:val="15"/>
          <w:szCs w:val="15"/>
          <w:color w:val="auto"/>
        </w:rPr>
      </w:pP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239"/>
        <w:spacing w:after="0" w:line="251" w:lineRule="auto"/>
        <w:rPr>
          <w:sz w:val="20"/>
          <w:szCs w:val="20"/>
          <w:color w:val="auto"/>
        </w:rPr>
      </w:pPr>
      <w:r>
        <w:rPr>
          <w:rFonts w:ascii="Courier New" w:cs="Courier New" w:eastAsia="Courier New" w:hAnsi="Courier New"/>
          <w:sz w:val="15"/>
          <w:szCs w:val="15"/>
          <w:color w:val="auto"/>
        </w:rPr>
        <w:t>effective registration statement of the Common Shares under the Securities Act is not in effect, each certificate representing any portion or all of the Common Shares and any certificate reflecting any stock split, stock dividend, recapitalization, merger, consolidation or similar event with respect to the Common Shares shall (unless otherwise permitted by the provisions of section 6 below) be stamped or otherwise imprinted with</w:t>
      </w:r>
    </w:p>
    <w:p>
      <w:pPr>
        <w:spacing w:after="0" w:line="8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598" w:right="1440" w:bottom="1440" w:gutter="0" w:footer="0" w:header="0"/>
        </w:sectPr>
      </w:pPr>
    </w:p>
    <w:bookmarkStart w:id="132" w:name="page133"/>
    <w:bookmarkEnd w:id="132"/>
    <w:p>
      <w:pPr>
        <w:ind w:right="3319"/>
        <w:spacing w:after="0" w:line="344" w:lineRule="auto"/>
        <w:rPr>
          <w:sz w:val="20"/>
          <w:szCs w:val="20"/>
          <w:color w:val="auto"/>
        </w:rPr>
      </w:pPr>
      <w:r>
        <w:rPr>
          <w:rFonts w:ascii="Courier New" w:cs="Courier New" w:eastAsia="Courier New" w:hAnsi="Courier New"/>
          <w:sz w:val="15"/>
          <w:szCs w:val="15"/>
          <w:color w:val="auto"/>
        </w:rPr>
        <w:t>the following legend (in addition to any legend required under applicable state securities laws):</w:t>
      </w:r>
    </w:p>
    <w:p>
      <w:pPr>
        <w:spacing w:after="0" w:line="17" w:lineRule="exact"/>
        <w:rPr>
          <w:sz w:val="20"/>
          <w:szCs w:val="20"/>
          <w:color w:val="auto"/>
        </w:rPr>
      </w:pPr>
    </w:p>
    <w:p>
      <w:pPr>
        <w:ind w:left="440" w:right="3399"/>
        <w:spacing w:after="0" w:line="255" w:lineRule="auto"/>
        <w:rPr>
          <w:sz w:val="20"/>
          <w:szCs w:val="20"/>
          <w:color w:val="auto"/>
        </w:rPr>
      </w:pPr>
      <w:r>
        <w:rPr>
          <w:rFonts w:ascii="Courier New" w:cs="Courier New" w:eastAsia="Courier New" w:hAnsi="Courier New"/>
          <w:sz w:val="15"/>
          <w:szCs w:val="15"/>
          <w:color w:val="auto"/>
        </w:rPr>
        <w:t>"THE SHARES REPRESENTED BY THIS CERTIFICATE HAVE BEEN ACQUIRED FOR INVESTMENT AND HAVE NOT BEEN REGISTERED UNDER THE SECURITIES ACT OF 1933. SUCH SHARES MAY NOT BE SOLD, ASSIGNED, PLEDGED OR TRANSFERRED IN THE ABSENCE OF SUCH REGISTRATION OR UNLESS THE COMPANY RECEIVES AN OPINION OF COUNSEL REASONABLY ACCEPTABLE TO IT STATING THAT SUCH SALE, PLEDGE OR TRANSFER IS EXEMPT FROM THE REGISTRATION AND PROSPECTUS DELIVERY REQUIREMENTS OF SAID ACT.</w:t>
      </w:r>
    </w:p>
    <w:p>
      <w:pPr>
        <w:spacing w:after="0" w:line="82" w:lineRule="exact"/>
        <w:rPr>
          <w:sz w:val="20"/>
          <w:szCs w:val="20"/>
          <w:color w:val="auto"/>
        </w:rPr>
      </w:pPr>
    </w:p>
    <w:p>
      <w:pPr>
        <w:ind w:left="440" w:right="3319"/>
        <w:spacing w:after="0" w:line="255" w:lineRule="auto"/>
        <w:rPr>
          <w:sz w:val="20"/>
          <w:szCs w:val="20"/>
          <w:color w:val="auto"/>
        </w:rPr>
      </w:pPr>
      <w:r>
        <w:rPr>
          <w:rFonts w:ascii="Courier New" w:cs="Courier New" w:eastAsia="Courier New" w:hAnsi="Courier New"/>
          <w:sz w:val="15"/>
          <w:szCs w:val="15"/>
          <w:color w:val="auto"/>
        </w:rPr>
        <w:t>THE SHARES REPRESENTED BY THIS CERTIFICATE ARE SUBJECT TO CERTAIN RESTRICTIONS ON THEIR SALE, ASSIGNMENT, PLEDGE OR TRANSFER SET FORTH IN SECTION 6 OF A REGISTRA TION RIGHTS AGREEMENT DATED AS OF JULY 29, 1996 AMONG MICRON TECHNOLOGY, INC. AND CERTAIN OTHER PARTIES. COPIES OF SUCH AGREEMENT MAY BE OBTAINED AT NO COST BY WRITTEN REQUEST MADE BY THE HOLDER OF RECORD OF THIS CERTIFICATE TO THE SECRETARY OF THE CORPORATION AT THE PRINCIPAL EXECUTIVE OFFICES OF THE CORPORATION."</w:t>
      </w:r>
    </w:p>
    <w:p>
      <w:pPr>
        <w:spacing w:after="0" w:line="82" w:lineRule="exact"/>
        <w:rPr>
          <w:sz w:val="20"/>
          <w:szCs w:val="20"/>
          <w:color w:val="auto"/>
        </w:rPr>
      </w:pPr>
    </w:p>
    <w:p>
      <w:pPr>
        <w:jc w:val="both"/>
        <w:ind w:right="3579" w:firstLine="437"/>
        <w:spacing w:after="0" w:line="320" w:lineRule="auto"/>
        <w:rPr>
          <w:sz w:val="20"/>
          <w:szCs w:val="20"/>
          <w:color w:val="auto"/>
        </w:rPr>
      </w:pPr>
      <w:r>
        <w:rPr>
          <w:rFonts w:ascii="Courier New" w:cs="Courier New" w:eastAsia="Courier New" w:hAnsi="Courier New"/>
          <w:sz w:val="14"/>
          <w:szCs w:val="14"/>
          <w:color w:val="auto"/>
        </w:rPr>
        <w:t>Each party consents to the Company making a notation on its records and giving instructions to any transfer agent of the Company Shares in order to implement the restrictions on transfer established in this Agreement.</w:t>
      </w:r>
    </w:p>
    <w:p>
      <w:pPr>
        <w:spacing w:after="0" w:line="38" w:lineRule="exact"/>
        <w:rPr>
          <w:sz w:val="20"/>
          <w:szCs w:val="20"/>
          <w:color w:val="auto"/>
        </w:rPr>
      </w:pPr>
    </w:p>
    <w:p>
      <w:pPr>
        <w:ind w:left="1320" w:hanging="436"/>
        <w:spacing w:after="0"/>
        <w:tabs>
          <w:tab w:leader="none" w:pos="132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Proposed Transfers.  The holder of each certificate</w:t>
      </w:r>
    </w:p>
    <w:p>
      <w:pPr>
        <w:spacing w:after="0" w:line="24" w:lineRule="exact"/>
        <w:rPr>
          <w:rFonts w:ascii="Courier New" w:cs="Courier New" w:eastAsia="Courier New" w:hAnsi="Courier New"/>
          <w:sz w:val="15"/>
          <w:szCs w:val="15"/>
          <w:color w:val="auto"/>
        </w:rPr>
      </w:pP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239"/>
        <w:spacing w:after="0" w:line="261" w:lineRule="auto"/>
        <w:rPr>
          <w:sz w:val="20"/>
          <w:szCs w:val="20"/>
          <w:color w:val="auto"/>
        </w:rPr>
      </w:pPr>
      <w:r>
        <w:rPr>
          <w:rFonts w:ascii="Courier New" w:cs="Courier New" w:eastAsia="Courier New" w:hAnsi="Courier New"/>
          <w:sz w:val="14"/>
          <w:szCs w:val="14"/>
          <w:color w:val="auto"/>
        </w:rPr>
        <w:t>representing Common Shares by acceptance thereof agrees to comply in all respects with the provisions of this section 6. Prior to any proposed sale, pledge, assignment or transfer of any Common Shares (other than a transfer not involving a change in beneficial ownership) unless there is in effect a registration statement under the Securities Act covering the proposed transfer, the holder thereof shall give written notice to the Company of such holder's intention to effect such transfer, sale, assignment or pledge. Each such notice shall describe the manner and circumstances of the proposed transfer, sale, assignment or pledge in sufficient detail, and shall be accompanied, at such holder's expense by either (i) an unqualified written opinion of legal counsel who shall, and whose legal opinion shall, be reasonably satisfactory to the Company addressed to the Company, to the effect that the proposed transfer of the Common Shares may be effected without registration under the Securities Act, or (ii) a "no action" letter from the</w:t>
      </w:r>
    </w:p>
    <w:p>
      <w:pPr>
        <w:spacing w:after="0" w:line="2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598" w:right="1440" w:bottom="1440" w:gutter="0" w:footer="0" w:header="0"/>
        </w:sectPr>
      </w:pPr>
    </w:p>
    <w:bookmarkStart w:id="133" w:name="page134"/>
    <w:bookmarkEnd w:id="133"/>
    <w:p>
      <w:pPr>
        <w:ind w:right="3319"/>
        <w:spacing w:after="0" w:line="267" w:lineRule="auto"/>
        <w:rPr>
          <w:sz w:val="20"/>
          <w:szCs w:val="20"/>
          <w:color w:val="auto"/>
        </w:rPr>
      </w:pPr>
      <w:r>
        <w:rPr>
          <w:rFonts w:ascii="Courier New" w:cs="Courier New" w:eastAsia="Courier New" w:hAnsi="Courier New"/>
          <w:sz w:val="14"/>
          <w:szCs w:val="14"/>
          <w:color w:val="auto"/>
        </w:rPr>
        <w:t>Commission to the effect that the transfer of such securities without registration will not result in a recommendation by the staff of the Commission that action be taken with respect thereto, whereupon the holder of such Common Shares shall be entitled to transfer such Common Shares in accordance with the terms of the notice delivered by the holder to the Company. Each certificate evidencing the Common Shares transferred as above provided shall bear, unless such transfer is made pursuant to an effective registration statement, the appropriate restrictive legend set forth in section 5 above, except that such certificate shall not bear such restrictive legend if in the opinion of counsel for such holder and the Company such legend is not required in order to establish compliance with any provision of the Securities Act.</w:t>
      </w:r>
    </w:p>
    <w:p>
      <w:pPr>
        <w:spacing w:after="0" w:line="78" w:lineRule="exact"/>
        <w:rPr>
          <w:sz w:val="20"/>
          <w:szCs w:val="20"/>
          <w:color w:val="auto"/>
        </w:rPr>
      </w:pPr>
    </w:p>
    <w:p>
      <w:pPr>
        <w:ind w:left="1320" w:hanging="436"/>
        <w:spacing w:after="0"/>
        <w:tabs>
          <w:tab w:leader="none" w:pos="132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Rules 144 and 144A.  The Company shall timely file the reports</w:t>
      </w:r>
    </w:p>
    <w:p>
      <w:pPr>
        <w:spacing w:after="0" w:line="24" w:lineRule="exact"/>
        <w:rPr>
          <w:rFonts w:ascii="Courier New" w:cs="Courier New" w:eastAsia="Courier New" w:hAnsi="Courier New"/>
          <w:sz w:val="15"/>
          <w:szCs w:val="15"/>
          <w:color w:val="auto"/>
        </w:rPr>
      </w:pP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399"/>
        <w:spacing w:after="0" w:line="254" w:lineRule="auto"/>
        <w:rPr>
          <w:sz w:val="20"/>
          <w:szCs w:val="20"/>
          <w:color w:val="auto"/>
        </w:rPr>
      </w:pPr>
      <w:r>
        <w:rPr>
          <w:rFonts w:ascii="Courier New" w:cs="Courier New" w:eastAsia="Courier New" w:hAnsi="Courier New"/>
          <w:sz w:val="14"/>
          <w:szCs w:val="14"/>
          <w:color w:val="auto"/>
        </w:rPr>
        <w:t>required to be filed by it under the Securities Act and the Exchange Act (including but not limited to the reports under sections 13 and 15(d) of the Exchange Act referred to in subparagraph (c) of Rule 144 adopted by the Commission under the Securities Act) and the rules and regulations adopted by the Commission thereunder (or, if the Company is not required to file such reports, will, upon the request of CIBC, make publicly available other information) and will take such further action as CIBC may reasonably request, all to the extent required from time to time to enable CIBC to sell the Common Shares without registration under the Securities Act within the limitation of the exemptions provided by (a) Rule 144 or Rule 144A under the Securities Act,</w:t>
      </w:r>
    </w:p>
    <w:p>
      <w:pPr>
        <w:spacing w:after="0" w:line="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as such Rule may be amended from time to time, or (b) any similar rule or</w:t>
      </w:r>
    </w:p>
    <w:p>
      <w:pPr>
        <w:ind w:left="4380"/>
        <w:spacing w:after="0" w:line="238" w:lineRule="auto"/>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regulation hereafter adopted by the Commission.</w:t>
      </w:r>
    </w:p>
    <w:p>
      <w:pPr>
        <w:spacing w:after="0" w:line="140" w:lineRule="exact"/>
        <w:rPr>
          <w:sz w:val="20"/>
          <w:szCs w:val="20"/>
          <w:color w:val="auto"/>
        </w:rPr>
      </w:pPr>
    </w:p>
    <w:p>
      <w:pPr>
        <w:ind w:left="1320" w:hanging="436"/>
        <w:spacing w:after="0"/>
        <w:tabs>
          <w:tab w:leader="none" w:pos="132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and Waivers.  This Agreement may be amended only with</w:t>
      </w:r>
    </w:p>
    <w:p>
      <w:pPr>
        <w:spacing w:after="0" w:line="35" w:lineRule="exact"/>
        <w:rPr>
          <w:rFonts w:ascii="Courier New" w:cs="Courier New" w:eastAsia="Courier New" w:hAnsi="Courier New"/>
          <w:sz w:val="14"/>
          <w:szCs w:val="14"/>
          <w:color w:val="auto"/>
        </w:rPr>
      </w:pPr>
    </w:p>
    <w:p>
      <w:pPr>
        <w:ind w:left="13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the written consent of the parties hereto.</w:t>
      </w:r>
    </w:p>
    <w:p>
      <w:pPr>
        <w:spacing w:after="0" w:line="140" w:lineRule="exact"/>
        <w:rPr>
          <w:sz w:val="20"/>
          <w:szCs w:val="20"/>
          <w:color w:val="auto"/>
        </w:rPr>
      </w:pPr>
    </w:p>
    <w:p>
      <w:pPr>
        <w:ind w:left="1320" w:hanging="436"/>
        <w:spacing w:after="0"/>
        <w:tabs>
          <w:tab w:leader="none" w:pos="132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Except as otherwise provided in this Agreement, all</w:t>
      </w:r>
    </w:p>
    <w:p>
      <w:pPr>
        <w:spacing w:after="0" w:line="24" w:lineRule="exact"/>
        <w:rPr>
          <w:rFonts w:ascii="Courier New" w:cs="Courier New" w:eastAsia="Courier New" w:hAnsi="Courier New"/>
          <w:sz w:val="15"/>
          <w:szCs w:val="15"/>
          <w:color w:val="auto"/>
        </w:rPr>
      </w:pP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319"/>
        <w:spacing w:after="0" w:line="254" w:lineRule="auto"/>
        <w:rPr>
          <w:sz w:val="20"/>
          <w:szCs w:val="20"/>
          <w:color w:val="auto"/>
        </w:rPr>
      </w:pPr>
      <w:r>
        <w:rPr>
          <w:rFonts w:ascii="Courier New" w:cs="Courier New" w:eastAsia="Courier New" w:hAnsi="Courier New"/>
          <w:sz w:val="14"/>
          <w:szCs w:val="14"/>
          <w:color w:val="auto"/>
        </w:rPr>
        <w:t>notices, requests and other communications to any Person provided for hereunder shall be in writing and shall be given to such Person (a) in the case of CIBC,</w:t>
      </w:r>
    </w:p>
    <w:p>
      <w:pPr>
        <w:jc w:val="center"/>
        <w:ind w:right="519"/>
        <w:spacing w:after="0" w:line="238" w:lineRule="auto"/>
        <w:rPr>
          <w:sz w:val="20"/>
          <w:szCs w:val="20"/>
          <w:color w:val="auto"/>
        </w:rPr>
      </w:pPr>
      <w:r>
        <w:rPr>
          <w:rFonts w:ascii="Courier New" w:cs="Courier New" w:eastAsia="Courier New" w:hAnsi="Courier New"/>
          <w:sz w:val="15"/>
          <w:szCs w:val="15"/>
          <w:color w:val="auto"/>
        </w:rPr>
        <w:t>-</w:t>
      </w:r>
    </w:p>
    <w:p>
      <w:pPr>
        <w:ind w:right="3239"/>
        <w:spacing w:after="0" w:line="254" w:lineRule="auto"/>
        <w:rPr>
          <w:sz w:val="20"/>
          <w:szCs w:val="20"/>
          <w:color w:val="auto"/>
        </w:rPr>
      </w:pPr>
      <w:r>
        <w:rPr>
          <w:rFonts w:ascii="Courier New" w:cs="Courier New" w:eastAsia="Courier New" w:hAnsi="Courier New"/>
          <w:sz w:val="14"/>
          <w:szCs w:val="14"/>
          <w:color w:val="auto"/>
        </w:rPr>
        <w:t>at 161 Bay Street, 5th Floor, Toronto, Ontario, Canada, M5J 2S8 to the attention of its Office of General Counsel, with copies to Alexander Bakal at Canadian Imperial Bank of Commerce, 425 Lexington Avenue, New York, New York 10017 and to John W. Osborn at Skadden, Arps, Slate, Meagher &amp; Flom, 919 Third Avenue, New York, New York 10023, or at such other address, or to the attention of such other officer, as CIBC shall have furnished to the Company, or (b) in the case</w:t>
      </w:r>
    </w:p>
    <w:p>
      <w:pPr>
        <w:ind w:left="5600"/>
        <w:spacing w:after="0"/>
        <w:rPr>
          <w:sz w:val="20"/>
          <w:szCs w:val="20"/>
          <w:color w:val="auto"/>
        </w:rPr>
      </w:pPr>
      <w:r>
        <w:rPr>
          <w:rFonts w:ascii="Courier New" w:cs="Courier New" w:eastAsia="Courier New" w:hAnsi="Courier New"/>
          <w:sz w:val="15"/>
          <w:szCs w:val="15"/>
          <w:color w:val="auto"/>
        </w:rPr>
        <w:t>-</w:t>
      </w:r>
    </w:p>
    <w:p>
      <w:pPr>
        <w:ind w:right="3239"/>
        <w:spacing w:after="0" w:line="254" w:lineRule="auto"/>
        <w:rPr>
          <w:sz w:val="20"/>
          <w:szCs w:val="20"/>
          <w:color w:val="auto"/>
        </w:rPr>
      </w:pPr>
      <w:r>
        <w:rPr>
          <w:rFonts w:ascii="Courier New" w:cs="Courier New" w:eastAsia="Courier New" w:hAnsi="Courier New"/>
          <w:sz w:val="14"/>
          <w:szCs w:val="14"/>
          <w:color w:val="auto"/>
        </w:rPr>
        <w:t>of the Company, at 8000 South Federal Way, P.O. Box 6, Boise, Idaho 83707 to the attention of its General Counsel, or at such other address, or to the attention of such other officer, as the Company shall have furnished to CIBC. Each such notice, request or other communication shall be effective (i) if given by mail,</w:t>
      </w:r>
    </w:p>
    <w:p>
      <w:pPr>
        <w:jc w:val="center"/>
        <w:ind w:right="-18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72 hours after such communication is deposited in the mails</w:t>
      </w:r>
    </w:p>
    <w:p>
      <w:pPr>
        <w:spacing w:after="0" w:line="1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597" w:right="1440" w:bottom="1440" w:gutter="0" w:footer="0" w:header="0"/>
        </w:sectPr>
      </w:pPr>
    </w:p>
    <w:bookmarkStart w:id="134" w:name="page135"/>
    <w:bookmarkEnd w:id="134"/>
    <w:p>
      <w:pPr>
        <w:spacing w:after="0"/>
        <w:rPr>
          <w:sz w:val="20"/>
          <w:szCs w:val="20"/>
          <w:color w:val="auto"/>
        </w:rPr>
      </w:pPr>
      <w:r>
        <w:rPr>
          <w:rFonts w:ascii="Courier New" w:cs="Courier New" w:eastAsia="Courier New" w:hAnsi="Courier New"/>
          <w:sz w:val="14"/>
          <w:szCs w:val="14"/>
          <w:color w:val="auto"/>
        </w:rPr>
        <w:t>with first class postage prepaid, addressed as aforesaid or (ii) if given by any</w:t>
      </w:r>
    </w:p>
    <w:p>
      <w:pPr>
        <w:spacing w:after="0" w:line="34" w:lineRule="exact"/>
        <w:rPr>
          <w:sz w:val="20"/>
          <w:szCs w:val="20"/>
          <w:color w:val="auto"/>
        </w:rPr>
      </w:pPr>
    </w:p>
    <w:p>
      <w:pPr>
        <w:ind w:left="5340"/>
        <w:spacing w:after="0"/>
        <w:rPr>
          <w:sz w:val="20"/>
          <w:szCs w:val="20"/>
          <w:color w:val="auto"/>
        </w:rPr>
      </w:pPr>
      <w:r>
        <w:rPr>
          <w:rFonts w:ascii="Courier New" w:cs="Courier New" w:eastAsia="Courier New" w:hAnsi="Courier New"/>
          <w:sz w:val="15"/>
          <w:szCs w:val="15"/>
          <w:color w:val="auto"/>
        </w:rPr>
        <w:t>--</w:t>
      </w:r>
    </w:p>
    <w:p>
      <w:pPr>
        <w:ind w:right="3399"/>
        <w:spacing w:after="0" w:line="307" w:lineRule="auto"/>
        <w:rPr>
          <w:sz w:val="20"/>
          <w:szCs w:val="20"/>
          <w:color w:val="auto"/>
        </w:rPr>
      </w:pPr>
      <w:r>
        <w:rPr>
          <w:rFonts w:ascii="Courier New" w:cs="Courier New" w:eastAsia="Courier New" w:hAnsi="Courier New"/>
          <w:sz w:val="15"/>
          <w:szCs w:val="15"/>
          <w:color w:val="auto"/>
        </w:rPr>
        <w:t>other means (including, without limitation, by air courier), when delivered at the address specified above.</w:t>
      </w:r>
    </w:p>
    <w:p>
      <w:pPr>
        <w:spacing w:after="0" w:line="44" w:lineRule="exact"/>
        <w:rPr>
          <w:sz w:val="20"/>
          <w:szCs w:val="20"/>
          <w:color w:val="auto"/>
        </w:rPr>
      </w:pPr>
    </w:p>
    <w:p>
      <w:pPr>
        <w:ind w:left="1320" w:hanging="436"/>
        <w:spacing w:after="0"/>
        <w:tabs>
          <w:tab w:leader="none" w:pos="132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This Agreement shall be binding upon and inure to</w:t>
      </w:r>
    </w:p>
    <w:p>
      <w:pPr>
        <w:spacing w:after="0" w:line="24" w:lineRule="exact"/>
        <w:rPr>
          <w:rFonts w:ascii="Courier New" w:cs="Courier New" w:eastAsia="Courier New" w:hAnsi="Courier New"/>
          <w:sz w:val="15"/>
          <w:szCs w:val="15"/>
          <w:color w:val="auto"/>
        </w:rPr>
      </w:pP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579"/>
        <w:spacing w:after="0" w:line="307" w:lineRule="auto"/>
        <w:rPr>
          <w:sz w:val="20"/>
          <w:szCs w:val="20"/>
          <w:color w:val="auto"/>
        </w:rPr>
      </w:pPr>
      <w:r>
        <w:rPr>
          <w:rFonts w:ascii="Courier New" w:cs="Courier New" w:eastAsia="Courier New" w:hAnsi="Courier New"/>
          <w:sz w:val="15"/>
          <w:szCs w:val="15"/>
          <w:color w:val="auto"/>
        </w:rPr>
        <w:t>the benefit of and be enforceable by the parties hereto and their respective succes sors and assigns.</w:t>
      </w:r>
    </w:p>
    <w:p>
      <w:pPr>
        <w:spacing w:after="0" w:line="44" w:lineRule="exact"/>
        <w:rPr>
          <w:sz w:val="20"/>
          <w:szCs w:val="20"/>
          <w:color w:val="auto"/>
        </w:rPr>
      </w:pPr>
    </w:p>
    <w:p>
      <w:pPr>
        <w:ind w:left="1320" w:hanging="436"/>
        <w:spacing w:after="0"/>
        <w:tabs>
          <w:tab w:leader="none" w:pos="132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Descriptive Headings.  The descriptive headings of the several</w:t>
      </w:r>
    </w:p>
    <w:p>
      <w:pPr>
        <w:spacing w:after="0" w:line="2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ind w:right="3499"/>
        <w:spacing w:after="0" w:line="307" w:lineRule="auto"/>
        <w:rPr>
          <w:sz w:val="20"/>
          <w:szCs w:val="20"/>
          <w:color w:val="auto"/>
        </w:rPr>
      </w:pPr>
      <w:r>
        <w:rPr>
          <w:rFonts w:ascii="Courier New" w:cs="Courier New" w:eastAsia="Courier New" w:hAnsi="Courier New"/>
          <w:sz w:val="15"/>
          <w:szCs w:val="15"/>
          <w:color w:val="auto"/>
        </w:rPr>
        <w:t>sections and paragraphs of this Agreement are inserted for reference only and shall not limit or otherwise affect the meaning hereof.</w:t>
      </w:r>
    </w:p>
    <w:p>
      <w:pPr>
        <w:spacing w:after="0" w:line="44" w:lineRule="exact"/>
        <w:rPr>
          <w:sz w:val="20"/>
          <w:szCs w:val="20"/>
          <w:color w:val="auto"/>
        </w:rPr>
      </w:pPr>
    </w:p>
    <w:p>
      <w:pPr>
        <w:ind w:left="1320" w:hanging="436"/>
        <w:spacing w:after="0"/>
        <w:tabs>
          <w:tab w:leader="none" w:pos="132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CON STRUED AND ENFORCED</w:t>
      </w:r>
    </w:p>
    <w:p>
      <w:pPr>
        <w:spacing w:after="0" w:line="24" w:lineRule="exact"/>
        <w:rPr>
          <w:rFonts w:ascii="Courier New" w:cs="Courier New" w:eastAsia="Courier New" w:hAnsi="Courier New"/>
          <w:sz w:val="15"/>
          <w:szCs w:val="15"/>
          <w:color w:val="auto"/>
        </w:rPr>
      </w:pP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jc w:val="both"/>
        <w:ind w:right="3239"/>
        <w:spacing w:after="0" w:line="346" w:lineRule="auto"/>
        <w:rPr>
          <w:sz w:val="20"/>
          <w:szCs w:val="20"/>
          <w:color w:val="auto"/>
        </w:rPr>
      </w:pPr>
      <w:r>
        <w:rPr>
          <w:rFonts w:ascii="Courier New" w:cs="Courier New" w:eastAsia="Courier New" w:hAnsi="Courier New"/>
          <w:sz w:val="14"/>
          <w:szCs w:val="14"/>
          <w:color w:val="auto"/>
        </w:rPr>
        <w:t>IN ACCORDANCE WITH, AND THE RIGHTS OF THE PARTIES SHALL BE GOVERNED BY, THE LAWS OF THE STATE OF IDAHO WITHOUT REFERENCE TO THE PRINCIPLES OF CONFLICTS OF LAWS.</w:t>
      </w:r>
    </w:p>
    <w:p>
      <w:pPr>
        <w:spacing w:after="0" w:line="21" w:lineRule="exact"/>
        <w:rPr>
          <w:sz w:val="20"/>
          <w:szCs w:val="20"/>
          <w:color w:val="auto"/>
        </w:rPr>
      </w:pPr>
    </w:p>
    <w:p>
      <w:pPr>
        <w:ind w:left="1320" w:hanging="436"/>
        <w:spacing w:after="0"/>
        <w:tabs>
          <w:tab w:leader="none" w:pos="132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simultaneously in</w:t>
      </w:r>
    </w:p>
    <w:p>
      <w:pPr>
        <w:spacing w:after="0" w:line="24" w:lineRule="exact"/>
        <w:rPr>
          <w:rFonts w:ascii="Courier New" w:cs="Courier New" w:eastAsia="Courier New" w:hAnsi="Courier New"/>
          <w:sz w:val="15"/>
          <w:szCs w:val="15"/>
          <w:color w:val="auto"/>
        </w:rPr>
      </w:pP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399"/>
        <w:spacing w:after="0" w:line="346" w:lineRule="auto"/>
        <w:rPr>
          <w:sz w:val="20"/>
          <w:szCs w:val="20"/>
          <w:color w:val="auto"/>
        </w:rPr>
      </w:pPr>
      <w:r>
        <w:rPr>
          <w:rFonts w:ascii="Courier New" w:cs="Courier New" w:eastAsia="Courier New" w:hAnsi="Courier New"/>
          <w:sz w:val="14"/>
          <w:szCs w:val="14"/>
          <w:color w:val="auto"/>
        </w:rPr>
        <w:t>any number of counterparts, each of which shall be deemed an original, but all such counterparts shall together constitute one and the same instrument.</w:t>
      </w:r>
    </w:p>
    <w:p>
      <w:pPr>
        <w:spacing w:after="0" w:line="21" w:lineRule="exact"/>
        <w:rPr>
          <w:sz w:val="20"/>
          <w:szCs w:val="20"/>
          <w:color w:val="auto"/>
        </w:rPr>
      </w:pPr>
    </w:p>
    <w:p>
      <w:pPr>
        <w:ind w:left="1320" w:hanging="436"/>
        <w:spacing w:after="0"/>
        <w:tabs>
          <w:tab w:leader="none" w:pos="132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embodies the entire agreement</w:t>
      </w:r>
    </w:p>
    <w:p>
      <w:pPr>
        <w:spacing w:after="0" w:line="2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ind w:right="3239"/>
        <w:spacing w:after="0" w:line="272" w:lineRule="auto"/>
        <w:rPr>
          <w:sz w:val="20"/>
          <w:szCs w:val="20"/>
          <w:color w:val="auto"/>
        </w:rPr>
      </w:pPr>
      <w:r>
        <w:rPr>
          <w:rFonts w:ascii="Courier New" w:cs="Courier New" w:eastAsia="Courier New" w:hAnsi="Courier New"/>
          <w:sz w:val="15"/>
          <w:szCs w:val="15"/>
          <w:color w:val="auto"/>
        </w:rPr>
        <w:t>and understanding between the Company and each other party hereto relating to the subject matter hereof and supersedes all prior agreements and understandings relating to such subject matter.</w:t>
      </w:r>
    </w:p>
    <w:p>
      <w:pPr>
        <w:spacing w:after="0" w:line="69" w:lineRule="exact"/>
        <w:rPr>
          <w:sz w:val="20"/>
          <w:szCs w:val="20"/>
          <w:color w:val="auto"/>
        </w:rPr>
      </w:pPr>
    </w:p>
    <w:p>
      <w:pPr>
        <w:ind w:left="1320" w:hanging="436"/>
        <w:spacing w:after="0"/>
        <w:tabs>
          <w:tab w:leader="none" w:pos="132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SUBMISSION TO JURISDICTION.  ANY LEGAL ACTION OR PROCEEDING WITH</w:t>
      </w:r>
    </w:p>
    <w:p>
      <w:pPr>
        <w:spacing w:after="0" w:line="35" w:lineRule="exact"/>
        <w:rPr>
          <w:rFonts w:ascii="Courier New" w:cs="Courier New" w:eastAsia="Courier New" w:hAnsi="Courier New"/>
          <w:sz w:val="14"/>
          <w:szCs w:val="14"/>
          <w:color w:val="auto"/>
        </w:rPr>
      </w:pPr>
    </w:p>
    <w:p>
      <w:pPr>
        <w:ind w:left="13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right="3239"/>
        <w:spacing w:after="0" w:line="266" w:lineRule="auto"/>
        <w:rPr>
          <w:sz w:val="20"/>
          <w:szCs w:val="20"/>
          <w:color w:val="auto"/>
        </w:rPr>
      </w:pPr>
      <w:r>
        <w:rPr>
          <w:rFonts w:ascii="Courier New" w:cs="Courier New" w:eastAsia="Courier New" w:hAnsi="Courier New"/>
          <w:sz w:val="14"/>
          <w:szCs w:val="14"/>
          <w:color w:val="auto"/>
        </w:rPr>
        <w:t>RESPECT TO THIS AGREEMENT MAY BE BROUGHT IN THE COURTS OF THE STATE OF IDAHO OR NEW YORK OR OF THE UNITED STATES OF AMERICA FOR THE DISTRICT OF IDAHO OR THE SOUTHERN DISTRICT OF NEW YORK, AND, BY EXECUTION AND DELIVERY OF THIS AGREEMENT, THE PARTIES HEREBY ACCEPT FOR THEMSELVES AND IN RESPECT OF THEIR PROPERTY, GENERALLY AND UNCONDITIONALLY, THE JURISDICTION OF THE AFORESAID COURTS AND APPELLATE COURTS FROM ANY THEREOF. EACH PARTY HERETO HEREBY IRREVOCABLY CONSENTS TO THE SERVICE OF PROCESS OUT OF ANY OF THE AFOREMENTIONED COURTS IN ANY ACTION OR PROCEEDING BY THE MAILING OF COPIES THEREOF TO SUCH PARTY BY REGISTERED OR CERTIFIED MAIL, POSTAGE PREPAID, RETURN RECEIPT REQUESTED, TO</w:t>
      </w:r>
    </w:p>
    <w:p>
      <w:pPr>
        <w:spacing w:after="0" w:line="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598" w:right="1440" w:bottom="1440" w:gutter="0" w:footer="0" w:header="0"/>
        </w:sectPr>
      </w:pPr>
    </w:p>
    <w:bookmarkStart w:id="135" w:name="page136"/>
    <w:bookmarkEnd w:id="135"/>
    <w:p>
      <w:pPr>
        <w:ind w:right="3239"/>
        <w:spacing w:after="0" w:line="264" w:lineRule="auto"/>
        <w:rPr>
          <w:sz w:val="20"/>
          <w:szCs w:val="20"/>
          <w:color w:val="auto"/>
        </w:rPr>
      </w:pPr>
      <w:r>
        <w:rPr>
          <w:rFonts w:ascii="Courier New" w:cs="Courier New" w:eastAsia="Courier New" w:hAnsi="Courier New"/>
          <w:sz w:val="14"/>
          <w:szCs w:val="14"/>
          <w:color w:val="auto"/>
        </w:rPr>
        <w:t>SUCH PARTY AT ITS ADDRESS SPECIFIED IN SECTION 9. THE PARTIES HERETO HEREBY IRREVOCABLY WAIVE TRIAL BY JURY, AND THE PARTIES HEREBY IRREVOCABLY WAIVE ANY OBJECTION, INCLUDING, WITHOUT LIMITATION, ANY OBJECTION TO THE LAYING OF VENUE OR BASED ON THE GROUNDS OF FORUM NON CONVENIENS, WHICH THEY MAY NOW OR HEREAFTER</w:t>
      </w:r>
    </w:p>
    <w:p>
      <w:pPr>
        <w:ind w:left="2380"/>
        <w:spacing w:after="0"/>
        <w:rPr>
          <w:sz w:val="20"/>
          <w:szCs w:val="20"/>
          <w:color w:val="auto"/>
        </w:rPr>
      </w:pPr>
      <w:r>
        <w:rPr>
          <w:rFonts w:ascii="Courier New" w:cs="Courier New" w:eastAsia="Courier New" w:hAnsi="Courier New"/>
          <w:sz w:val="15"/>
          <w:szCs w:val="15"/>
          <w:color w:val="auto"/>
        </w:rPr>
        <w:t>--------------------</w:t>
      </w:r>
    </w:p>
    <w:p>
      <w:pPr>
        <w:ind w:right="3939"/>
        <w:spacing w:after="0" w:line="307" w:lineRule="auto"/>
        <w:rPr>
          <w:sz w:val="20"/>
          <w:szCs w:val="20"/>
          <w:color w:val="auto"/>
        </w:rPr>
      </w:pPr>
      <w:r>
        <w:rPr>
          <w:rFonts w:ascii="Courier New" w:cs="Courier New" w:eastAsia="Courier New" w:hAnsi="Courier New"/>
          <w:sz w:val="15"/>
          <w:szCs w:val="15"/>
          <w:color w:val="auto"/>
        </w:rPr>
        <w:t>HAVE TO THE BRINGING OF ANY SUCH ACTION OR PROCEEDING IN SUCH RESPECTIVE JURISDICTIONS.</w:t>
      </w:r>
    </w:p>
    <w:p>
      <w:pPr>
        <w:spacing w:after="0" w:line="44" w:lineRule="exact"/>
        <w:rPr>
          <w:sz w:val="20"/>
          <w:szCs w:val="20"/>
          <w:color w:val="auto"/>
        </w:rPr>
      </w:pPr>
    </w:p>
    <w:p>
      <w:pPr>
        <w:ind w:left="1320" w:hanging="436"/>
        <w:spacing w:after="0"/>
        <w:tabs>
          <w:tab w:leader="none" w:pos="132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provision of this Agreement, or the</w:t>
      </w:r>
    </w:p>
    <w:p>
      <w:pPr>
        <w:spacing w:after="0" w:line="24" w:lineRule="exact"/>
        <w:rPr>
          <w:rFonts w:ascii="Courier New" w:cs="Courier New" w:eastAsia="Courier New" w:hAnsi="Courier New"/>
          <w:sz w:val="15"/>
          <w:szCs w:val="15"/>
          <w:color w:val="auto"/>
        </w:rPr>
      </w:pP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319"/>
        <w:spacing w:after="0" w:line="260" w:lineRule="auto"/>
        <w:rPr>
          <w:sz w:val="20"/>
          <w:szCs w:val="20"/>
          <w:color w:val="auto"/>
        </w:rPr>
      </w:pPr>
      <w:r>
        <w:rPr>
          <w:rFonts w:ascii="Courier New" w:cs="Courier New" w:eastAsia="Courier New" w:hAnsi="Courier New"/>
          <w:sz w:val="15"/>
          <w:szCs w:val="15"/>
          <w:color w:val="auto"/>
        </w:rPr>
        <w:t>application of such provisions to any Person or circumstance, shall be held invalid, the remainder of this Agreement, or the application of such provision to Persons or circumstances other than those to which it is held invalid, shall not be affected thereby.</w:t>
      </w:r>
    </w:p>
    <w:p>
      <w:pPr>
        <w:spacing w:after="0" w:line="79" w:lineRule="exact"/>
        <w:rPr>
          <w:sz w:val="20"/>
          <w:szCs w:val="20"/>
          <w:color w:val="auto"/>
        </w:rPr>
      </w:pPr>
    </w:p>
    <w:p>
      <w:pPr>
        <w:ind w:left="1320" w:hanging="436"/>
        <w:spacing w:after="0"/>
        <w:tabs>
          <w:tab w:leader="none" w:pos="132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Enforceability and Validity.  In addition to all other actions</w:t>
      </w:r>
    </w:p>
    <w:p>
      <w:pPr>
        <w:spacing w:after="0" w:line="24" w:lineRule="exact"/>
        <w:rPr>
          <w:rFonts w:ascii="Courier New" w:cs="Courier New" w:eastAsia="Courier New" w:hAnsi="Courier New"/>
          <w:sz w:val="15"/>
          <w:szCs w:val="15"/>
          <w:color w:val="auto"/>
        </w:rPr>
      </w:pP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239"/>
        <w:spacing w:after="0" w:line="249" w:lineRule="auto"/>
        <w:rPr>
          <w:sz w:val="20"/>
          <w:szCs w:val="20"/>
          <w:color w:val="auto"/>
        </w:rPr>
      </w:pPr>
      <w:r>
        <w:rPr>
          <w:rFonts w:ascii="Courier New" w:cs="Courier New" w:eastAsia="Courier New" w:hAnsi="Courier New"/>
          <w:sz w:val="15"/>
          <w:szCs w:val="15"/>
          <w:color w:val="auto"/>
        </w:rPr>
        <w:t>necessary to make this Agreement a valid, binding and enforceable agreement among the parties, Micron shall have first received (or shall receive contemporaneous with the execution of this Agreement) an opinion satisfactory to Micron from outside counsel to Simplot that the pledge of the Common Shares pursuant to the Pledge Agreement, the Loan Agreement and the Master Agreement, shall not violate applicable securities laws and is exempt from registration under the Securities Act.</w:t>
      </w:r>
    </w:p>
    <w:p>
      <w:pPr>
        <w:spacing w:after="0" w:line="8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597" w:right="1440" w:bottom="1440" w:gutter="0" w:footer="0" w:header="0"/>
        </w:sectPr>
      </w:pPr>
    </w:p>
    <w:bookmarkStart w:id="136" w:name="page137"/>
    <w:bookmarkEnd w:id="136"/>
    <w:p>
      <w:pPr>
        <w:ind w:right="3239" w:firstLine="875"/>
        <w:spacing w:after="0" w:line="290" w:lineRule="auto"/>
        <w:rPr>
          <w:sz w:val="20"/>
          <w:szCs w:val="20"/>
          <w:color w:val="auto"/>
        </w:rPr>
      </w:pPr>
      <w:r>
        <w:rPr>
          <w:rFonts w:ascii="Courier New" w:cs="Courier New" w:eastAsia="Courier New" w:hAnsi="Courier New"/>
          <w:sz w:val="15"/>
          <w:szCs w:val="15"/>
          <w:color w:val="auto"/>
        </w:rPr>
        <w:t>IN WITNESS WHEREOF, the parties have caused this Agreement to be executed and delivered by their respective officers thereunto duly authorized as of the date first above written.</w:t>
      </w:r>
    </w:p>
    <w:p>
      <w:pPr>
        <w:spacing w:after="0" w:line="5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MICRON TECHNOLOGY, INC.</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By /s/ Steven R. Appleton</w:t>
      </w:r>
    </w:p>
    <w:p>
      <w:pPr>
        <w:spacing w:after="0" w:line="2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ind w:left="2200"/>
        <w:spacing w:after="0"/>
        <w:rPr>
          <w:sz w:val="20"/>
          <w:szCs w:val="20"/>
          <w:color w:val="auto"/>
        </w:rPr>
      </w:pPr>
      <w:r>
        <w:rPr>
          <w:rFonts w:ascii="Courier New" w:cs="Courier New" w:eastAsia="Courier New" w:hAnsi="Courier New"/>
          <w:sz w:val="15"/>
          <w:szCs w:val="15"/>
          <w:color w:val="auto"/>
        </w:rPr>
        <w:t>Title:</w:t>
      </w:r>
    </w:p>
    <w:p>
      <w:pPr>
        <w:spacing w:after="0" w:line="30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CANADIAN IMPERIAL BANK OF COMMERCE</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By /s/ Eric Claus</w:t>
      </w:r>
    </w:p>
    <w:p>
      <w:pPr>
        <w:spacing w:after="0" w:line="2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ind w:left="2200"/>
        <w:spacing w:after="0"/>
        <w:rPr>
          <w:sz w:val="20"/>
          <w:szCs w:val="20"/>
          <w:color w:val="auto"/>
        </w:rPr>
      </w:pPr>
      <w:r>
        <w:rPr>
          <w:rFonts w:ascii="Courier New" w:cs="Courier New" w:eastAsia="Courier New" w:hAnsi="Courier New"/>
          <w:sz w:val="15"/>
          <w:szCs w:val="15"/>
          <w:color w:val="auto"/>
        </w:rPr>
        <w:t>Title: Managing Director</w:t>
      </w:r>
    </w:p>
    <w:p>
      <w:pPr>
        <w:spacing w:after="0" w:line="1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598" w:right="1440" w:bottom="1440" w:gutter="0" w:footer="0" w:header="0"/>
        </w:sectPr>
      </w:pPr>
    </w:p>
    <w:bookmarkStart w:id="137" w:name="page138"/>
    <w:bookmarkEnd w:id="137"/>
    <w:p>
      <w:pPr>
        <w:jc w:val="right"/>
        <w:ind w:right="3239"/>
        <w:spacing w:after="0"/>
        <w:rPr>
          <w:sz w:val="20"/>
          <w:szCs w:val="20"/>
          <w:color w:val="auto"/>
        </w:rPr>
      </w:pPr>
      <w:r>
        <w:rPr>
          <w:rFonts w:ascii="Courier New" w:cs="Courier New" w:eastAsia="Courier New" w:hAnsi="Courier New"/>
          <w:sz w:val="15"/>
          <w:szCs w:val="15"/>
          <w:color w:val="auto"/>
        </w:rPr>
        <w:t>EXHIBIT 10.118</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Irrevocable Proxy</w:t>
      </w:r>
    </w:p>
    <w:p>
      <w:pPr>
        <w:spacing w:after="0" w:line="24"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(Canadian Imperial Bank of Commerce)</w:t>
      </w:r>
    </w:p>
    <w:p>
      <w:pPr>
        <w:spacing w:after="0" w:line="140" w:lineRule="exact"/>
        <w:rPr>
          <w:sz w:val="20"/>
          <w:szCs w:val="20"/>
          <w:color w:val="auto"/>
        </w:rPr>
      </w:pPr>
    </w:p>
    <w:p>
      <w:pPr>
        <w:ind w:right="3239" w:firstLine="700"/>
        <w:spacing w:after="0" w:line="244" w:lineRule="auto"/>
        <w:rPr>
          <w:sz w:val="20"/>
          <w:szCs w:val="20"/>
          <w:color w:val="auto"/>
        </w:rPr>
      </w:pPr>
      <w:r>
        <w:rPr>
          <w:rFonts w:ascii="Courier New" w:cs="Courier New" w:eastAsia="Courier New" w:hAnsi="Courier New"/>
          <w:sz w:val="15"/>
          <w:szCs w:val="15"/>
          <w:color w:val="auto"/>
        </w:rPr>
        <w:t>Canadian Imperial Bank of Commerce ("CIBC"), a Canadian bank, hereby irrevocably appoints such persons to be serving from time to time as the Chairman of the Board of Micron Technology, Inc., a Delaware corporation ("Micron"), the Chief Financial Officer of Micron, and each of them alone, as his or her true and lawful proxy and attorney-in-fact, with full power of substitution and resubstitution (i) to represent J.R. Simplot Company, a Nevada corporation (the "Company"), at the annual meetings of the stockholders of Micron to be held in 1996, 1997, 1998, 1999, 2000, 2001 and 2002, and at any adjournment thereof, and to vote, in his or her discretion (including cumulatively, if required) 2,600,000 shares (the "Shares") of common stock, $.10 par value, of Micron held by the Company; (ii) to represent the Company at any special meeting of stockholders of Micron, and at any adjournment thereof, and to vote (including cumulatively, if required) all the Shares in his or her discretion; and (iii) to vote all the Shares in his or her discretion upon such other matter or matters which may properly come before the stockholders of Micron by written consent or otherwise.</w:t>
      </w:r>
    </w:p>
    <w:p>
      <w:pPr>
        <w:spacing w:after="0" w:line="95" w:lineRule="exact"/>
        <w:rPr>
          <w:sz w:val="20"/>
          <w:szCs w:val="20"/>
          <w:color w:val="auto"/>
        </w:rPr>
      </w:pPr>
    </w:p>
    <w:p>
      <w:pPr>
        <w:ind w:right="3239" w:firstLine="700"/>
        <w:spacing w:after="0" w:line="264" w:lineRule="auto"/>
        <w:rPr>
          <w:sz w:val="20"/>
          <w:szCs w:val="20"/>
          <w:color w:val="auto"/>
        </w:rPr>
      </w:pPr>
      <w:r>
        <w:rPr>
          <w:rFonts w:ascii="Courier New" w:cs="Courier New" w:eastAsia="Courier New" w:hAnsi="Courier New"/>
          <w:sz w:val="15"/>
          <w:szCs w:val="15"/>
          <w:color w:val="auto"/>
        </w:rPr>
        <w:t>This Irrevocable Proxy may be exercised at any time after the date hereof and prior to June 27, 2003, except that such proxy shall expire immediately upon the termination for any reason of the dividend swap transaction contemplated by the letter agreement by and between the Company and CIBC dated June 28, 1996.</w:t>
      </w:r>
    </w:p>
    <w:p>
      <w:pPr>
        <w:sectPr>
          <w:pgSz w:w="11900" w:h="16838" w:orient="portrait"/>
          <w:cols w:equalWidth="0" w:num="1">
            <w:col w:w="10239"/>
          </w:cols>
          <w:pgMar w:left="220" w:top="452" w:right="1440" w:bottom="1440" w:gutter="0" w:footer="0" w:header="0"/>
        </w:sectPr>
      </w:pP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June 28,1996</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CANADIAN IMPERIAL BANK OF</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COMMERCE</w:t>
      </w:r>
    </w:p>
    <w:p>
      <w:pPr>
        <w:spacing w:after="0" w:line="200" w:lineRule="exact"/>
        <w:rPr>
          <w:sz w:val="20"/>
          <w:szCs w:val="20"/>
          <w:color w:val="auto"/>
        </w:rPr>
      </w:pPr>
    </w:p>
    <w:p>
      <w:pPr>
        <w:sectPr>
          <w:pgSz w:w="11900" w:h="16838" w:orient="portrait"/>
          <w:cols w:equalWidth="0" w:num="2">
            <w:col w:w="3140" w:space="720"/>
            <w:col w:w="6379"/>
          </w:cols>
          <w:pgMar w:left="220" w:top="452" w:right="1440" w:bottom="1440" w:gutter="0" w:footer="0" w:header="0"/>
          <w:type w:val="continuous"/>
        </w:sectPr>
      </w:pPr>
    </w:p>
    <w:p>
      <w:pPr>
        <w:spacing w:after="0" w:line="10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By:/s/ Eric Claus</w:t>
      </w:r>
    </w:p>
    <w:p>
      <w:pPr>
        <w:spacing w:after="0" w:line="24"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Name: Eric Claus</w:t>
      </w:r>
    </w:p>
    <w:p>
      <w:pPr>
        <w:spacing w:after="0" w:line="24"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Title: Vice President</w:t>
      </w:r>
    </w:p>
    <w:p>
      <w:pPr>
        <w:spacing w:after="0" w:line="24" w:lineRule="exact"/>
        <w:rPr>
          <w:sz w:val="20"/>
          <w:szCs w:val="20"/>
          <w:color w:val="auto"/>
        </w:rPr>
      </w:pPr>
    </w:p>
    <w:p>
      <w:pPr>
        <w:ind w:left="438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 /s/ Bruce J. Berger</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Name: Bruce J. Berger</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10239"/>
          </w:cols>
          <w:pgMar w:left="220" w:top="452" w:right="1440" w:bottom="1440" w:gutter="0" w:footer="0" w:header="0"/>
          <w:type w:val="continuous"/>
        </w:sectPr>
      </w:pPr>
    </w:p>
    <w:bookmarkStart w:id="138" w:name="page139"/>
    <w:bookmarkEnd w:id="138"/>
    <w:p>
      <w:pPr>
        <w:ind w:left="5600"/>
        <w:spacing w:after="0"/>
        <w:rPr>
          <w:sz w:val="20"/>
          <w:szCs w:val="20"/>
          <w:color w:val="auto"/>
        </w:rPr>
      </w:pPr>
      <w:r>
        <w:rPr>
          <w:rFonts w:ascii="Courier New" w:cs="Courier New" w:eastAsia="Courier New" w:hAnsi="Courier New"/>
          <w:sz w:val="15"/>
          <w:szCs w:val="15"/>
          <w:color w:val="auto"/>
        </w:rPr>
        <w:t>EXHIBIT 10.119</w:t>
      </w:r>
    </w:p>
    <w:p>
      <w:pPr>
        <w:spacing w:after="0" w:line="33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Irrevocable Proxy</w:t>
      </w:r>
    </w:p>
    <w:p>
      <w:pPr>
        <w:spacing w:after="0" w:line="24"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(J.R. Simplot Company)</w:t>
      </w:r>
    </w:p>
    <w:p>
      <w:pPr>
        <w:spacing w:after="0" w:line="200" w:lineRule="exact"/>
        <w:rPr>
          <w:sz w:val="20"/>
          <w:szCs w:val="20"/>
          <w:color w:val="auto"/>
        </w:rPr>
      </w:pPr>
    </w:p>
    <w:p>
      <w:pPr>
        <w:spacing w:after="0" w:line="277" w:lineRule="exact"/>
        <w:rPr>
          <w:sz w:val="20"/>
          <w:szCs w:val="20"/>
          <w:color w:val="auto"/>
        </w:rPr>
      </w:pPr>
    </w:p>
    <w:p>
      <w:pPr>
        <w:ind w:right="3239" w:firstLine="700"/>
        <w:spacing w:after="0" w:line="260" w:lineRule="auto"/>
        <w:rPr>
          <w:sz w:val="20"/>
          <w:szCs w:val="20"/>
          <w:color w:val="auto"/>
        </w:rPr>
      </w:pPr>
      <w:r>
        <w:rPr>
          <w:rFonts w:ascii="Courier New" w:cs="Courier New" w:eastAsia="Courier New" w:hAnsi="Courier New"/>
          <w:sz w:val="14"/>
          <w:szCs w:val="14"/>
          <w:color w:val="auto"/>
        </w:rPr>
        <w:t>J.R. Simplot Company, a Nevada corporation (the "Company"), hereby irrevocably appoints such persons as may be serving from time to time as the Chairman of the Board of Micron Technology, Inc., a Delaware corporation ("Micron"), the Chief Financial Officer of Micron, and each of them alone, as its true and lawful proxy and attorney-in-fact, with full power of substitution and resubstitution (i) to represent the Company at the annual meetings of the stockholders of Micron to be held in 1996, 1997, 1998, 1999, 2000, 2001 and 2002, and at any adjournment thereof, and to vote, in its discretion (including cumulatively, if required) 5,000,000 shares (the "Shares") of common stock, $.10 par value, of Micron held by the Company and evidenced by certificate numbers MC38051, MC38054, MC38057, MC38061, MC38063, MC38067 and MC51861 (of which all the shares of Common Stock evidences by certificate numbers MC83051, MC38054, MC38057, MC38061 and MC38063, 882,500 shares of Common Stock evidenced by certificate number MC38067 and 1,244,750 shares of Common Stock evidenced by certificate number MC51861 are subject to this proxy) or any certificates issued to the Company as a replacement therefor; (ii) to represent the Company at any special meeting of stockholders of Micron, and at any adjournment thereof, and to vote (including cumulatively, if required) all the Shares in its discretion; and (iii) to vote all the Shares in its discretion upon such other matter or matters which may properly come before the stockholders of Micron by written consent or otherwise. The Company retains the voting rights with regard to the remaining 1,098,750 shares of Common Stock evidenced by certificate number MC38067 and the remaining 1,099,000 shares of Common Stock evidenced by certificate number MC51861.</w:t>
      </w:r>
    </w:p>
    <w:p>
      <w:pPr>
        <w:spacing w:after="0" w:line="253" w:lineRule="exact"/>
        <w:rPr>
          <w:sz w:val="20"/>
          <w:szCs w:val="20"/>
          <w:color w:val="auto"/>
        </w:rPr>
      </w:pPr>
    </w:p>
    <w:p>
      <w:pPr>
        <w:ind w:right="3239" w:firstLine="700"/>
        <w:spacing w:after="0" w:line="264" w:lineRule="auto"/>
        <w:rPr>
          <w:sz w:val="20"/>
          <w:szCs w:val="20"/>
          <w:color w:val="auto"/>
        </w:rPr>
      </w:pPr>
      <w:r>
        <w:rPr>
          <w:rFonts w:ascii="Courier New" w:cs="Courier New" w:eastAsia="Courier New" w:hAnsi="Courier New"/>
          <w:sz w:val="15"/>
          <w:szCs w:val="15"/>
          <w:color w:val="auto"/>
        </w:rPr>
        <w:t>This irrevocable proxy may be exercised at any time after the date hereof and prior to July 29, 2003, except that such proxy shall expire immediately upon the termination for any reason of the dividend swap transaction contemplated by the letter agreement between the Company and Canadian Imperial Bank of Commerce dated July 29, 1996.</w:t>
      </w:r>
    </w:p>
    <w:p>
      <w:pPr>
        <w:sectPr>
          <w:pgSz w:w="11900" w:h="16838" w:orient="portrait"/>
          <w:cols w:equalWidth="0" w:num="1">
            <w:col w:w="10239"/>
          </w:cols>
          <w:pgMar w:left="220" w:top="452" w:right="1440" w:bottom="1440" w:gutter="0" w:footer="0" w:header="0"/>
        </w:sectPr>
      </w:pP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29, 1996</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J.R. SIMPLOT COMPANY</w:t>
      </w:r>
    </w:p>
    <w:p>
      <w:pPr>
        <w:spacing w:after="0" w:line="177" w:lineRule="exact"/>
        <w:rPr>
          <w:sz w:val="20"/>
          <w:szCs w:val="20"/>
          <w:color w:val="auto"/>
        </w:rPr>
      </w:pPr>
    </w:p>
    <w:p>
      <w:pPr>
        <w:sectPr>
          <w:pgSz w:w="11900" w:h="16838" w:orient="portrait"/>
          <w:cols w:equalWidth="0" w:num="3">
            <w:col w:w="540" w:space="600"/>
            <w:col w:w="2000" w:space="720"/>
            <w:col w:w="6379"/>
          </w:cols>
          <w:pgMar w:left="220" w:top="452" w:right="1440" w:bottom="1440" w:gutter="0" w:footer="0" w:header="0"/>
          <w:type w:val="continuous"/>
        </w:sectPr>
      </w:pPr>
    </w:p>
    <w:p>
      <w:pPr>
        <w:ind w:left="386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L.E. Costello</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sectPr>
          <w:pgSz w:w="11900" w:h="16838" w:orient="portrait"/>
          <w:cols w:equalWidth="0" w:num="2">
            <w:col w:w="4120" w:space="440"/>
            <w:col w:w="5679"/>
          </w:cols>
          <w:pgMar w:left="220" w:top="452" w:right="1440" w:bottom="1440" w:gutter="0" w:footer="0" w:header="0"/>
          <w:type w:val="continuous"/>
        </w:sectPr>
      </w:pPr>
    </w:p>
    <w:p>
      <w:pPr>
        <w:ind w:left="3860"/>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 Costello</w:t>
      </w:r>
    </w:p>
    <w:p>
      <w:pPr>
        <w:spacing w:after="0" w:line="178" w:lineRule="exact"/>
        <w:rPr>
          <w:sz w:val="20"/>
          <w:szCs w:val="20"/>
          <w:color w:val="auto"/>
        </w:rPr>
      </w:pPr>
    </w:p>
    <w:p>
      <w:pPr>
        <w:sectPr>
          <w:pgSz w:w="11900" w:h="16838" w:orient="portrait"/>
          <w:cols w:equalWidth="0" w:num="2">
            <w:col w:w="4300" w:space="260"/>
            <w:col w:w="5679"/>
          </w:cols>
          <w:pgMar w:left="220" w:top="452" w:right="1440" w:bottom="1440" w:gutter="0" w:footer="0" w:header="0"/>
          <w:type w:val="continuous"/>
        </w:sectPr>
      </w:pPr>
    </w:p>
    <w:p>
      <w:pPr>
        <w:ind w:left="3860"/>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Sr. Vice President &amp; C.F.O.</w:t>
      </w:r>
    </w:p>
    <w:p>
      <w:pPr>
        <w:sectPr>
          <w:pgSz w:w="11900" w:h="16838" w:orient="portrait"/>
          <w:cols w:equalWidth="0" w:num="2">
            <w:col w:w="4380" w:space="180"/>
            <w:col w:w="5679"/>
          </w:cols>
          <w:pgMar w:left="220" w:top="452" w:right="1440" w:bottom="1440" w:gutter="0" w:footer="0" w:header="0"/>
          <w:type w:val="continuous"/>
        </w:sectPr>
      </w:pPr>
    </w:p>
    <w:bookmarkStart w:id="139" w:name="page140"/>
    <w:bookmarkEnd w:id="139"/>
    <w:p>
      <w:pPr>
        <w:jc w:val="right"/>
        <w:ind w:right="3239"/>
        <w:spacing w:after="0"/>
        <w:rPr>
          <w:sz w:val="20"/>
          <w:szCs w:val="20"/>
          <w:color w:val="auto"/>
        </w:rPr>
      </w:pPr>
      <w:r>
        <w:rPr>
          <w:rFonts w:ascii="Courier New" w:cs="Courier New" w:eastAsia="Courier New" w:hAnsi="Courier New"/>
          <w:sz w:val="15"/>
          <w:szCs w:val="15"/>
          <w:color w:val="auto"/>
        </w:rPr>
        <w:t>EXHIBIT 11.1</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MICRON TECHNOLOGY, INC.</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COMPUTATION OF PER SHARE EARNINGS</w:t>
      </w:r>
    </w:p>
    <w:p>
      <w:pPr>
        <w:spacing w:after="0" w:line="2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(AMOUNTS IN MILLIONS EXCEPT FOR PER SHARE DATA)</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920" w:type="dxa"/>
            <w:vAlign w:val="bottom"/>
          </w:tcPr>
          <w:p>
            <w:pPr>
              <w:jc w:val="center"/>
              <w:ind w:left="7"/>
              <w:spacing w:after="0"/>
              <w:rPr>
                <w:sz w:val="20"/>
                <w:szCs w:val="20"/>
                <w:color w:val="auto"/>
              </w:rPr>
            </w:pPr>
            <w:r>
              <w:rPr>
                <w:rFonts w:ascii="Courier New" w:cs="Courier New" w:eastAsia="Courier New" w:hAnsi="Courier New"/>
                <w:sz w:val="15"/>
                <w:szCs w:val="15"/>
                <w:color w:val="auto"/>
                <w:w w:val="96"/>
              </w:rPr>
              <w:t>FISCAL YEAR ENDED</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40" w:type="dxa"/>
            <w:vAlign w:val="bottom"/>
          </w:tcPr>
          <w:p>
            <w:pPr>
              <w:spacing w:after="0"/>
              <w:rPr>
                <w:sz w:val="14"/>
                <w:szCs w:val="14"/>
                <w:color w:val="auto"/>
              </w:rPr>
            </w:pPr>
          </w:p>
        </w:tc>
        <w:tc>
          <w:tcPr>
            <w:tcW w:w="4380" w:type="dxa"/>
            <w:vAlign w:val="bottom"/>
            <w:gridSpan w:val="3"/>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2540" w:type="dxa"/>
            <w:vAlign w:val="bottom"/>
          </w:tcPr>
          <w:p>
            <w:pPr>
              <w:spacing w:after="0"/>
              <w:rPr>
                <w:sz w:val="14"/>
                <w:szCs w:val="14"/>
                <w:color w:val="auto"/>
              </w:rPr>
            </w:pPr>
          </w:p>
        </w:tc>
        <w:tc>
          <w:tcPr>
            <w:tcW w:w="4380" w:type="dxa"/>
            <w:vAlign w:val="bottom"/>
            <w:gridSpan w:val="3"/>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AUGUST 29, 1996 AUGUST 31, 1995 SEPTEMBER 1, 1994</w:t>
            </w:r>
          </w:p>
        </w:tc>
        <w:tc>
          <w:tcPr>
            <w:tcW w:w="0" w:type="dxa"/>
            <w:vAlign w:val="bottom"/>
          </w:tcPr>
          <w:p>
            <w:pPr>
              <w:spacing w:after="0"/>
              <w:rPr>
                <w:sz w:val="1"/>
                <w:szCs w:val="1"/>
                <w:color w:val="auto"/>
              </w:rPr>
            </w:pPr>
          </w:p>
        </w:tc>
      </w:tr>
      <w:tr>
        <w:trPr>
          <w:trHeight w:val="245"/>
        </w:trPr>
        <w:tc>
          <w:tcPr>
            <w:tcW w:w="2540" w:type="dxa"/>
            <w:vAlign w:val="bottom"/>
          </w:tcPr>
          <w:p>
            <w:pPr>
              <w:spacing w:after="0"/>
              <w:rPr>
                <w:sz w:val="21"/>
                <w:szCs w:val="21"/>
                <w:color w:val="auto"/>
              </w:rPr>
            </w:pPr>
          </w:p>
        </w:tc>
        <w:tc>
          <w:tcPr>
            <w:tcW w:w="4380" w:type="dxa"/>
            <w:vAlign w:val="bottom"/>
            <w:gridSpan w:val="3"/>
          </w:tcPr>
          <w:p>
            <w:pPr>
              <w:jc w:val="center"/>
              <w:ind w:left="27"/>
              <w:spacing w:after="0"/>
              <w:rPr>
                <w:sz w:val="20"/>
                <w:szCs w:val="20"/>
                <w:color w:val="auto"/>
              </w:rPr>
            </w:pPr>
            <w:r>
              <w:rPr>
                <w:rFonts w:ascii="Courier New" w:cs="Courier New" w:eastAsia="Courier New" w:hAnsi="Courier New"/>
                <w:sz w:val="15"/>
                <w:szCs w:val="15"/>
                <w:color w:val="auto"/>
                <w:w w:val="97"/>
              </w:rPr>
              <w:t>--------------- --------------- -----------------</w:t>
            </w:r>
          </w:p>
        </w:tc>
        <w:tc>
          <w:tcPr>
            <w:tcW w:w="0" w:type="dxa"/>
            <w:vAlign w:val="bottom"/>
          </w:tcPr>
          <w:p>
            <w:pPr>
              <w:spacing w:after="0"/>
              <w:rPr>
                <w:sz w:val="1"/>
                <w:szCs w:val="1"/>
                <w:color w:val="auto"/>
              </w:rPr>
            </w:pPr>
          </w:p>
        </w:tc>
      </w:tr>
      <w:tr>
        <w:trPr>
          <w:trHeight w:val="259"/>
        </w:trPr>
        <w:tc>
          <w:tcPr>
            <w:tcW w:w="2540" w:type="dxa"/>
            <w:vAlign w:val="bottom"/>
          </w:tcPr>
          <w:p>
            <w:pPr>
              <w:spacing w:after="0"/>
              <w:rPr>
                <w:sz w:val="20"/>
                <w:szCs w:val="20"/>
                <w:color w:val="auto"/>
              </w:rPr>
            </w:pPr>
            <w:r>
              <w:rPr>
                <w:rFonts w:ascii="Courier New" w:cs="Courier New" w:eastAsia="Courier New" w:hAnsi="Courier New"/>
                <w:sz w:val="15"/>
                <w:szCs w:val="15"/>
                <w:color w:val="auto"/>
              </w:rPr>
              <w:t>PRIMARY</w:t>
            </w:r>
          </w:p>
        </w:tc>
        <w:tc>
          <w:tcPr>
            <w:tcW w:w="12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w:t>
            </w:r>
          </w:p>
        </w:tc>
        <w:tc>
          <w:tcPr>
            <w:tcW w:w="12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207.8</w:t>
            </w:r>
          </w:p>
        </w:tc>
        <w:tc>
          <w:tcPr>
            <w:tcW w:w="1920" w:type="dxa"/>
            <w:vAlign w:val="bottom"/>
            <w:vMerge w:val="restart"/>
          </w:tcPr>
          <w:p>
            <w:pPr>
              <w:jc w:val="right"/>
              <w:ind w:right="727"/>
              <w:spacing w:after="0"/>
              <w:rPr>
                <w:sz w:val="20"/>
                <w:szCs w:val="20"/>
                <w:color w:val="auto"/>
              </w:rPr>
            </w:pPr>
            <w:r>
              <w:rPr>
                <w:rFonts w:ascii="Courier New" w:cs="Courier New" w:eastAsia="Courier New" w:hAnsi="Courier New"/>
                <w:sz w:val="15"/>
                <w:szCs w:val="15"/>
                <w:color w:val="auto"/>
              </w:rPr>
              <w:t>205.1</w:t>
            </w:r>
          </w:p>
        </w:tc>
        <w:tc>
          <w:tcPr>
            <w:tcW w:w="12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202.4</w:t>
            </w:r>
          </w:p>
        </w:tc>
        <w:tc>
          <w:tcPr>
            <w:tcW w:w="0" w:type="dxa"/>
            <w:vAlign w:val="bottom"/>
          </w:tcPr>
          <w:p>
            <w:pPr>
              <w:spacing w:after="0"/>
              <w:rPr>
                <w:sz w:val="1"/>
                <w:szCs w:val="1"/>
                <w:color w:val="auto"/>
              </w:rPr>
            </w:pP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outstanding................</w:t>
            </w:r>
          </w:p>
        </w:tc>
        <w:tc>
          <w:tcPr>
            <w:tcW w:w="1240" w:type="dxa"/>
            <w:vAlign w:val="bottom"/>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Net effect of dilutive stock</w:t>
            </w:r>
          </w:p>
        </w:tc>
        <w:tc>
          <w:tcPr>
            <w:tcW w:w="12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7.2</w:t>
            </w:r>
          </w:p>
        </w:tc>
        <w:tc>
          <w:tcPr>
            <w:tcW w:w="1920" w:type="dxa"/>
            <w:vAlign w:val="bottom"/>
            <w:vMerge w:val="restart"/>
          </w:tcPr>
          <w:p>
            <w:pPr>
              <w:jc w:val="right"/>
              <w:ind w:right="727"/>
              <w:spacing w:after="0"/>
              <w:rPr>
                <w:sz w:val="20"/>
                <w:szCs w:val="20"/>
                <w:color w:val="auto"/>
              </w:rPr>
            </w:pPr>
            <w:r>
              <w:rPr>
                <w:rFonts w:ascii="Courier New" w:cs="Courier New" w:eastAsia="Courier New" w:hAnsi="Courier New"/>
                <w:sz w:val="15"/>
                <w:szCs w:val="15"/>
                <w:color w:val="auto"/>
              </w:rPr>
              <w:t>8.8</w:t>
            </w:r>
          </w:p>
        </w:tc>
        <w:tc>
          <w:tcPr>
            <w:tcW w:w="12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6.5</w:t>
            </w:r>
          </w:p>
        </w:tc>
        <w:tc>
          <w:tcPr>
            <w:tcW w:w="0" w:type="dxa"/>
            <w:vAlign w:val="bottom"/>
          </w:tcPr>
          <w:p>
            <w:pPr>
              <w:spacing w:after="0"/>
              <w:rPr>
                <w:sz w:val="1"/>
                <w:szCs w:val="1"/>
                <w:color w:val="auto"/>
              </w:rPr>
            </w:pP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options....................</w:t>
            </w:r>
          </w:p>
        </w:tc>
        <w:tc>
          <w:tcPr>
            <w:tcW w:w="1240" w:type="dxa"/>
            <w:vAlign w:val="bottom"/>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6"/>
              </w:rPr>
              <w:t>Total shares................</w:t>
            </w:r>
          </w:p>
        </w:tc>
        <w:tc>
          <w:tcPr>
            <w:tcW w:w="12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w w:val="83"/>
              </w:rPr>
              <w:t>------</w:t>
            </w:r>
            <w:r>
              <w:rPr>
                <w:rFonts w:ascii="Courier New" w:cs="Courier New" w:eastAsia="Courier New" w:hAnsi="Courier New"/>
                <w:sz w:val="29"/>
                <w:szCs w:val="29"/>
                <w:color w:val="auto"/>
                <w:w w:val="83"/>
                <w:vertAlign w:val="subscript"/>
              </w:rPr>
              <w:t>215.0</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5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213.9</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208.9</w:t>
            </w:r>
          </w:p>
        </w:tc>
        <w:tc>
          <w:tcPr>
            <w:tcW w:w="0" w:type="dxa"/>
            <w:vAlign w:val="bottom"/>
          </w:tcPr>
          <w:p>
            <w:pPr>
              <w:spacing w:after="0"/>
              <w:rPr>
                <w:sz w:val="1"/>
                <w:szCs w:val="1"/>
                <w:color w:val="auto"/>
              </w:rPr>
            </w:pPr>
          </w:p>
        </w:tc>
      </w:tr>
      <w:tr>
        <w:trPr>
          <w:trHeight w:val="168"/>
        </w:trPr>
        <w:tc>
          <w:tcPr>
            <w:tcW w:w="25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6"/>
              </w:rPr>
              <w:t>Net income..................</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540" w:type="dxa"/>
            <w:vAlign w:val="bottom"/>
            <w:vMerge w:val="continue"/>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$593.5</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$844.1</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$400.5</w:t>
            </w:r>
          </w:p>
        </w:tc>
        <w:tc>
          <w:tcPr>
            <w:tcW w:w="0" w:type="dxa"/>
            <w:vAlign w:val="bottom"/>
          </w:tcPr>
          <w:p>
            <w:pPr>
              <w:spacing w:after="0"/>
              <w:rPr>
                <w:sz w:val="1"/>
                <w:szCs w:val="1"/>
                <w:color w:val="auto"/>
              </w:rPr>
            </w:pPr>
          </w:p>
        </w:tc>
      </w:tr>
      <w:tr>
        <w:trPr>
          <w:trHeight w:val="168"/>
        </w:trPr>
        <w:tc>
          <w:tcPr>
            <w:tcW w:w="25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6"/>
              </w:rPr>
              <w:t>Primary earnings per share..</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540" w:type="dxa"/>
            <w:vAlign w:val="bottom"/>
            <w:vMerge w:val="continue"/>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$ 2.76</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$ 3.95</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$ 1.92</w:t>
            </w:r>
          </w:p>
        </w:tc>
        <w:tc>
          <w:tcPr>
            <w:tcW w:w="0" w:type="dxa"/>
            <w:vAlign w:val="bottom"/>
          </w:tcPr>
          <w:p>
            <w:pPr>
              <w:spacing w:after="0"/>
              <w:rPr>
                <w:sz w:val="1"/>
                <w:szCs w:val="1"/>
                <w:color w:val="auto"/>
              </w:rPr>
            </w:pPr>
          </w:p>
        </w:tc>
      </w:tr>
      <w:tr>
        <w:trPr>
          <w:trHeight w:val="245"/>
        </w:trPr>
        <w:tc>
          <w:tcPr>
            <w:tcW w:w="2540" w:type="dxa"/>
            <w:vAlign w:val="bottom"/>
            <w:vMerge w:val="restart"/>
          </w:tcPr>
          <w:p>
            <w:pPr>
              <w:spacing w:after="0"/>
              <w:rPr>
                <w:sz w:val="20"/>
                <w:szCs w:val="20"/>
                <w:color w:val="auto"/>
              </w:rPr>
            </w:pPr>
            <w:r>
              <w:rPr>
                <w:rFonts w:ascii="Courier New" w:cs="Courier New" w:eastAsia="Courier New" w:hAnsi="Courier New"/>
                <w:sz w:val="15"/>
                <w:szCs w:val="15"/>
                <w:color w:val="auto"/>
              </w:rPr>
              <w:t>FULLY DILUTED</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254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w:t>
            </w:r>
          </w:p>
        </w:tc>
        <w:tc>
          <w:tcPr>
            <w:tcW w:w="12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207.8</w:t>
            </w:r>
          </w:p>
        </w:tc>
        <w:tc>
          <w:tcPr>
            <w:tcW w:w="1920" w:type="dxa"/>
            <w:vAlign w:val="bottom"/>
            <w:vMerge w:val="restart"/>
          </w:tcPr>
          <w:p>
            <w:pPr>
              <w:jc w:val="right"/>
              <w:ind w:right="727"/>
              <w:spacing w:after="0"/>
              <w:rPr>
                <w:sz w:val="20"/>
                <w:szCs w:val="20"/>
                <w:color w:val="auto"/>
              </w:rPr>
            </w:pPr>
            <w:r>
              <w:rPr>
                <w:rFonts w:ascii="Courier New" w:cs="Courier New" w:eastAsia="Courier New" w:hAnsi="Courier New"/>
                <w:sz w:val="15"/>
                <w:szCs w:val="15"/>
                <w:color w:val="auto"/>
              </w:rPr>
              <w:t>205.1</w:t>
            </w:r>
          </w:p>
        </w:tc>
        <w:tc>
          <w:tcPr>
            <w:tcW w:w="12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202.4</w:t>
            </w:r>
          </w:p>
        </w:tc>
        <w:tc>
          <w:tcPr>
            <w:tcW w:w="0" w:type="dxa"/>
            <w:vAlign w:val="bottom"/>
          </w:tcPr>
          <w:p>
            <w:pPr>
              <w:spacing w:after="0"/>
              <w:rPr>
                <w:sz w:val="1"/>
                <w:szCs w:val="1"/>
                <w:color w:val="auto"/>
              </w:rPr>
            </w:pP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outstanding................</w:t>
            </w:r>
          </w:p>
        </w:tc>
        <w:tc>
          <w:tcPr>
            <w:tcW w:w="1240" w:type="dxa"/>
            <w:vAlign w:val="bottom"/>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Net effect of dilutive stock</w:t>
            </w:r>
          </w:p>
        </w:tc>
        <w:tc>
          <w:tcPr>
            <w:tcW w:w="12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7.2</w:t>
            </w:r>
          </w:p>
        </w:tc>
        <w:tc>
          <w:tcPr>
            <w:tcW w:w="1920" w:type="dxa"/>
            <w:vAlign w:val="bottom"/>
            <w:vMerge w:val="restart"/>
          </w:tcPr>
          <w:p>
            <w:pPr>
              <w:jc w:val="right"/>
              <w:ind w:right="727"/>
              <w:spacing w:after="0"/>
              <w:rPr>
                <w:sz w:val="20"/>
                <w:szCs w:val="20"/>
                <w:color w:val="auto"/>
              </w:rPr>
            </w:pPr>
            <w:r>
              <w:rPr>
                <w:rFonts w:ascii="Courier New" w:cs="Courier New" w:eastAsia="Courier New" w:hAnsi="Courier New"/>
                <w:sz w:val="15"/>
                <w:szCs w:val="15"/>
                <w:color w:val="auto"/>
              </w:rPr>
              <w:t>11.1</w:t>
            </w:r>
          </w:p>
        </w:tc>
        <w:tc>
          <w:tcPr>
            <w:tcW w:w="12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8.0</w:t>
            </w:r>
          </w:p>
        </w:tc>
        <w:tc>
          <w:tcPr>
            <w:tcW w:w="0" w:type="dxa"/>
            <w:vAlign w:val="bottom"/>
          </w:tcPr>
          <w:p>
            <w:pPr>
              <w:spacing w:after="0"/>
              <w:rPr>
                <w:sz w:val="1"/>
                <w:szCs w:val="1"/>
                <w:color w:val="auto"/>
              </w:rPr>
            </w:pP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options....................</w:t>
            </w:r>
          </w:p>
        </w:tc>
        <w:tc>
          <w:tcPr>
            <w:tcW w:w="1240" w:type="dxa"/>
            <w:vAlign w:val="bottom"/>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6"/>
              </w:rPr>
              <w:t>Total shares................</w:t>
            </w:r>
          </w:p>
        </w:tc>
        <w:tc>
          <w:tcPr>
            <w:tcW w:w="12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w w:val="83"/>
              </w:rPr>
              <w:t>------</w:t>
            </w:r>
            <w:r>
              <w:rPr>
                <w:rFonts w:ascii="Courier New" w:cs="Courier New" w:eastAsia="Courier New" w:hAnsi="Courier New"/>
                <w:sz w:val="29"/>
                <w:szCs w:val="29"/>
                <w:color w:val="auto"/>
                <w:w w:val="83"/>
                <w:vertAlign w:val="subscript"/>
              </w:rPr>
              <w:t>215.0</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5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216.2</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210.4</w:t>
            </w:r>
          </w:p>
        </w:tc>
        <w:tc>
          <w:tcPr>
            <w:tcW w:w="0" w:type="dxa"/>
            <w:vAlign w:val="bottom"/>
          </w:tcPr>
          <w:p>
            <w:pPr>
              <w:spacing w:after="0"/>
              <w:rPr>
                <w:sz w:val="1"/>
                <w:szCs w:val="1"/>
                <w:color w:val="auto"/>
              </w:rPr>
            </w:pPr>
          </w:p>
        </w:tc>
      </w:tr>
      <w:tr>
        <w:trPr>
          <w:trHeight w:val="168"/>
        </w:trPr>
        <w:tc>
          <w:tcPr>
            <w:tcW w:w="25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6"/>
              </w:rPr>
              <w:t>Net income..................</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540" w:type="dxa"/>
            <w:vAlign w:val="bottom"/>
            <w:vMerge w:val="continue"/>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$593.5</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$844.1</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$400.5</w:t>
            </w:r>
          </w:p>
        </w:tc>
        <w:tc>
          <w:tcPr>
            <w:tcW w:w="0" w:type="dxa"/>
            <w:vAlign w:val="bottom"/>
          </w:tcPr>
          <w:p>
            <w:pPr>
              <w:spacing w:after="0"/>
              <w:rPr>
                <w:sz w:val="1"/>
                <w:szCs w:val="1"/>
                <w:color w:val="auto"/>
              </w:rPr>
            </w:pPr>
          </w:p>
        </w:tc>
      </w:tr>
      <w:tr>
        <w:trPr>
          <w:trHeight w:val="245"/>
        </w:trPr>
        <w:tc>
          <w:tcPr>
            <w:tcW w:w="2540" w:type="dxa"/>
            <w:vAlign w:val="bottom"/>
            <w:vMerge w:val="restart"/>
          </w:tcPr>
          <w:p>
            <w:pPr>
              <w:spacing w:after="0"/>
              <w:rPr>
                <w:sz w:val="20"/>
                <w:szCs w:val="20"/>
                <w:color w:val="auto"/>
              </w:rPr>
            </w:pPr>
            <w:r>
              <w:rPr>
                <w:rFonts w:ascii="Courier New" w:cs="Courier New" w:eastAsia="Courier New" w:hAnsi="Courier New"/>
                <w:sz w:val="15"/>
                <w:szCs w:val="15"/>
                <w:color w:val="auto"/>
              </w:rPr>
              <w:t>Fully diluted earnings per</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2540" w:type="dxa"/>
            <w:vAlign w:val="bottom"/>
            <w:vMerge w:val="continue"/>
          </w:tcPr>
          <w:p>
            <w:pPr>
              <w:spacing w:after="0"/>
              <w:rPr>
                <w:sz w:val="7"/>
                <w:szCs w:val="7"/>
                <w:color w:val="auto"/>
              </w:rPr>
            </w:pPr>
          </w:p>
        </w:tc>
        <w:tc>
          <w:tcPr>
            <w:tcW w:w="12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$ 2.76</w:t>
            </w:r>
          </w:p>
        </w:tc>
        <w:tc>
          <w:tcPr>
            <w:tcW w:w="1920" w:type="dxa"/>
            <w:vAlign w:val="bottom"/>
            <w:vMerge w:val="restart"/>
          </w:tcPr>
          <w:p>
            <w:pPr>
              <w:jc w:val="right"/>
              <w:ind w:right="727"/>
              <w:spacing w:after="0"/>
              <w:rPr>
                <w:sz w:val="20"/>
                <w:szCs w:val="20"/>
                <w:color w:val="auto"/>
              </w:rPr>
            </w:pPr>
            <w:r>
              <w:rPr>
                <w:rFonts w:ascii="Courier New" w:cs="Courier New" w:eastAsia="Courier New" w:hAnsi="Courier New"/>
                <w:sz w:val="15"/>
                <w:szCs w:val="15"/>
                <w:color w:val="auto"/>
              </w:rPr>
              <w:t>$ 3.90</w:t>
            </w:r>
          </w:p>
        </w:tc>
        <w:tc>
          <w:tcPr>
            <w:tcW w:w="12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$ 1.90</w:t>
            </w:r>
          </w:p>
        </w:tc>
        <w:tc>
          <w:tcPr>
            <w:tcW w:w="0" w:type="dxa"/>
            <w:vAlign w:val="bottom"/>
          </w:tcPr>
          <w:p>
            <w:pPr>
              <w:spacing w:after="0"/>
              <w:rPr>
                <w:sz w:val="1"/>
                <w:szCs w:val="1"/>
                <w:color w:val="auto"/>
              </w:rPr>
            </w:pP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share......................</w:t>
            </w:r>
          </w:p>
        </w:tc>
        <w:tc>
          <w:tcPr>
            <w:tcW w:w="1240" w:type="dxa"/>
            <w:vAlign w:val="bottom"/>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540" w:type="dxa"/>
            <w:vAlign w:val="bottom"/>
          </w:tcPr>
          <w:p>
            <w:pPr>
              <w:spacing w:after="0"/>
              <w:rPr>
                <w:sz w:val="21"/>
                <w:szCs w:val="21"/>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239"/>
          </w:cols>
          <w:pgMar w:left="220" w:top="452" w:right="1440" w:bottom="1440" w:gutter="0" w:footer="0" w:header="0"/>
        </w:sectPr>
      </w:pPr>
    </w:p>
    <w:bookmarkStart w:id="140" w:name="page141"/>
    <w:bookmarkEnd w:id="140"/>
    <w:p>
      <w:pPr>
        <w:jc w:val="right"/>
        <w:ind w:right="3239"/>
        <w:spacing w:after="0"/>
        <w:rPr>
          <w:sz w:val="20"/>
          <w:szCs w:val="20"/>
          <w:color w:val="auto"/>
        </w:rPr>
      </w:pPr>
      <w:r>
        <w:rPr>
          <w:rFonts w:ascii="Courier New" w:cs="Courier New" w:eastAsia="Courier New" w:hAnsi="Courier New"/>
          <w:sz w:val="15"/>
          <w:szCs w:val="15"/>
          <w:color w:val="auto"/>
        </w:rPr>
        <w:t>EXHIBIT 21.1</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MICRON TECHNOLOGY, INC.</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SUBSIDIARIES OF THE REGISTRANT</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vMerge w:val="restart"/>
          </w:tcPr>
          <w:p>
            <w:pPr>
              <w:jc w:val="right"/>
              <w:ind w:right="3827"/>
              <w:spacing w:after="0"/>
              <w:rPr>
                <w:sz w:val="20"/>
                <w:szCs w:val="20"/>
                <w:color w:val="auto"/>
              </w:rPr>
            </w:pPr>
            <w:r>
              <w:rPr>
                <w:rFonts w:ascii="Courier New" w:cs="Courier New" w:eastAsia="Courier New" w:hAnsi="Courier New"/>
                <w:sz w:val="15"/>
                <w:szCs w:val="15"/>
                <w:color w:val="auto"/>
              </w:rPr>
              <w:t>NAME</w:t>
            </w:r>
          </w:p>
        </w:tc>
        <w:tc>
          <w:tcPr>
            <w:tcW w:w="2040" w:type="dxa"/>
            <w:vAlign w:val="bottom"/>
          </w:tcPr>
          <w:p>
            <w:pPr>
              <w:ind w:left="40"/>
              <w:spacing w:after="0"/>
              <w:rPr>
                <w:sz w:val="20"/>
                <w:szCs w:val="20"/>
                <w:color w:val="auto"/>
              </w:rPr>
            </w:pPr>
            <w:r>
              <w:rPr>
                <w:rFonts w:ascii="Courier New" w:cs="Courier New" w:eastAsia="Courier New" w:hAnsi="Courier New"/>
                <w:sz w:val="15"/>
                <w:szCs w:val="15"/>
                <w:color w:val="auto"/>
                <w:w w:val="95"/>
              </w:rPr>
              <w:t>STATE (OR JURISDICTION)</w:t>
            </w:r>
          </w:p>
        </w:tc>
        <w:tc>
          <w:tcPr>
            <w:tcW w:w="0" w:type="dxa"/>
            <w:vAlign w:val="bottom"/>
          </w:tcPr>
          <w:p>
            <w:pPr>
              <w:spacing w:after="0"/>
              <w:rPr>
                <w:sz w:val="1"/>
                <w:szCs w:val="1"/>
                <w:color w:val="auto"/>
              </w:rPr>
            </w:pPr>
          </w:p>
        </w:tc>
      </w:tr>
      <w:tr>
        <w:trPr>
          <w:trHeight w:val="168"/>
        </w:trPr>
        <w:tc>
          <w:tcPr>
            <w:tcW w:w="4960" w:type="dxa"/>
            <w:vAlign w:val="bottom"/>
            <w:vMerge w:val="continue"/>
          </w:tcPr>
          <w:p>
            <w:pPr>
              <w:spacing w:after="0"/>
              <w:rPr>
                <w:sz w:val="14"/>
                <w:szCs w:val="14"/>
                <w:color w:val="auto"/>
              </w:rPr>
            </w:pPr>
          </w:p>
        </w:tc>
        <w:tc>
          <w:tcPr>
            <w:tcW w:w="2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IN WHICH INCORPORATED</w:t>
            </w:r>
          </w:p>
        </w:tc>
        <w:tc>
          <w:tcPr>
            <w:tcW w:w="0" w:type="dxa"/>
            <w:vAlign w:val="bottom"/>
          </w:tcPr>
          <w:p>
            <w:pPr>
              <w:spacing w:after="0"/>
              <w:rPr>
                <w:sz w:val="1"/>
                <w:szCs w:val="1"/>
                <w:color w:val="auto"/>
              </w:rPr>
            </w:pPr>
          </w:p>
        </w:tc>
      </w:tr>
      <w:tr>
        <w:trPr>
          <w:trHeight w:val="245"/>
        </w:trPr>
        <w:tc>
          <w:tcPr>
            <w:tcW w:w="4960" w:type="dxa"/>
            <w:vAlign w:val="bottom"/>
          </w:tcPr>
          <w:p>
            <w:pPr>
              <w:jc w:val="right"/>
              <w:ind w:right="382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ind w:left="40"/>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59"/>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w w:val="96"/>
              </w:rPr>
              <w:t>Micron Communications, Inc. ............................</w:t>
            </w:r>
          </w:p>
        </w:tc>
        <w:tc>
          <w:tcPr>
            <w:tcW w:w="2040" w:type="dxa"/>
            <w:vAlign w:val="bottom"/>
          </w:tcPr>
          <w:p>
            <w:pPr>
              <w:ind w:left="40"/>
              <w:spacing w:after="0"/>
              <w:rPr>
                <w:sz w:val="20"/>
                <w:szCs w:val="20"/>
                <w:color w:val="auto"/>
              </w:rPr>
            </w:pPr>
            <w:r>
              <w:rPr>
                <w:rFonts w:ascii="Courier New" w:cs="Courier New" w:eastAsia="Courier New" w:hAnsi="Courier New"/>
                <w:sz w:val="15"/>
                <w:szCs w:val="15"/>
                <w:color w:val="auto"/>
              </w:rPr>
              <w:t>Idaho</w:t>
            </w:r>
          </w:p>
        </w:tc>
        <w:tc>
          <w:tcPr>
            <w:tcW w:w="0" w:type="dxa"/>
            <w:vAlign w:val="bottom"/>
          </w:tcPr>
          <w:p>
            <w:pPr>
              <w:spacing w:after="0"/>
              <w:rPr>
                <w:sz w:val="1"/>
                <w:szCs w:val="1"/>
                <w:color w:val="auto"/>
              </w:rPr>
            </w:pPr>
          </w:p>
        </w:tc>
      </w:tr>
      <w:tr>
        <w:trPr>
          <w:trHeight w:val="168"/>
        </w:trPr>
        <w:tc>
          <w:tcPr>
            <w:tcW w:w="4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Micron Construction, Inc. ..............................</w:t>
            </w:r>
          </w:p>
        </w:tc>
        <w:tc>
          <w:tcPr>
            <w:tcW w:w="2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Idaho</w:t>
            </w:r>
          </w:p>
        </w:tc>
        <w:tc>
          <w:tcPr>
            <w:tcW w:w="0" w:type="dxa"/>
            <w:vAlign w:val="bottom"/>
          </w:tcPr>
          <w:p>
            <w:pPr>
              <w:spacing w:after="0"/>
              <w:rPr>
                <w:sz w:val="1"/>
                <w:szCs w:val="1"/>
                <w:color w:val="auto"/>
              </w:rPr>
            </w:pPr>
          </w:p>
        </w:tc>
      </w:tr>
      <w:tr>
        <w:trPr>
          <w:trHeight w:val="168"/>
        </w:trPr>
        <w:tc>
          <w:tcPr>
            <w:tcW w:w="4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Micron Construction of New Mexico, Inc. ..............</w:t>
            </w:r>
          </w:p>
        </w:tc>
        <w:tc>
          <w:tcPr>
            <w:tcW w:w="2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New Mexico</w:t>
            </w:r>
          </w:p>
        </w:tc>
        <w:tc>
          <w:tcPr>
            <w:tcW w:w="0" w:type="dxa"/>
            <w:vAlign w:val="bottom"/>
          </w:tcPr>
          <w:p>
            <w:pPr>
              <w:spacing w:after="0"/>
              <w:rPr>
                <w:sz w:val="1"/>
                <w:szCs w:val="1"/>
                <w:color w:val="auto"/>
              </w:rPr>
            </w:pPr>
          </w:p>
        </w:tc>
      </w:tr>
      <w:tr>
        <w:trPr>
          <w:trHeight w:val="168"/>
        </w:trPr>
        <w:tc>
          <w:tcPr>
            <w:tcW w:w="4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Micron Display Technology, Inc. ........................</w:t>
            </w:r>
          </w:p>
        </w:tc>
        <w:tc>
          <w:tcPr>
            <w:tcW w:w="2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Idaho</w:t>
            </w:r>
          </w:p>
        </w:tc>
        <w:tc>
          <w:tcPr>
            <w:tcW w:w="0" w:type="dxa"/>
            <w:vAlign w:val="bottom"/>
          </w:tcPr>
          <w:p>
            <w:pPr>
              <w:spacing w:after="0"/>
              <w:rPr>
                <w:sz w:val="1"/>
                <w:szCs w:val="1"/>
                <w:color w:val="auto"/>
              </w:rPr>
            </w:pPr>
          </w:p>
        </w:tc>
      </w:tr>
      <w:tr>
        <w:trPr>
          <w:trHeight w:val="168"/>
        </w:trPr>
        <w:tc>
          <w:tcPr>
            <w:tcW w:w="4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Micron Electronics, Inc. ...............................</w:t>
            </w:r>
          </w:p>
        </w:tc>
        <w:tc>
          <w:tcPr>
            <w:tcW w:w="2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Minnesota</w:t>
            </w:r>
          </w:p>
        </w:tc>
        <w:tc>
          <w:tcPr>
            <w:tcW w:w="0" w:type="dxa"/>
            <w:vAlign w:val="bottom"/>
          </w:tcPr>
          <w:p>
            <w:pPr>
              <w:spacing w:after="0"/>
              <w:rPr>
                <w:sz w:val="1"/>
                <w:szCs w:val="1"/>
                <w:color w:val="auto"/>
              </w:rPr>
            </w:pPr>
          </w:p>
        </w:tc>
      </w:tr>
      <w:tr>
        <w:trPr>
          <w:trHeight w:val="168"/>
        </w:trPr>
        <w:tc>
          <w:tcPr>
            <w:tcW w:w="4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Micron Custom Manufacturing Services, Inc. ...........</w:t>
            </w:r>
          </w:p>
        </w:tc>
        <w:tc>
          <w:tcPr>
            <w:tcW w:w="2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Idaho</w:t>
            </w:r>
          </w:p>
        </w:tc>
        <w:tc>
          <w:tcPr>
            <w:tcW w:w="0" w:type="dxa"/>
            <w:vAlign w:val="bottom"/>
          </w:tcPr>
          <w:p>
            <w:pPr>
              <w:spacing w:after="0"/>
              <w:rPr>
                <w:sz w:val="1"/>
                <w:szCs w:val="1"/>
                <w:color w:val="auto"/>
              </w:rPr>
            </w:pPr>
          </w:p>
        </w:tc>
      </w:tr>
      <w:tr>
        <w:trPr>
          <w:trHeight w:val="168"/>
        </w:trPr>
        <w:tc>
          <w:tcPr>
            <w:tcW w:w="4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M.C.M.S. SDN. BHD. .................................</w:t>
            </w:r>
          </w:p>
        </w:tc>
        <w:tc>
          <w:tcPr>
            <w:tcW w:w="2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Malaysia</w:t>
            </w:r>
          </w:p>
        </w:tc>
        <w:tc>
          <w:tcPr>
            <w:tcW w:w="0" w:type="dxa"/>
            <w:vAlign w:val="bottom"/>
          </w:tcPr>
          <w:p>
            <w:pPr>
              <w:spacing w:after="0"/>
              <w:rPr>
                <w:sz w:val="1"/>
                <w:szCs w:val="1"/>
                <w:color w:val="auto"/>
              </w:rPr>
            </w:pPr>
          </w:p>
        </w:tc>
      </w:tr>
      <w:tr>
        <w:trPr>
          <w:trHeight w:val="168"/>
        </w:trPr>
        <w:tc>
          <w:tcPr>
            <w:tcW w:w="4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Micron Electronics (H.K.) Limited.....................</w:t>
            </w:r>
          </w:p>
        </w:tc>
        <w:tc>
          <w:tcPr>
            <w:tcW w:w="2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Hong Kong</w:t>
            </w:r>
          </w:p>
        </w:tc>
        <w:tc>
          <w:tcPr>
            <w:tcW w:w="0" w:type="dxa"/>
            <w:vAlign w:val="bottom"/>
          </w:tcPr>
          <w:p>
            <w:pPr>
              <w:spacing w:after="0"/>
              <w:rPr>
                <w:sz w:val="1"/>
                <w:szCs w:val="1"/>
                <w:color w:val="auto"/>
              </w:rPr>
            </w:pPr>
          </w:p>
        </w:tc>
      </w:tr>
      <w:tr>
        <w:trPr>
          <w:trHeight w:val="168"/>
        </w:trPr>
        <w:tc>
          <w:tcPr>
            <w:tcW w:w="4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Micron Electronics Japan K.K. ........................</w:t>
            </w:r>
          </w:p>
        </w:tc>
        <w:tc>
          <w:tcPr>
            <w:tcW w:w="2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Japan</w:t>
            </w:r>
          </w:p>
        </w:tc>
        <w:tc>
          <w:tcPr>
            <w:tcW w:w="0" w:type="dxa"/>
            <w:vAlign w:val="bottom"/>
          </w:tcPr>
          <w:p>
            <w:pPr>
              <w:spacing w:after="0"/>
              <w:rPr>
                <w:sz w:val="1"/>
                <w:szCs w:val="1"/>
                <w:color w:val="auto"/>
              </w:rPr>
            </w:pPr>
          </w:p>
        </w:tc>
      </w:tr>
      <w:tr>
        <w:trPr>
          <w:trHeight w:val="168"/>
        </w:trPr>
        <w:tc>
          <w:tcPr>
            <w:tcW w:w="4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Micron Electronics Overseas Trading, Inc. ............</w:t>
            </w:r>
          </w:p>
        </w:tc>
        <w:tc>
          <w:tcPr>
            <w:tcW w:w="2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Barbados</w:t>
            </w:r>
          </w:p>
        </w:tc>
        <w:tc>
          <w:tcPr>
            <w:tcW w:w="0" w:type="dxa"/>
            <w:vAlign w:val="bottom"/>
          </w:tcPr>
          <w:p>
            <w:pPr>
              <w:spacing w:after="0"/>
              <w:rPr>
                <w:sz w:val="1"/>
                <w:szCs w:val="1"/>
                <w:color w:val="auto"/>
              </w:rPr>
            </w:pPr>
          </w:p>
        </w:tc>
      </w:tr>
      <w:tr>
        <w:trPr>
          <w:trHeight w:val="168"/>
        </w:trPr>
        <w:tc>
          <w:tcPr>
            <w:tcW w:w="4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PC Tech, Inc. ........................................</w:t>
            </w:r>
          </w:p>
        </w:tc>
        <w:tc>
          <w:tcPr>
            <w:tcW w:w="2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Minnesota</w:t>
            </w:r>
          </w:p>
        </w:tc>
        <w:tc>
          <w:tcPr>
            <w:tcW w:w="0" w:type="dxa"/>
            <w:vAlign w:val="bottom"/>
          </w:tcPr>
          <w:p>
            <w:pPr>
              <w:spacing w:after="0"/>
              <w:rPr>
                <w:sz w:val="1"/>
                <w:szCs w:val="1"/>
                <w:color w:val="auto"/>
              </w:rPr>
            </w:pPr>
          </w:p>
        </w:tc>
      </w:tr>
      <w:tr>
        <w:trPr>
          <w:trHeight w:val="168"/>
        </w:trPr>
        <w:tc>
          <w:tcPr>
            <w:tcW w:w="4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Micron Europe Limited...................................</w:t>
            </w:r>
          </w:p>
        </w:tc>
        <w:tc>
          <w:tcPr>
            <w:tcW w:w="2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United Kingdom</w:t>
            </w:r>
          </w:p>
        </w:tc>
        <w:tc>
          <w:tcPr>
            <w:tcW w:w="0" w:type="dxa"/>
            <w:vAlign w:val="bottom"/>
          </w:tcPr>
          <w:p>
            <w:pPr>
              <w:spacing w:after="0"/>
              <w:rPr>
                <w:sz w:val="1"/>
                <w:szCs w:val="1"/>
                <w:color w:val="auto"/>
              </w:rPr>
            </w:pPr>
          </w:p>
        </w:tc>
      </w:tr>
      <w:tr>
        <w:trPr>
          <w:trHeight w:val="168"/>
        </w:trPr>
        <w:tc>
          <w:tcPr>
            <w:tcW w:w="4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Micron International Sales, Inc. .......................</w:t>
            </w:r>
          </w:p>
        </w:tc>
        <w:tc>
          <w:tcPr>
            <w:tcW w:w="2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Barbados</w:t>
            </w:r>
          </w:p>
        </w:tc>
        <w:tc>
          <w:tcPr>
            <w:tcW w:w="0" w:type="dxa"/>
            <w:vAlign w:val="bottom"/>
          </w:tcPr>
          <w:p>
            <w:pPr>
              <w:spacing w:after="0"/>
              <w:rPr>
                <w:sz w:val="1"/>
                <w:szCs w:val="1"/>
                <w:color w:val="auto"/>
              </w:rPr>
            </w:pPr>
          </w:p>
        </w:tc>
      </w:tr>
      <w:tr>
        <w:trPr>
          <w:trHeight w:val="168"/>
        </w:trPr>
        <w:tc>
          <w:tcPr>
            <w:tcW w:w="4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Micron Quantum Devices, Inc. ...........................</w:t>
            </w:r>
          </w:p>
        </w:tc>
        <w:tc>
          <w:tcPr>
            <w:tcW w:w="2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California</w:t>
            </w:r>
          </w:p>
        </w:tc>
        <w:tc>
          <w:tcPr>
            <w:tcW w:w="0" w:type="dxa"/>
            <w:vAlign w:val="bottom"/>
          </w:tcPr>
          <w:p>
            <w:pPr>
              <w:spacing w:after="0"/>
              <w:rPr>
                <w:sz w:val="1"/>
                <w:szCs w:val="1"/>
                <w:color w:val="auto"/>
              </w:rPr>
            </w:pPr>
          </w:p>
        </w:tc>
      </w:tr>
      <w:tr>
        <w:trPr>
          <w:trHeight w:val="168"/>
        </w:trPr>
        <w:tc>
          <w:tcPr>
            <w:tcW w:w="4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Micron Semiconductor Asia Pacific Pte. Ltd. ............</w:t>
            </w:r>
          </w:p>
        </w:tc>
        <w:tc>
          <w:tcPr>
            <w:tcW w:w="2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Singapore</w:t>
            </w:r>
          </w:p>
        </w:tc>
        <w:tc>
          <w:tcPr>
            <w:tcW w:w="0" w:type="dxa"/>
            <w:vAlign w:val="bottom"/>
          </w:tcPr>
          <w:p>
            <w:pPr>
              <w:spacing w:after="0"/>
              <w:rPr>
                <w:sz w:val="1"/>
                <w:szCs w:val="1"/>
                <w:color w:val="auto"/>
              </w:rPr>
            </w:pPr>
          </w:p>
        </w:tc>
      </w:tr>
      <w:tr>
        <w:trPr>
          <w:trHeight w:val="168"/>
        </w:trPr>
        <w:tc>
          <w:tcPr>
            <w:tcW w:w="4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Micron Semiconductor Asia Pacific Inc. .................</w:t>
            </w:r>
          </w:p>
        </w:tc>
        <w:tc>
          <w:tcPr>
            <w:tcW w:w="2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Idaho</w:t>
            </w:r>
          </w:p>
        </w:tc>
        <w:tc>
          <w:tcPr>
            <w:tcW w:w="0" w:type="dxa"/>
            <w:vAlign w:val="bottom"/>
          </w:tcPr>
          <w:p>
            <w:pPr>
              <w:spacing w:after="0"/>
              <w:rPr>
                <w:sz w:val="1"/>
                <w:szCs w:val="1"/>
                <w:color w:val="auto"/>
              </w:rPr>
            </w:pPr>
          </w:p>
        </w:tc>
      </w:tr>
      <w:tr>
        <w:trPr>
          <w:trHeight w:val="168"/>
        </w:trPr>
        <w:tc>
          <w:tcPr>
            <w:tcW w:w="4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Micron Semiconductor (Deutschland) GmbH.................</w:t>
            </w:r>
          </w:p>
        </w:tc>
        <w:tc>
          <w:tcPr>
            <w:tcW w:w="2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Germany</w:t>
            </w:r>
          </w:p>
        </w:tc>
        <w:tc>
          <w:tcPr>
            <w:tcW w:w="0" w:type="dxa"/>
            <w:vAlign w:val="bottom"/>
          </w:tcPr>
          <w:p>
            <w:pPr>
              <w:spacing w:after="0"/>
              <w:rPr>
                <w:sz w:val="1"/>
                <w:szCs w:val="1"/>
                <w:color w:val="auto"/>
              </w:rPr>
            </w:pPr>
          </w:p>
        </w:tc>
      </w:tr>
      <w:tr>
        <w:trPr>
          <w:trHeight w:val="168"/>
        </w:trPr>
        <w:tc>
          <w:tcPr>
            <w:tcW w:w="4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Micron Semiconductor Products, Inc. ....................</w:t>
            </w:r>
          </w:p>
        </w:tc>
        <w:tc>
          <w:tcPr>
            <w:tcW w:w="2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Idaho</w:t>
            </w:r>
          </w:p>
        </w:tc>
        <w:tc>
          <w:tcPr>
            <w:tcW w:w="0" w:type="dxa"/>
            <w:vAlign w:val="bottom"/>
          </w:tcPr>
          <w:p>
            <w:pPr>
              <w:spacing w:after="0"/>
              <w:rPr>
                <w:sz w:val="1"/>
                <w:szCs w:val="1"/>
                <w:color w:val="auto"/>
              </w:rPr>
            </w:pPr>
          </w:p>
        </w:tc>
      </w:tr>
      <w:tr>
        <w:trPr>
          <w:trHeight w:val="245"/>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w w:val="96"/>
              </w:rPr>
              <w:t>Micron Technology International, Inc. ..................</w:t>
            </w:r>
          </w:p>
        </w:tc>
        <w:tc>
          <w:tcPr>
            <w:tcW w:w="2040" w:type="dxa"/>
            <w:vAlign w:val="bottom"/>
          </w:tcPr>
          <w:p>
            <w:pPr>
              <w:ind w:left="40"/>
              <w:spacing w:after="0"/>
              <w:rPr>
                <w:sz w:val="20"/>
                <w:szCs w:val="20"/>
                <w:color w:val="auto"/>
              </w:rPr>
            </w:pPr>
            <w:r>
              <w:rPr>
                <w:rFonts w:ascii="Courier New" w:cs="Courier New" w:eastAsia="Courier New" w:hAnsi="Courier New"/>
                <w:sz w:val="15"/>
                <w:szCs w:val="15"/>
                <w:color w:val="auto"/>
                <w:w w:val="99"/>
              </w:rPr>
              <w:t>British Virgin Islands</w:t>
            </w:r>
          </w:p>
        </w:tc>
        <w:tc>
          <w:tcPr>
            <w:tcW w:w="0" w:type="dxa"/>
            <w:vAlign w:val="bottom"/>
          </w:tcPr>
          <w:p>
            <w:pPr>
              <w:spacing w:after="0"/>
              <w:rPr>
                <w:sz w:val="1"/>
                <w:szCs w:val="1"/>
                <w:color w:val="auto"/>
              </w:rPr>
            </w:pPr>
          </w:p>
        </w:tc>
      </w:tr>
    </w:tbl>
    <w:p>
      <w:pPr>
        <w:sectPr>
          <w:pgSz w:w="11900" w:h="16838" w:orient="portrait"/>
          <w:cols w:equalWidth="0" w:num="1">
            <w:col w:w="10239"/>
          </w:cols>
          <w:pgMar w:left="220" w:top="452" w:right="1440" w:bottom="1440" w:gutter="0" w:footer="0" w:header="0"/>
        </w:sectPr>
      </w:pPr>
    </w:p>
    <w:bookmarkStart w:id="141" w:name="page142"/>
    <w:bookmarkEnd w:id="141"/>
    <w:p>
      <w:pPr>
        <w:jc w:val="right"/>
        <w:ind w:right="3319"/>
        <w:spacing w:after="0"/>
        <w:rPr>
          <w:sz w:val="20"/>
          <w:szCs w:val="20"/>
          <w:color w:val="auto"/>
        </w:rPr>
      </w:pPr>
      <w:r>
        <w:rPr>
          <w:rFonts w:ascii="Courier New" w:cs="Courier New" w:eastAsia="Courier New" w:hAnsi="Courier New"/>
          <w:sz w:val="15"/>
          <w:szCs w:val="15"/>
          <w:color w:val="auto"/>
        </w:rPr>
        <w:t>EXHIBIT 23.1</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66" w:lineRule="exact"/>
        <w:rPr>
          <w:sz w:val="20"/>
          <w:szCs w:val="20"/>
          <w:color w:val="auto"/>
        </w:rPr>
      </w:pPr>
    </w:p>
    <w:p>
      <w:pPr>
        <w:ind w:right="3499" w:firstLine="175"/>
        <w:spacing w:after="0" w:line="274"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of Micron Technology, Inc., on Forms S-8 (File Nos. 33-3686, 33-16832,</w:t>
      </w:r>
    </w:p>
    <w:p>
      <w:pPr>
        <w:ind w:right="3319"/>
        <w:spacing w:after="0" w:line="249" w:lineRule="auto"/>
        <w:rPr>
          <w:sz w:val="20"/>
          <w:szCs w:val="20"/>
          <w:color w:val="auto"/>
        </w:rPr>
      </w:pPr>
      <w:r>
        <w:rPr>
          <w:rFonts w:ascii="Courier New" w:cs="Courier New" w:eastAsia="Courier New" w:hAnsi="Courier New"/>
          <w:sz w:val="15"/>
          <w:szCs w:val="15"/>
          <w:color w:val="auto"/>
        </w:rPr>
        <w:t>33-27078, 33-38665, 33-38926, 33-65050, 33-52653, 33-57887 and 333-07283) of our report dated September 19, 1996, except as to the Stock Purchase Plans Note to Consolidated Financial Statements, the date of which is September 30, 1996, on our audits of the consolidated financial statements of Micron Technology, Inc., as of August 29, 1996, and August 31, 1995, and for each of the three years in the period ended August 29, 1996, which report is included in this Annual Report on Form 10-K.</w:t>
      </w:r>
    </w:p>
    <w:p>
      <w:pPr>
        <w:spacing w:after="0" w:line="8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Coopers &amp; Lybrand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Boise, Idaho</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3, 1996</w:t>
      </w:r>
    </w:p>
    <w:p>
      <w:pPr>
        <w:sectPr>
          <w:pgSz w:w="11900" w:h="16838" w:orient="portrait"/>
          <w:cols w:equalWidth="0" w:num="1">
            <w:col w:w="10239"/>
          </w:cols>
          <w:pgMar w:left="220" w:top="452" w:right="1440" w:bottom="1440" w:gutter="0" w:footer="0" w:header="0"/>
        </w:sectPr>
      </w:pPr>
    </w:p>
    <w:bookmarkStart w:id="142" w:name="page143"/>
    <w:bookmarkEnd w:id="14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3" w:name="page144"/>
    <w:bookmarkEnd w:id="143"/>
    <w:p>
      <w:pPr>
        <w:ind w:left="6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jc w:val="both"/>
        <w:ind w:right="3299" w:firstLine="700"/>
        <w:spacing w:after="0" w:line="290" w:lineRule="auto"/>
        <w:rPr>
          <w:sz w:val="20"/>
          <w:szCs w:val="20"/>
          <w:color w:val="auto"/>
        </w:rPr>
      </w:pPr>
      <w:r>
        <w:rPr>
          <w:rFonts w:ascii="Courier New" w:cs="Courier New" w:eastAsia="Courier New" w:hAnsi="Courier New"/>
          <w:sz w:val="15"/>
          <w:szCs w:val="15"/>
          <w:color w:val="auto"/>
        </w:rPr>
        <w:t>THIS SCHEDULE CONTAINS SUMMARY FINANCIAL INFORMATION EXTRACTED FROM THE ACCOMPANYING FINANCIAL STATEMENTS AND IS QUALIFIED IN ITS ENTIRETY BY REFERENCE TO SUCH FINANCIAL STATEMENTS.</w:t>
      </w:r>
    </w:p>
    <w:p>
      <w:pPr>
        <w:spacing w:after="0" w:line="5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1,000,000</w:t>
      </w:r>
    </w:p>
    <w:p>
      <w:pPr>
        <w:spacing w:after="0" w:line="333" w:lineRule="exact"/>
        <w:rPr>
          <w:sz w:val="20"/>
          <w:szCs w:val="20"/>
          <w:color w:val="auto"/>
        </w:rPr>
      </w:pPr>
    </w:p>
    <w:tbl>
      <w:tblPr>
        <w:tblLayout w:type="fixed"/>
        <w:tblInd w:w="1640" w:type="dxa"/>
        <w:tblCellMar>
          <w:top w:w="0" w:type="dxa"/>
          <w:left w:w="0" w:type="dxa"/>
          <w:bottom w:w="0" w:type="dxa"/>
          <w:right w:w="0" w:type="dxa"/>
        </w:tblCellMar>
      </w:tblPr>
      <w:tr>
        <w:trPr>
          <w:trHeight w:val="170"/>
        </w:trPr>
        <w:tc>
          <w:tcPr>
            <w:tcW w:w="6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YEAR</w:t>
            </w:r>
          </w:p>
        </w:tc>
        <w:tc>
          <w:tcPr>
            <w:tcW w:w="2100" w:type="dxa"/>
            <w:vAlign w:val="bottom"/>
          </w:tcPr>
          <w:p>
            <w:pPr>
              <w:ind w:left="1400"/>
              <w:spacing w:after="0"/>
              <w:rPr>
                <w:sz w:val="20"/>
                <w:szCs w:val="20"/>
                <w:color w:val="auto"/>
              </w:rPr>
            </w:pPr>
            <w:r>
              <w:rPr>
                <w:rFonts w:ascii="Courier New" w:cs="Courier New" w:eastAsia="Courier New" w:hAnsi="Courier New"/>
                <w:sz w:val="15"/>
                <w:szCs w:val="15"/>
                <w:color w:val="auto"/>
              </w:rPr>
              <w:t>YEAR</w:t>
            </w:r>
          </w:p>
        </w:tc>
        <w:tc>
          <w:tcPr>
            <w:tcW w:w="2020" w:type="dxa"/>
            <w:vAlign w:val="bottom"/>
            <w:vMerge w:val="restart"/>
          </w:tcPr>
          <w:p>
            <w:pPr>
              <w:spacing w:after="0"/>
              <w:rPr>
                <w:sz w:val="20"/>
                <w:szCs w:val="20"/>
                <w:color w:val="auto"/>
              </w:rPr>
            </w:pPr>
            <w:r>
              <w:rPr>
                <w:rFonts w:ascii="Courier New" w:cs="Courier New" w:eastAsia="Courier New" w:hAnsi="Courier New"/>
                <w:sz w:val="15"/>
                <w:szCs w:val="15"/>
                <w:color w:val="auto"/>
              </w:rPr>
              <w:t>AUG-29-1996</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AUG-31-1995</w:t>
            </w:r>
          </w:p>
        </w:tc>
        <w:tc>
          <w:tcPr>
            <w:tcW w:w="2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2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AUG-31-1995</w:t>
            </w:r>
          </w:p>
        </w:tc>
        <w:tc>
          <w:tcPr>
            <w:tcW w:w="2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AUG-29-1996</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2100" w:type="dxa"/>
            <w:vAlign w:val="bottom"/>
          </w:tcPr>
          <w:p>
            <w:pPr>
              <w:ind w:left="1660"/>
              <w:spacing w:after="0" w:line="168" w:lineRule="exact"/>
              <w:rPr>
                <w:sz w:val="20"/>
                <w:szCs w:val="20"/>
                <w:color w:val="auto"/>
              </w:rPr>
            </w:pPr>
            <w:r>
              <w:rPr>
                <w:rFonts w:ascii="Courier New" w:cs="Courier New" w:eastAsia="Courier New" w:hAnsi="Courier New"/>
                <w:sz w:val="15"/>
                <w:szCs w:val="15"/>
                <w:color w:val="auto"/>
              </w:rPr>
              <w:t>128</w:t>
            </w:r>
          </w:p>
        </w:tc>
        <w:tc>
          <w:tcPr>
            <w:tcW w:w="2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276</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21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428</w:t>
            </w:r>
          </w:p>
        </w:tc>
        <w:tc>
          <w:tcPr>
            <w:tcW w:w="202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21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472</w:t>
            </w:r>
          </w:p>
        </w:tc>
        <w:tc>
          <w:tcPr>
            <w:tcW w:w="20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375</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210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17</w:t>
            </w:r>
          </w:p>
        </w:tc>
        <w:tc>
          <w:tcPr>
            <w:tcW w:w="202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28</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210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205</w:t>
            </w:r>
          </w:p>
        </w:tc>
        <w:tc>
          <w:tcPr>
            <w:tcW w:w="202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251</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21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1,274</w:t>
            </w:r>
          </w:p>
        </w:tc>
        <w:tc>
          <w:tcPr>
            <w:tcW w:w="20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964</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210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2,024</w:t>
            </w:r>
          </w:p>
        </w:tc>
        <w:tc>
          <w:tcPr>
            <w:tcW w:w="2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3,539</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210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638</w:t>
            </w:r>
          </w:p>
        </w:tc>
        <w:tc>
          <w:tcPr>
            <w:tcW w:w="202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831</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21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2,775</w:t>
            </w:r>
          </w:p>
        </w:tc>
        <w:tc>
          <w:tcPr>
            <w:tcW w:w="20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3,752</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2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605</w:t>
            </w:r>
          </w:p>
        </w:tc>
        <w:tc>
          <w:tcPr>
            <w:tcW w:w="202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665</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210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21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21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21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21</w:t>
            </w:r>
          </w:p>
        </w:tc>
        <w:tc>
          <w:tcPr>
            <w:tcW w:w="20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168"/>
        </w:trPr>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2,775</w:t>
            </w:r>
          </w:p>
        </w:tc>
        <w:tc>
          <w:tcPr>
            <w:tcW w:w="21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1,877</w:t>
            </w:r>
          </w:p>
        </w:tc>
        <w:tc>
          <w:tcPr>
            <w:tcW w:w="20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2,481</w:t>
            </w:r>
          </w:p>
        </w:tc>
        <w:tc>
          <w:tcPr>
            <w:tcW w:w="0" w:type="dxa"/>
            <w:vAlign w:val="bottom"/>
          </w:tcPr>
          <w:p>
            <w:pPr>
              <w:spacing w:after="0"/>
              <w:rPr>
                <w:sz w:val="1"/>
                <w:szCs w:val="1"/>
                <w:color w:val="auto"/>
              </w:rPr>
            </w:pPr>
          </w:p>
        </w:tc>
      </w:tr>
      <w:tr>
        <w:trPr>
          <w:trHeight w:val="168"/>
        </w:trPr>
        <w:tc>
          <w:tcPr>
            <w:tcW w:w="600" w:type="dxa"/>
            <w:vAlign w:val="bottom"/>
            <w:vMerge w:val="continue"/>
          </w:tcPr>
          <w:p>
            <w:pPr>
              <w:spacing w:after="0"/>
              <w:rPr>
                <w:sz w:val="14"/>
                <w:szCs w:val="14"/>
                <w:color w:val="auto"/>
              </w:rPr>
            </w:pPr>
          </w:p>
        </w:tc>
        <w:tc>
          <w:tcPr>
            <w:tcW w:w="2100" w:type="dxa"/>
            <w:vAlign w:val="bottom"/>
          </w:tcPr>
          <w:p>
            <w:pPr>
              <w:ind w:left="1660"/>
              <w:spacing w:after="0" w:line="168" w:lineRule="exact"/>
              <w:rPr>
                <w:sz w:val="20"/>
                <w:szCs w:val="20"/>
                <w:color w:val="auto"/>
              </w:rPr>
            </w:pPr>
            <w:r>
              <w:rPr>
                <w:rFonts w:ascii="Courier New" w:cs="Courier New" w:eastAsia="Courier New" w:hAnsi="Courier New"/>
                <w:sz w:val="15"/>
                <w:szCs w:val="15"/>
                <w:color w:val="auto"/>
                <w:w w:val="93"/>
              </w:rPr>
              <w:t>3,752</w:t>
            </w:r>
          </w:p>
        </w:tc>
        <w:tc>
          <w:tcPr>
            <w:tcW w:w="2020" w:type="dxa"/>
            <w:vAlign w:val="bottom"/>
            <w:vMerge w:val="restart"/>
          </w:tcPr>
          <w:p>
            <w:pPr>
              <w:ind w:left="1400"/>
              <w:spacing w:after="0"/>
              <w:rPr>
                <w:sz w:val="20"/>
                <w:szCs w:val="20"/>
                <w:color w:val="auto"/>
              </w:rPr>
            </w:pPr>
            <w:r>
              <w:rPr>
                <w:rFonts w:ascii="Courier New" w:cs="Courier New" w:eastAsia="Courier New" w:hAnsi="Courier New"/>
                <w:sz w:val="15"/>
                <w:szCs w:val="15"/>
                <w:color w:val="auto"/>
              </w:rPr>
              <w:t>3,654</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21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2,953</w:t>
            </w:r>
          </w:p>
        </w:tc>
        <w:tc>
          <w:tcPr>
            <w:tcW w:w="2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21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2,953</w:t>
            </w:r>
          </w:p>
        </w:tc>
        <w:tc>
          <w:tcPr>
            <w:tcW w:w="20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3,654</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21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1,329</w:t>
            </w:r>
          </w:p>
        </w:tc>
        <w:tc>
          <w:tcPr>
            <w:tcW w:w="20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w w:val="93"/>
              </w:rPr>
              <w:t>2,198</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21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1,656</w:t>
            </w:r>
          </w:p>
        </w:tc>
        <w:tc>
          <w:tcPr>
            <w:tcW w:w="20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2,709</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21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(29)</w:t>
            </w:r>
          </w:p>
        </w:tc>
        <w:tc>
          <w:tcPr>
            <w:tcW w:w="202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210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21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(25)</w:t>
            </w:r>
          </w:p>
        </w:tc>
        <w:tc>
          <w:tcPr>
            <w:tcW w:w="202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21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1,350</w:t>
            </w:r>
          </w:p>
        </w:tc>
        <w:tc>
          <w:tcPr>
            <w:tcW w:w="20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951</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21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506</w:t>
            </w:r>
          </w:p>
        </w:tc>
        <w:tc>
          <w:tcPr>
            <w:tcW w:w="20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357</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21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21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21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21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21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844</w:t>
            </w:r>
          </w:p>
        </w:tc>
        <w:tc>
          <w:tcPr>
            <w:tcW w:w="20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594</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210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3.95</w:t>
            </w:r>
          </w:p>
        </w:tc>
        <w:tc>
          <w:tcPr>
            <w:tcW w:w="202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2.76</w:t>
            </w:r>
          </w:p>
        </w:tc>
        <w:tc>
          <w:tcPr>
            <w:tcW w:w="0" w:type="dxa"/>
            <w:vAlign w:val="bottom"/>
          </w:tcPr>
          <w:p>
            <w:pPr>
              <w:spacing w:after="0"/>
              <w:rPr>
                <w:sz w:val="1"/>
                <w:szCs w:val="1"/>
                <w:color w:val="auto"/>
              </w:rPr>
            </w:pPr>
          </w:p>
        </w:tc>
      </w:tr>
      <w:tr>
        <w:trPr>
          <w:trHeight w:val="245"/>
        </w:trPr>
        <w:tc>
          <w:tcPr>
            <w:tcW w:w="600" w:type="dxa"/>
            <w:vAlign w:val="bottom"/>
          </w:tcPr>
          <w:p>
            <w:pPr>
              <w:spacing w:after="0"/>
              <w:rPr>
                <w:sz w:val="21"/>
                <w:szCs w:val="21"/>
                <w:color w:val="auto"/>
              </w:rPr>
            </w:pPr>
          </w:p>
        </w:tc>
        <w:tc>
          <w:tcPr>
            <w:tcW w:w="2100" w:type="dxa"/>
            <w:vAlign w:val="bottom"/>
          </w:tcPr>
          <w:p>
            <w:pPr>
              <w:ind w:left="960"/>
              <w:spacing w:after="0"/>
              <w:rPr>
                <w:sz w:val="20"/>
                <w:szCs w:val="20"/>
                <w:color w:val="auto"/>
              </w:rPr>
            </w:pPr>
            <w:r>
              <w:rPr>
                <w:rFonts w:ascii="Courier New" w:cs="Courier New" w:eastAsia="Courier New" w:hAnsi="Courier New"/>
                <w:sz w:val="15"/>
                <w:szCs w:val="15"/>
                <w:color w:val="auto"/>
              </w:rPr>
              <w:t>3.90</w:t>
            </w:r>
          </w:p>
        </w:tc>
        <w:tc>
          <w:tcPr>
            <w:tcW w:w="2020" w:type="dxa"/>
            <w:vAlign w:val="bottom"/>
          </w:tcPr>
          <w:p>
            <w:pPr>
              <w:ind w:left="960"/>
              <w:spacing w:after="0"/>
              <w:rPr>
                <w:sz w:val="20"/>
                <w:szCs w:val="20"/>
                <w:color w:val="auto"/>
              </w:rPr>
            </w:pPr>
            <w:r>
              <w:rPr>
                <w:rFonts w:ascii="Courier New" w:cs="Courier New" w:eastAsia="Courier New" w:hAnsi="Courier New"/>
                <w:sz w:val="15"/>
                <w:szCs w:val="15"/>
                <w:color w:val="auto"/>
              </w:rPr>
              <w:t>2.76</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199"/>
      </w:cols>
      <w:pgMar w:left="260"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5014ACB"/>
    <w:multiLevelType w:val="hybridMultilevel"/>
    <w:lvl w:ilvl="0">
      <w:lvlJc w:val="left"/>
      <w:lvlText w:val="-"/>
      <w:numFmt w:val="bullet"/>
      <w:start w:val="1"/>
    </w:lvl>
  </w:abstractNum>
  <w:abstractNum w:abstractNumId="1">
    <w:nsid w:val="5F5E7FD0"/>
    <w:multiLevelType w:val="hybridMultilevel"/>
    <w:lvl w:ilvl="0">
      <w:lvlJc w:val="left"/>
      <w:lvlText w:val="[%1]"/>
      <w:numFmt w:val="upperLetter"/>
      <w:start w:val="24"/>
    </w:lvl>
  </w:abstractNum>
  <w:abstractNum w:abstractNumId="2">
    <w:nsid w:val="98A3148"/>
    <w:multiLevelType w:val="hybridMultilevel"/>
    <w:lvl w:ilvl="0">
      <w:lvlJc w:val="left"/>
      <w:lvlText w:val="-"/>
      <w:numFmt w:val="bullet"/>
      <w:start w:val="1"/>
    </w:lvl>
  </w:abstractNum>
  <w:abstractNum w:abstractNumId="3">
    <w:nsid w:val="799D0247"/>
    <w:multiLevelType w:val="hybridMultilevel"/>
    <w:lvl w:ilvl="0">
      <w:lvlJc w:val="left"/>
      <w:lvlText w:val="%1."/>
      <w:numFmt w:val="decimal"/>
      <w:start w:val="7"/>
    </w:lvl>
  </w:abstractNum>
  <w:abstractNum w:abstractNumId="4">
    <w:nsid w:val="6B94764"/>
    <w:multiLevelType w:val="hybridMultilevel"/>
    <w:lvl w:ilvl="0">
      <w:lvlJc w:val="left"/>
      <w:lvlText w:val="%1."/>
      <w:numFmt w:val="decimal"/>
      <w:start w:val="7"/>
    </w:lvl>
  </w:abstractNum>
  <w:abstractNum w:abstractNumId="5">
    <w:nsid w:val="42C296BD"/>
    <w:multiLevelType w:val="hybridMultilevel"/>
    <w:lvl w:ilvl="0">
      <w:lvlJc w:val="left"/>
      <w:lvlText w:val="(%1)"/>
      <w:numFmt w:val="decimal"/>
      <w:start w:val="1"/>
    </w:lvl>
  </w:abstractNum>
  <w:abstractNum w:abstractNumId="6">
    <w:nsid w:val="168E121F"/>
    <w:multiLevelType w:val="hybridMultilevel"/>
    <w:lvl w:ilvl="0">
      <w:lvlJc w:val="left"/>
      <w:lvlText w:val="-"/>
      <w:numFmt w:val="bullet"/>
      <w:start w:val="1"/>
    </w:lvl>
  </w:abstractNum>
  <w:abstractNum w:abstractNumId="7">
    <w:nsid w:val="1EBA5D23"/>
    <w:multiLevelType w:val="hybridMultilevel"/>
    <w:lvl w:ilvl="0">
      <w:lvlJc w:val="left"/>
      <w:lvlText w:val="-"/>
      <w:numFmt w:val="bullet"/>
      <w:start w:val="1"/>
    </w:lvl>
  </w:abstractNum>
  <w:abstractNum w:abstractNumId="8">
    <w:nsid w:val="661E3F1E"/>
    <w:multiLevelType w:val="hybridMultilevel"/>
    <w:lvl w:ilvl="0">
      <w:lvlJc w:val="left"/>
      <w:lvlText w:val="-"/>
      <w:numFmt w:val="bullet"/>
      <w:start w:val="1"/>
    </w:lvl>
  </w:abstractNum>
  <w:abstractNum w:abstractNumId="9">
    <w:nsid w:val="5DC79EA8"/>
    <w:multiLevelType w:val="hybridMultilevel"/>
    <w:lvl w:ilvl="0">
      <w:lvlJc w:val="left"/>
      <w:lvlText w:val="-"/>
      <w:numFmt w:val="bullet"/>
      <w:start w:val="1"/>
    </w:lvl>
  </w:abstractNum>
  <w:abstractNum w:abstractNumId="10">
    <w:nsid w:val="540A471C"/>
    <w:multiLevelType w:val="hybridMultilevel"/>
    <w:lvl w:ilvl="0">
      <w:lvlJc w:val="left"/>
      <w:lvlText w:val="-"/>
      <w:numFmt w:val="bullet"/>
      <w:start w:val="1"/>
    </w:lvl>
  </w:abstractNum>
  <w:abstractNum w:abstractNumId="11">
    <w:nsid w:val="7BD3EE7B"/>
    <w:multiLevelType w:val="hybridMultilevel"/>
    <w:lvl w:ilvl="0">
      <w:lvlJc w:val="left"/>
      <w:lvlText w:val="-"/>
      <w:numFmt w:val="bullet"/>
      <w:start w:val="1"/>
    </w:lvl>
  </w:abstractNum>
  <w:abstractNum w:abstractNumId="12">
    <w:nsid w:val="51D9C564"/>
    <w:multiLevelType w:val="hybridMultilevel"/>
    <w:lvl w:ilvl="0">
      <w:lvlJc w:val="left"/>
      <w:lvlText w:val="-"/>
      <w:numFmt w:val="bullet"/>
      <w:start w:val="1"/>
    </w:lvl>
  </w:abstractNum>
  <w:abstractNum w:abstractNumId="13">
    <w:nsid w:val="613EFDC5"/>
    <w:multiLevelType w:val="hybridMultilevel"/>
    <w:lvl w:ilvl="0">
      <w:lvlJc w:val="left"/>
      <w:lvlText w:val="-"/>
      <w:numFmt w:val="bullet"/>
      <w:start w:val="1"/>
    </w:lvl>
  </w:abstractNum>
  <w:abstractNum w:abstractNumId="14">
    <w:nsid w:val="BF72B14"/>
    <w:multiLevelType w:val="hybridMultilevel"/>
    <w:lvl w:ilvl="0">
      <w:lvlJc w:val="left"/>
      <w:lvlText w:val=")"/>
      <w:numFmt w:val="bullet"/>
      <w:start w:val="1"/>
    </w:lvl>
  </w:abstractNum>
  <w:abstractNum w:abstractNumId="15">
    <w:nsid w:val="11447B73"/>
    <w:multiLevelType w:val="hybridMultilevel"/>
    <w:lvl w:ilvl="0">
      <w:lvlJc w:val="left"/>
      <w:lvlText w:val="----"/>
      <w:numFmt w:val="bullet"/>
      <w:start w:val="1"/>
    </w:lvl>
  </w:abstractNum>
  <w:abstractNum w:abstractNumId="16">
    <w:nsid w:val="42963E5A"/>
    <w:multiLevelType w:val="hybridMultilevel"/>
    <w:lvl w:ilvl="0">
      <w:lvlJc w:val="left"/>
      <w:lvlText w:val="-"/>
      <w:numFmt w:val="bullet"/>
      <w:start w:val="1"/>
    </w:lvl>
  </w:abstractNum>
  <w:abstractNum w:abstractNumId="17">
    <w:nsid w:val="A0382C5"/>
    <w:multiLevelType w:val="hybridMultilevel"/>
    <w:lvl w:ilvl="0">
      <w:lvlJc w:val="left"/>
      <w:lvlText w:val="-"/>
      <w:numFmt w:val="bullet"/>
      <w:start w:val="1"/>
    </w:lvl>
  </w:abstractNum>
  <w:abstractNum w:abstractNumId="18">
    <w:nsid w:val="8F2B15E"/>
    <w:multiLevelType w:val="hybridMultilevel"/>
    <w:lvl w:ilvl="0">
      <w:lvlJc w:val="left"/>
      <w:lvlText w:val="-"/>
      <w:numFmt w:val="bullet"/>
      <w:start w:val="1"/>
    </w:lvl>
  </w:abstractNum>
  <w:abstractNum w:abstractNumId="19">
    <w:nsid w:val="1A32234B"/>
    <w:multiLevelType w:val="hybridMultilevel"/>
    <w:lvl w:ilvl="0">
      <w:lvlJc w:val="left"/>
      <w:lvlText w:val="-"/>
      <w:numFmt w:val="bullet"/>
      <w:start w:val="1"/>
    </w:lvl>
  </w:abstractNum>
  <w:abstractNum w:abstractNumId="20">
    <w:nsid w:val="3B0FD379"/>
    <w:multiLevelType w:val="hybridMultilevel"/>
    <w:lvl w:ilvl="0">
      <w:lvlJc w:val="left"/>
      <w:lvlText w:val="-"/>
      <w:numFmt w:val="bullet"/>
      <w:start w:val="1"/>
    </w:lvl>
  </w:abstractNum>
  <w:abstractNum w:abstractNumId="21">
    <w:nsid w:val="68EB2F63"/>
    <w:multiLevelType w:val="hybridMultilevel"/>
    <w:lvl w:ilvl="0">
      <w:lvlJc w:val="left"/>
      <w:lvlText w:val="-"/>
      <w:numFmt w:val="bullet"/>
      <w:start w:val="1"/>
    </w:lvl>
  </w:abstractNum>
  <w:abstractNum w:abstractNumId="22">
    <w:nsid w:val="4962813B"/>
    <w:multiLevelType w:val="hybridMultilevel"/>
    <w:lvl w:ilvl="0">
      <w:lvlJc w:val="left"/>
      <w:lvlText w:val="(%1)"/>
      <w:numFmt w:val="lowerLetter"/>
      <w:start w:val="1"/>
    </w:lvl>
  </w:abstractNum>
  <w:abstractNum w:abstractNumId="23">
    <w:nsid w:val="60B6DF70"/>
    <w:multiLevelType w:val="hybridMultilevel"/>
    <w:lvl w:ilvl="0">
      <w:lvlJc w:val="left"/>
      <w:lvlText w:val="(%1)"/>
      <w:numFmt w:val="lowerLetter"/>
      <w:start w:val="2"/>
    </w:lvl>
  </w:abstractNum>
  <w:abstractNum w:abstractNumId="24">
    <w:nsid w:val="6A5EE64"/>
    <w:multiLevelType w:val="hybridMultilevel"/>
    <w:lvl w:ilvl="0">
      <w:lvlJc w:val="left"/>
      <w:lvlText w:val="%1"/>
      <w:numFmt w:val="lowerLetter"/>
      <w:start w:val="1"/>
    </w:lvl>
    <w:lvl w:ilvl="1">
      <w:lvlJc w:val="left"/>
      <w:lvlText w:val="(%2)"/>
      <w:numFmt w:val="lowerLetter"/>
      <w:start w:val="3"/>
    </w:lvl>
  </w:abstractNum>
  <w:abstractNum w:abstractNumId="25">
    <w:nsid w:val="14330624"/>
    <w:multiLevelType w:val="hybridMultilevel"/>
    <w:lvl w:ilvl="0">
      <w:lvlJc w:val="left"/>
      <w:lvlText w:val="(%1)"/>
      <w:numFmt w:val="lowerLetter"/>
      <w:start w:val="9"/>
    </w:lvl>
    <w:lvl w:ilvl="1">
      <w:lvlJc w:val="left"/>
      <w:lvlText w:val="%2"/>
      <w:numFmt w:val="lowerLetter"/>
      <w:start w:val="1"/>
    </w:lvl>
  </w:abstractNum>
  <w:abstractNum w:abstractNumId="26">
    <w:nsid w:val="7FFFCA11"/>
    <w:multiLevelType w:val="hybridMultilevel"/>
    <w:lvl w:ilvl="0">
      <w:lvlJc w:val="left"/>
      <w:lvlText w:val="%1."/>
      <w:numFmt w:val="decimal"/>
      <w:start w:val="12"/>
    </w:lvl>
  </w:abstractNum>
  <w:abstractNum w:abstractNumId="27">
    <w:nsid w:val="1A27709E"/>
    <w:multiLevelType w:val="hybridMultilevel"/>
    <w:lvl w:ilvl="0">
      <w:lvlJc w:val="left"/>
      <w:lvlText w:val="%1."/>
      <w:numFmt w:val="upperLetter"/>
      <w:start w:val="1"/>
    </w:lvl>
  </w:abstractNum>
  <w:abstractNum w:abstractNumId="28">
    <w:nsid w:val="71EA1109"/>
    <w:multiLevelType w:val="hybridMultilevel"/>
    <w:lvl w:ilvl="0">
      <w:lvlJc w:val="left"/>
      <w:lvlText w:val="%1."/>
      <w:numFmt w:val="upperLetter"/>
      <w:start w:val="2"/>
    </w:lvl>
  </w:abstractNum>
  <w:abstractNum w:abstractNumId="29">
    <w:nsid w:val="100F59DC"/>
    <w:multiLevelType w:val="hybridMultilevel"/>
    <w:lvl w:ilvl="0">
      <w:lvlJc w:val="left"/>
      <w:lvlText w:val="%1."/>
      <w:numFmt w:val="decimal"/>
      <w:start w:val="1"/>
    </w:lvl>
  </w:abstractNum>
  <w:abstractNum w:abstractNumId="30">
    <w:nsid w:val="7FB7E0AA"/>
    <w:multiLevelType w:val="hybridMultilevel"/>
    <w:lvl w:ilvl="0">
      <w:lvlJc w:val="left"/>
      <w:lvlText w:val="%1."/>
      <w:numFmt w:val="decimal"/>
      <w:start w:val="2"/>
    </w:lvl>
    <w:lvl w:ilvl="1">
      <w:lvlJc w:val="left"/>
      <w:lvlText w:val="(%2)"/>
      <w:numFmt w:val="lowerLetter"/>
      <w:start w:val="1"/>
    </w:lvl>
  </w:abstractNum>
  <w:abstractNum w:abstractNumId="31">
    <w:nsid w:val="6EB5BD4"/>
    <w:multiLevelType w:val="hybridMultilevel"/>
    <w:lvl w:ilvl="0">
      <w:lvlJc w:val="left"/>
      <w:lvlText w:val="(%1)"/>
      <w:numFmt w:val="lowerLetter"/>
      <w:start w:val="3"/>
    </w:lvl>
  </w:abstractNum>
  <w:abstractNum w:abstractNumId="32">
    <w:nsid w:val="6F6DD9AC"/>
    <w:multiLevelType w:val="hybridMultilevel"/>
    <w:lvl w:ilvl="0">
      <w:lvlJc w:val="left"/>
      <w:lvlText w:val="(%1)"/>
      <w:numFmt w:val="lowerLetter"/>
      <w:start w:val="4"/>
    </w:lvl>
  </w:abstractNum>
  <w:abstractNum w:abstractNumId="33">
    <w:nsid w:val="94211F2"/>
    <w:multiLevelType w:val="hybridMultilevel"/>
    <w:lvl w:ilvl="0">
      <w:lvlJc w:val="left"/>
      <w:lvlText w:val="(%1)"/>
      <w:numFmt w:val="lowerLetter"/>
      <w:start w:val="5"/>
    </w:lvl>
  </w:abstractNum>
  <w:abstractNum w:abstractNumId="34">
    <w:nsid w:val="885E1B"/>
    <w:multiLevelType w:val="hybridMultilevel"/>
    <w:lvl w:ilvl="0">
      <w:lvlJc w:val="left"/>
      <w:lvlText w:val="(%1)"/>
      <w:numFmt w:val="lowerLetter"/>
      <w:start w:val="6"/>
    </w:lvl>
  </w:abstractNum>
  <w:abstractNum w:abstractNumId="35">
    <w:nsid w:val="76272110"/>
    <w:multiLevelType w:val="hybridMultilevel"/>
    <w:lvl w:ilvl="0">
      <w:lvlJc w:val="left"/>
      <w:lvlText w:val="(%1)"/>
      <w:numFmt w:val="lowerLetter"/>
      <w:start w:val="7"/>
    </w:lvl>
  </w:abstractNum>
  <w:abstractNum w:abstractNumId="36">
    <w:nsid w:val="4C04A8AF"/>
    <w:multiLevelType w:val="hybridMultilevel"/>
    <w:lvl w:ilvl="0">
      <w:lvlJc w:val="left"/>
      <w:lvlText w:val="(%1)"/>
      <w:numFmt w:val="lowerLetter"/>
      <w:start w:val="8"/>
    </w:lvl>
  </w:abstractNum>
  <w:abstractNum w:abstractNumId="37">
    <w:nsid w:val="1716703B"/>
    <w:multiLevelType w:val="hybridMultilevel"/>
    <w:lvl w:ilvl="0">
      <w:lvlJc w:val="left"/>
      <w:lvlText w:val="(%1)"/>
      <w:numFmt w:val="lowerRoman"/>
      <w:start w:val="1"/>
    </w:lvl>
  </w:abstractNum>
  <w:abstractNum w:abstractNumId="38">
    <w:nsid w:val="14E17E33"/>
    <w:multiLevelType w:val="hybridMultilevel"/>
    <w:lvl w:ilvl="0">
      <w:lvlJc w:val="left"/>
      <w:lvlText w:val="(%1)"/>
      <w:numFmt w:val="lowerRoman"/>
      <w:start w:val="2"/>
    </w:lvl>
  </w:abstractNum>
  <w:abstractNum w:abstractNumId="39">
    <w:nsid w:val="3222E7CD"/>
    <w:multiLevelType w:val="hybridMultilevel"/>
    <w:lvl w:ilvl="0">
      <w:lvlJc w:val="left"/>
      <w:lvlText w:val="(%1)"/>
      <w:numFmt w:val="lowerLetter"/>
      <w:start w:val="10"/>
    </w:lvl>
  </w:abstractNum>
  <w:abstractNum w:abstractNumId="40">
    <w:nsid w:val="74DE0EE3"/>
    <w:multiLevelType w:val="hybridMultilevel"/>
    <w:lvl w:ilvl="0">
      <w:lvlJc w:val="left"/>
      <w:lvlText w:val="(%1)"/>
      <w:numFmt w:val="lowerLetter"/>
      <w:start w:val="11"/>
    </w:lvl>
  </w:abstractNum>
  <w:abstractNum w:abstractNumId="41">
    <w:nsid w:val="68EBC550"/>
    <w:multiLevelType w:val="hybridMultilevel"/>
    <w:lvl w:ilvl="0">
      <w:lvlJc w:val="left"/>
      <w:lvlText w:val="(%1)"/>
      <w:numFmt w:val="lowerLetter"/>
      <w:start w:val="12"/>
    </w:lvl>
  </w:abstractNum>
  <w:abstractNum w:abstractNumId="42">
    <w:nsid w:val="2DF6D648"/>
    <w:multiLevelType w:val="hybridMultilevel"/>
    <w:lvl w:ilvl="0">
      <w:lvlJc w:val="left"/>
      <w:lvlText w:val="(%1)"/>
      <w:numFmt w:val="lowerLetter"/>
      <w:start w:val="13"/>
    </w:lvl>
  </w:abstractNum>
  <w:abstractNum w:abstractNumId="43">
    <w:nsid w:val="46B7D447"/>
    <w:multiLevelType w:val="hybridMultilevel"/>
    <w:lvl w:ilvl="0">
      <w:lvlJc w:val="left"/>
      <w:lvlText w:val="(%1)"/>
      <w:numFmt w:val="lowerLetter"/>
      <w:start w:val="14"/>
    </w:lvl>
  </w:abstractNum>
  <w:abstractNum w:abstractNumId="44">
    <w:nsid w:val="4A2AC315"/>
    <w:multiLevelType w:val="hybridMultilevel"/>
    <w:lvl w:ilvl="0">
      <w:lvlJc w:val="left"/>
      <w:lvlText w:val="(%1)"/>
      <w:numFmt w:val="lowerLetter"/>
      <w:start w:val="15"/>
    </w:lvl>
  </w:abstractNum>
  <w:abstractNum w:abstractNumId="45">
    <w:nsid w:val="39EE015C"/>
    <w:multiLevelType w:val="hybridMultilevel"/>
    <w:lvl w:ilvl="0">
      <w:lvlJc w:val="left"/>
      <w:lvlText w:val="(%1)"/>
      <w:numFmt w:val="lowerLetter"/>
      <w:start w:val="18"/>
    </w:lvl>
  </w:abstractNum>
  <w:abstractNum w:abstractNumId="46">
    <w:nsid w:val="57FC4FBB"/>
    <w:multiLevelType w:val="hybridMultilevel"/>
    <w:lvl w:ilvl="0">
      <w:lvlJc w:val="left"/>
      <w:lvlText w:val="%1."/>
      <w:numFmt w:val="decimal"/>
      <w:start w:val="3"/>
    </w:lvl>
  </w:abstractNum>
  <w:abstractNum w:abstractNumId="47">
    <w:nsid w:val="CC1016F"/>
    <w:multiLevelType w:val="hybridMultilevel"/>
    <w:lvl w:ilvl="0">
      <w:lvlJc w:val="left"/>
      <w:lvlText w:val="(%1)"/>
      <w:numFmt w:val="lowerLetter"/>
      <w:start w:val="1"/>
    </w:lvl>
  </w:abstractNum>
  <w:abstractNum w:abstractNumId="48">
    <w:nsid w:val="43F18422"/>
    <w:multiLevelType w:val="hybridMultilevel"/>
    <w:lvl w:ilvl="0">
      <w:lvlJc w:val="left"/>
      <w:lvlText w:val="%1"/>
      <w:numFmt w:val="decimal"/>
      <w:start w:val="1"/>
    </w:lvl>
    <w:lvl w:ilvl="1">
      <w:lvlJc w:val="left"/>
      <w:lvlText w:val="(%2)"/>
      <w:numFmt w:val="lowerLetter"/>
      <w:start w:val="3"/>
    </w:lvl>
  </w:abstractNum>
  <w:abstractNum w:abstractNumId="49">
    <w:nsid w:val="60EF0119"/>
    <w:multiLevelType w:val="hybridMultilevel"/>
    <w:lvl w:ilvl="0">
      <w:lvlJc w:val="left"/>
      <w:lvlText w:val="%1."/>
      <w:numFmt w:val="decimal"/>
      <w:start w:val="4"/>
    </w:lvl>
    <w:lvl w:ilvl="1">
      <w:lvlJc w:val="left"/>
      <w:lvlText w:val="%2"/>
      <w:numFmt w:val="lowerLetter"/>
      <w:start w:val="1"/>
    </w:lvl>
  </w:abstractNum>
  <w:abstractNum w:abstractNumId="50">
    <w:nsid w:val="26F324BA"/>
    <w:multiLevelType w:val="hybridMultilevel"/>
    <w:lvl w:ilvl="0">
      <w:lvlJc w:val="left"/>
      <w:lvlText w:val="%1"/>
      <w:numFmt w:val="decimal"/>
      <w:start w:val="1"/>
    </w:lvl>
    <w:lvl w:ilvl="1">
      <w:lvlJc w:val="left"/>
      <w:lvlText w:val="(%2)"/>
      <w:numFmt w:val="lowerLetter"/>
      <w:start w:val="1"/>
    </w:lvl>
  </w:abstractNum>
  <w:abstractNum w:abstractNumId="51">
    <w:nsid w:val="7F01579B"/>
    <w:multiLevelType w:val="hybridMultilevel"/>
    <w:lvl w:ilvl="0">
      <w:lvlJc w:val="left"/>
      <w:lvlText w:val="%1."/>
      <w:numFmt w:val="decimal"/>
      <w:start w:val="5"/>
    </w:lvl>
    <w:lvl w:ilvl="1">
      <w:lvlJc w:val="left"/>
      <w:lvlText w:val="%2"/>
      <w:numFmt w:val="lowerLetter"/>
      <w:start w:val="1"/>
    </w:lvl>
  </w:abstractNum>
  <w:abstractNum w:abstractNumId="52">
    <w:nsid w:val="49DA307D"/>
    <w:multiLevelType w:val="hybridMultilevel"/>
    <w:lvl w:ilvl="0">
      <w:lvlJc w:val="left"/>
      <w:lvlText w:val="%1."/>
      <w:numFmt w:val="decimal"/>
      <w:start w:val="6"/>
    </w:lvl>
    <w:lvl w:ilvl="1">
      <w:lvlJc w:val="left"/>
      <w:lvlText w:val="(%2)"/>
      <w:numFmt w:val="lowerLetter"/>
      <w:start w:val="1"/>
    </w:lvl>
  </w:abstractNum>
  <w:abstractNum w:abstractNumId="53">
    <w:nsid w:val="7055A5F5"/>
    <w:multiLevelType w:val="hybridMultilevel"/>
    <w:lvl w:ilvl="0">
      <w:lvlJc w:val="left"/>
      <w:lvlText w:val="(%1)"/>
      <w:numFmt w:val="lowerLetter"/>
      <w:start w:val="5"/>
    </w:lvl>
  </w:abstractNum>
  <w:abstractNum w:abstractNumId="54">
    <w:nsid w:val="5FB8370B"/>
    <w:multiLevelType w:val="hybridMultilevel"/>
    <w:lvl w:ilvl="0">
      <w:lvlJc w:val="left"/>
      <w:lvlText w:val="%1."/>
      <w:numFmt w:val="decimal"/>
      <w:start w:val="1"/>
    </w:lvl>
    <w:lvl w:ilvl="1">
      <w:lvlJc w:val="left"/>
      <w:lvlText w:val="(%2)"/>
      <w:numFmt w:val="lowerLetter"/>
      <w:start w:val="1"/>
    </w:lvl>
  </w:abstractNum>
  <w:abstractNum w:abstractNumId="55">
    <w:nsid w:val="50801EE1"/>
    <w:multiLevelType w:val="hybridMultilevel"/>
    <w:lvl w:ilvl="0">
      <w:lvlJc w:val="left"/>
      <w:lvlText w:val="%1."/>
      <w:numFmt w:val="decimal"/>
      <w:start w:val="5"/>
    </w:lvl>
  </w:abstractNum>
  <w:abstractNum w:abstractNumId="56">
    <w:nsid w:val="488AC1A"/>
    <w:multiLevelType w:val="hybridMultilevel"/>
    <w:lvl w:ilvl="0">
      <w:lvlJc w:val="left"/>
      <w:lvlText w:val="%1."/>
      <w:numFmt w:val="decimal"/>
      <w:start w:val="7"/>
    </w:lvl>
  </w:abstractNum>
  <w:abstractNum w:abstractNumId="57">
    <w:nsid w:val="5FB8011C"/>
    <w:multiLevelType w:val="hybridMultilevel"/>
    <w:lvl w:ilvl="0">
      <w:lvlJc w:val="left"/>
      <w:lvlText w:val="%1."/>
      <w:numFmt w:val="decimal"/>
      <w:start w:val="1"/>
    </w:lvl>
  </w:abstractNum>
  <w:abstractNum w:abstractNumId="58">
    <w:nsid w:val="6AA78F7F"/>
    <w:multiLevelType w:val="hybridMultilevel"/>
    <w:lvl w:ilvl="0">
      <w:lvlJc w:val="left"/>
      <w:lvlText w:val="%1."/>
      <w:numFmt w:val="decimal"/>
      <w:start w:val="1"/>
    </w:lvl>
  </w:abstractNum>
  <w:abstractNum w:abstractNumId="59">
    <w:nsid w:val="7672BD23"/>
    <w:multiLevelType w:val="hybridMultilevel"/>
    <w:lvl w:ilvl="0">
      <w:lvlJc w:val="left"/>
      <w:lvlText w:val="%1."/>
      <w:numFmt w:val="decimal"/>
      <w:start w:val="2"/>
    </w:lvl>
  </w:abstractNum>
  <w:abstractNum w:abstractNumId="60">
    <w:nsid w:val="6FC75AF8"/>
    <w:multiLevelType w:val="hybridMultilevel"/>
    <w:lvl w:ilvl="0">
      <w:lvlJc w:val="left"/>
      <w:lvlText w:val="%1."/>
      <w:numFmt w:val="decimal"/>
      <w:start w:val="3"/>
    </w:lvl>
  </w:abstractNum>
  <w:abstractNum w:abstractNumId="61">
    <w:nsid w:val="6A5F7029"/>
    <w:multiLevelType w:val="hybridMultilevel"/>
    <w:lvl w:ilvl="0">
      <w:lvlJc w:val="left"/>
      <w:lvlText w:val="-"/>
      <w:numFmt w:val="bullet"/>
      <w:start w:val="1"/>
    </w:lvl>
  </w:abstractNum>
  <w:abstractNum w:abstractNumId="62">
    <w:nsid w:val="7D5E18F8"/>
    <w:multiLevelType w:val="hybridMultilevel"/>
    <w:lvl w:ilvl="0">
      <w:lvlJc w:val="left"/>
      <w:lvlText w:val="%1."/>
      <w:numFmt w:val="decimal"/>
      <w:start w:val="1"/>
    </w:lvl>
  </w:abstractNum>
  <w:abstractNum w:abstractNumId="63">
    <w:nsid w:val="5F3534A4"/>
    <w:multiLevelType w:val="hybridMultilevel"/>
    <w:lvl w:ilvl="0">
      <w:lvlJc w:val="left"/>
      <w:lvlText w:val="%1."/>
      <w:numFmt w:val="upperLetter"/>
      <w:start w:val="1"/>
    </w:lvl>
  </w:abstractNum>
  <w:abstractNum w:abstractNumId="64">
    <w:nsid w:val="73A1821B"/>
    <w:multiLevelType w:val="hybridMultilevel"/>
    <w:lvl w:ilvl="0">
      <w:lvlJc w:val="left"/>
      <w:lvlText w:val="(%1)"/>
      <w:numFmt w:val="lowerRoman"/>
      <w:start w:val="2"/>
    </w:lvl>
  </w:abstractNum>
  <w:abstractNum w:abstractNumId="65">
    <w:nsid w:val="7DE67713"/>
    <w:multiLevelType w:val="hybridMultilevel"/>
    <w:lvl w:ilvl="0">
      <w:lvlJc w:val="left"/>
      <w:lvlText w:val="%1."/>
      <w:numFmt w:val="decimal"/>
      <w:start w:val="2"/>
    </w:lvl>
  </w:abstractNum>
  <w:abstractNum w:abstractNumId="66">
    <w:nsid w:val="555C55B5"/>
    <w:multiLevelType w:val="hybridMultilevel"/>
    <w:lvl w:ilvl="0">
      <w:lvlJc w:val="left"/>
      <w:lvlText w:val="%1."/>
      <w:numFmt w:val="upperLetter"/>
      <w:start w:val="2"/>
    </w:lvl>
  </w:abstractNum>
  <w:abstractNum w:abstractNumId="67">
    <w:nsid w:val="3FA62ACA"/>
    <w:multiLevelType w:val="hybridMultilevel"/>
    <w:lvl w:ilvl="0">
      <w:lvlJc w:val="left"/>
      <w:lvlText w:val="%1."/>
      <w:numFmt w:val="decimal"/>
      <w:start w:val="4"/>
    </w:lvl>
  </w:abstractNum>
  <w:abstractNum w:abstractNumId="68">
    <w:nsid w:val="14FCE74E"/>
    <w:multiLevelType w:val="hybridMultilevel"/>
    <w:lvl w:ilvl="0">
      <w:lvlJc w:val="left"/>
      <w:lvlText w:val="%1."/>
      <w:numFmt w:val="upperLetter"/>
      <w:start w:val="1"/>
    </w:lvl>
  </w:abstractNum>
  <w:abstractNum w:abstractNumId="69">
    <w:nsid w:val="6A3DD3E8"/>
    <w:multiLevelType w:val="hybridMultilevel"/>
    <w:lvl w:ilvl="0">
      <w:lvlJc w:val="left"/>
      <w:lvlText w:val="%1."/>
      <w:numFmt w:val="decimal"/>
      <w:start w:val="5"/>
    </w:lvl>
  </w:abstractNum>
  <w:abstractNum w:abstractNumId="70">
    <w:nsid w:val="71C91298"/>
    <w:multiLevelType w:val="hybridMultilevel"/>
    <w:lvl w:ilvl="0">
      <w:lvlJc w:val="left"/>
      <w:lvlText w:val="%1."/>
      <w:numFmt w:val="decimal"/>
      <w:start w:val="8"/>
    </w:lvl>
  </w:abstractNum>
  <w:abstractNum w:abstractNumId="71">
    <w:nsid w:val="9DAF632"/>
    <w:multiLevelType w:val="hybridMultilevel"/>
    <w:lvl w:ilvl="0">
      <w:lvlJc w:val="left"/>
      <w:lvlText w:val="%1."/>
      <w:numFmt w:val="decimal"/>
      <w:start w:val="10"/>
    </w:lvl>
  </w:abstractNum>
  <w:abstractNum w:abstractNumId="72">
    <w:nsid w:val="53299938"/>
    <w:multiLevelType w:val="hybridMultilevel"/>
    <w:lvl w:ilvl="0">
      <w:lvlJc w:val="left"/>
      <w:lvlText w:val="%1."/>
      <w:numFmt w:val="decimal"/>
      <w:start w:val="13"/>
    </w:lvl>
  </w:abstractNum>
  <w:abstractNum w:abstractNumId="73">
    <w:nsid w:val="1FBFE8E0"/>
    <w:multiLevelType w:val="hybridMultilevel"/>
    <w:lvl w:ilvl="0">
      <w:lvlJc w:val="left"/>
      <w:lvlText w:val="%1."/>
      <w:numFmt w:val="decimal"/>
      <w:start w:val="14"/>
    </w:lvl>
  </w:abstractNum>
  <w:abstractNum w:abstractNumId="74">
    <w:nsid w:val="5092CA79"/>
    <w:multiLevelType w:val="hybridMultilevel"/>
    <w:lvl w:ilvl="0">
      <w:lvlJc w:val="left"/>
      <w:lvlText w:val="%1."/>
      <w:numFmt w:val="decimal"/>
      <w:start w:val="1"/>
    </w:lvl>
  </w:abstractNum>
  <w:abstractNum w:abstractNumId="75">
    <w:nsid w:val="1D545C4D"/>
    <w:multiLevelType w:val="hybridMultilevel"/>
    <w:lvl w:ilvl="0">
      <w:lvlJc w:val="left"/>
      <w:lvlText w:val="%1."/>
      <w:numFmt w:val="decimal"/>
      <w:start w:val="2"/>
    </w:lvl>
  </w:abstractNum>
  <w:abstractNum w:abstractNumId="76">
    <w:nsid w:val="59ADEA3D"/>
    <w:multiLevelType w:val="hybridMultilevel"/>
    <w:lvl w:ilvl="0">
      <w:lvlJc w:val="left"/>
      <w:lvlText w:val="(%1)"/>
      <w:numFmt w:val="lowerLetter"/>
      <w:start w:val="1"/>
    </w:lvl>
  </w:abstractNum>
  <w:abstractNum w:abstractNumId="77">
    <w:nsid w:val="288F1A34"/>
    <w:multiLevelType w:val="hybridMultilevel"/>
    <w:lvl w:ilvl="0">
      <w:lvlJc w:val="left"/>
      <w:lvlText w:val="(%1)"/>
      <w:numFmt w:val="lowerLetter"/>
      <w:start w:val="2"/>
    </w:lvl>
  </w:abstractNum>
  <w:abstractNum w:abstractNumId="78">
    <w:nsid w:val="2A155DBC"/>
    <w:multiLevelType w:val="hybridMultilevel"/>
    <w:lvl w:ilvl="0">
      <w:lvlJc w:val="left"/>
      <w:lvlText w:val="(%1)"/>
      <w:numFmt w:val="lowerLetter"/>
      <w:start w:val="3"/>
    </w:lvl>
  </w:abstractNum>
  <w:abstractNum w:abstractNumId="79">
    <w:nsid w:val="1D9F6E5F"/>
    <w:multiLevelType w:val="hybridMultilevel"/>
    <w:lvl w:ilvl="0">
      <w:lvlJc w:val="left"/>
      <w:lvlText w:val="(%1)"/>
      <w:numFmt w:val="lowerLetter"/>
      <w:start w:val="4"/>
    </w:lvl>
  </w:abstractNum>
  <w:abstractNum w:abstractNumId="80">
    <w:nsid w:val="97E1B4E"/>
    <w:multiLevelType w:val="hybridMultilevel"/>
    <w:lvl w:ilvl="0">
      <w:lvlJc w:val="left"/>
      <w:lvlText w:val="(%1)"/>
      <w:numFmt w:val="lowerRoman"/>
      <w:start w:val="1"/>
    </w:lvl>
  </w:abstractNum>
  <w:abstractNum w:abstractNumId="81">
    <w:nsid w:val="51088277"/>
    <w:multiLevelType w:val="hybridMultilevel"/>
    <w:lvl w:ilvl="0">
      <w:lvlJc w:val="left"/>
      <w:lvlText w:val="(%1)"/>
      <w:numFmt w:val="lowerRoman"/>
      <w:start w:val="2"/>
    </w:lvl>
  </w:abstractNum>
  <w:abstractNum w:abstractNumId="82">
    <w:nsid w:val="1CA0C5FA"/>
    <w:multiLevelType w:val="hybridMultilevel"/>
    <w:lvl w:ilvl="0">
      <w:lvlJc w:val="left"/>
      <w:lvlText w:val="(%1)"/>
      <w:numFmt w:val="decimal"/>
      <w:start w:val="1"/>
    </w:lvl>
  </w:abstractNum>
  <w:abstractNum w:abstractNumId="83">
    <w:nsid w:val="53584BCB"/>
    <w:multiLevelType w:val="hybridMultilevel"/>
    <w:lvl w:ilvl="0">
      <w:lvlJc w:val="left"/>
      <w:lvlText w:val="(%1)"/>
      <w:numFmt w:val="lowerRoman"/>
      <w:start w:val="7"/>
    </w:lvl>
  </w:abstractNum>
  <w:abstractNum w:abstractNumId="84">
    <w:nsid w:val="415E286C"/>
    <w:multiLevelType w:val="hybridMultilevel"/>
    <w:lvl w:ilvl="0">
      <w:lvlJc w:val="left"/>
      <w:lvlText w:val="(%1)"/>
      <w:numFmt w:val="lowerLetter"/>
      <w:start w:val="1"/>
    </w:lvl>
  </w:abstractNum>
  <w:abstractNum w:abstractNumId="85">
    <w:nsid w:val="7C58FD05"/>
    <w:multiLevelType w:val="hybridMultilevel"/>
    <w:lvl w:ilvl="0">
      <w:lvlJc w:val="left"/>
      <w:lvlText w:val="(%1)"/>
      <w:numFmt w:val="lowerLetter"/>
      <w:start w:val="2"/>
    </w:lvl>
  </w:abstractNum>
  <w:abstractNum w:abstractNumId="86">
    <w:nsid w:val="23D86AAC"/>
    <w:multiLevelType w:val="hybridMultilevel"/>
    <w:lvl w:ilvl="0">
      <w:lvlJc w:val="left"/>
      <w:lvlText w:val="(%1)"/>
      <w:numFmt w:val="lowerLetter"/>
      <w:start w:val="1"/>
    </w:lvl>
  </w:abstractNum>
  <w:abstractNum w:abstractNumId="87">
    <w:nsid w:val="45E6D486"/>
    <w:multiLevelType w:val="hybridMultilevel"/>
    <w:lvl w:ilvl="0">
      <w:lvlJc w:val="left"/>
      <w:lvlText w:val="(%1)"/>
      <w:numFmt w:val="lowerLetter"/>
      <w:start w:val="3"/>
    </w:lvl>
  </w:abstractNum>
  <w:abstractNum w:abstractNumId="88">
    <w:nsid w:val="5C10FE21"/>
    <w:multiLevelType w:val="hybridMultilevel"/>
    <w:lvl w:ilvl="0">
      <w:lvlJc w:val="left"/>
      <w:lvlText w:val="(%1)"/>
      <w:numFmt w:val="lowerLetter"/>
      <w:start w:val="4"/>
    </w:lvl>
  </w:abstractNum>
  <w:abstractNum w:abstractNumId="89">
    <w:nsid w:val="E7FFA2B"/>
    <w:multiLevelType w:val="hybridMultilevel"/>
    <w:lvl w:ilvl="0">
      <w:lvlJc w:val="left"/>
      <w:lvlText w:val="(%1)"/>
      <w:numFmt w:val="lowerLetter"/>
      <w:start w:val="5"/>
    </w:lvl>
  </w:abstractNum>
  <w:abstractNum w:abstractNumId="90">
    <w:nsid w:val="3C5991AA"/>
    <w:multiLevelType w:val="hybridMultilevel"/>
    <w:lvl w:ilvl="0">
      <w:lvlJc w:val="left"/>
      <w:lvlText w:val="(%1)"/>
      <w:numFmt w:val="lowerLetter"/>
      <w:start w:val="6"/>
    </w:lvl>
  </w:abstractNum>
  <w:abstractNum w:abstractNumId="91">
    <w:nsid w:val="4BD8591A"/>
    <w:multiLevelType w:val="hybridMultilevel"/>
    <w:lvl w:ilvl="0">
      <w:lvlJc w:val="left"/>
      <w:lvlText w:val="%1."/>
      <w:numFmt w:val="decimal"/>
      <w:start w:val="3"/>
    </w:lvl>
  </w:abstractNum>
  <w:abstractNum w:abstractNumId="92">
    <w:nsid w:val="78DF6A55"/>
    <w:multiLevelType w:val="hybridMultilevel"/>
    <w:lvl w:ilvl="0">
      <w:lvlJc w:val="left"/>
      <w:lvlText w:val="%1."/>
      <w:numFmt w:val="decimal"/>
      <w:start w:val="4"/>
    </w:lvl>
  </w:abstractNum>
  <w:abstractNum w:abstractNumId="93">
    <w:nsid w:val="39B7AAA2"/>
    <w:multiLevelType w:val="hybridMultilevel"/>
    <w:lvl w:ilvl="0">
      <w:lvlJc w:val="left"/>
      <w:lvlText w:val="%1."/>
      <w:numFmt w:val="decimal"/>
      <w:start w:val="5"/>
    </w:lvl>
  </w:abstractNum>
  <w:abstractNum w:abstractNumId="94">
    <w:nsid w:val="2B0D8DBE"/>
    <w:multiLevelType w:val="hybridMultilevel"/>
    <w:lvl w:ilvl="0">
      <w:lvlJc w:val="left"/>
      <w:lvlText w:val="%1."/>
      <w:numFmt w:val="decimal"/>
      <w:start w:val="6"/>
    </w:lvl>
  </w:abstractNum>
  <w:abstractNum w:abstractNumId="95">
    <w:nsid w:val="6C80EC70"/>
    <w:multiLevelType w:val="hybridMultilevel"/>
    <w:lvl w:ilvl="0">
      <w:lvlJc w:val="left"/>
      <w:lvlText w:val="%1."/>
      <w:numFmt w:val="decimal"/>
      <w:start w:val="7"/>
    </w:lvl>
  </w:abstractNum>
  <w:abstractNum w:abstractNumId="96">
    <w:nsid w:val="379E21B5"/>
    <w:multiLevelType w:val="hybridMultilevel"/>
    <w:lvl w:ilvl="0">
      <w:lvlJc w:val="left"/>
      <w:lvlText w:val="%1."/>
      <w:numFmt w:val="decimal"/>
      <w:start w:val="8"/>
    </w:lvl>
  </w:abstractNum>
  <w:abstractNum w:abstractNumId="97">
    <w:nsid w:val="69E373"/>
    <w:multiLevelType w:val="hybridMultilevel"/>
    <w:lvl w:ilvl="0">
      <w:lvlJc w:val="left"/>
      <w:lvlText w:val="%1."/>
      <w:numFmt w:val="decimal"/>
      <w:start w:val="9"/>
    </w:lvl>
  </w:abstractNum>
  <w:abstractNum w:abstractNumId="98">
    <w:nsid w:val="2C27173B"/>
    <w:multiLevelType w:val="hybridMultilevel"/>
    <w:lvl w:ilvl="0">
      <w:lvlJc w:val="left"/>
      <w:lvlText w:val="%1."/>
      <w:numFmt w:val="decimal"/>
      <w:start w:val="10"/>
    </w:lvl>
  </w:abstractNum>
  <w:abstractNum w:abstractNumId="99">
    <w:nsid w:val="4C9B0904"/>
    <w:multiLevelType w:val="hybridMultilevel"/>
    <w:lvl w:ilvl="0">
      <w:lvlJc w:val="left"/>
      <w:lvlText w:val="%1."/>
      <w:numFmt w:val="decimal"/>
      <w:start w:val="11"/>
    </w:lvl>
  </w:abstractNum>
  <w:abstractNum w:abstractNumId="100">
    <w:nsid w:val="6AA7B75C"/>
    <w:multiLevelType w:val="hybridMultilevel"/>
    <w:lvl w:ilvl="0">
      <w:lvlJc w:val="left"/>
      <w:lvlText w:val="%1."/>
      <w:numFmt w:val="decimal"/>
      <w:start w:val="12"/>
    </w:lvl>
  </w:abstractNum>
  <w:abstractNum w:abstractNumId="101">
    <w:nsid w:val="1DF029D3"/>
    <w:multiLevelType w:val="hybridMultilevel"/>
    <w:lvl w:ilvl="0">
      <w:lvlJc w:val="left"/>
      <w:lvlText w:val="%1."/>
      <w:numFmt w:val="decimal"/>
      <w:start w:val="13"/>
    </w:lvl>
  </w:abstractNum>
  <w:abstractNum w:abstractNumId="102">
    <w:nsid w:val="5675FF36"/>
    <w:multiLevelType w:val="hybridMultilevel"/>
    <w:lvl w:ilvl="0">
      <w:lvlJc w:val="left"/>
      <w:lvlText w:val="%1."/>
      <w:numFmt w:val="decimal"/>
      <w:start w:val="14"/>
    </w:lvl>
  </w:abstractNum>
  <w:abstractNum w:abstractNumId="103">
    <w:nsid w:val="3DD15094"/>
    <w:multiLevelType w:val="hybridMultilevel"/>
    <w:lvl w:ilvl="0">
      <w:lvlJc w:val="left"/>
      <w:lvlText w:val="%1."/>
      <w:numFmt w:val="decimal"/>
      <w:start w:val="15"/>
    </w:lvl>
  </w:abstractNum>
  <w:abstractNum w:abstractNumId="104">
    <w:nsid w:val="3DB012B3"/>
    <w:multiLevelType w:val="hybridMultilevel"/>
    <w:lvl w:ilvl="0">
      <w:lvlJc w:val="left"/>
      <w:lvlText w:val="%1."/>
      <w:numFmt w:val="decimal"/>
      <w:start w:val="16"/>
    </w:lvl>
  </w:abstractNum>
  <w:abstractNum w:abstractNumId="105">
    <w:nsid w:val="2708C9AF"/>
    <w:multiLevelType w:val="hybridMultilevel"/>
    <w:lvl w:ilvl="0">
      <w:lvlJc w:val="left"/>
      <w:lvlText w:val="%1."/>
      <w:numFmt w:val="decimal"/>
      <w:start w:val="17"/>
    </w:lvl>
  </w:abstractNum>
  <w:abstractNum w:abstractNumId="106">
    <w:nsid w:val="5B25ACE2"/>
    <w:multiLevelType w:val="hybridMultilevel"/>
    <w:lvl w:ilvl="0">
      <w:lvlJc w:val="left"/>
      <w:lvlText w:val="%1."/>
      <w:numFmt w:val="decimal"/>
      <w:start w:val="1"/>
    </w:lvl>
  </w:abstractNum>
  <w:abstractNum w:abstractNumId="107">
    <w:nsid w:val="175DFCF0"/>
    <w:multiLevelType w:val="hybridMultilevel"/>
    <w:lvl w:ilvl="0">
      <w:lvlJc w:val="left"/>
      <w:lvlText w:val="%1."/>
      <w:numFmt w:val="decimal"/>
      <w:start w:val="2"/>
    </w:lvl>
  </w:abstractNum>
  <w:abstractNum w:abstractNumId="108">
    <w:nsid w:val="4F97E3E4"/>
    <w:multiLevelType w:val="hybridMultilevel"/>
    <w:lvl w:ilvl="0">
      <w:lvlJc w:val="left"/>
      <w:lvlText w:val="(%1)"/>
      <w:numFmt w:val="lowerLetter"/>
      <w:start w:val="1"/>
    </w:lvl>
  </w:abstractNum>
  <w:abstractNum w:abstractNumId="109">
    <w:nsid w:val="53B0A9E"/>
    <w:multiLevelType w:val="hybridMultilevel"/>
    <w:lvl w:ilvl="0">
      <w:lvlJc w:val="left"/>
      <w:lvlText w:val="(%1)"/>
      <w:numFmt w:val="lowerLetter"/>
      <w:start w:val="2"/>
    </w:lvl>
  </w:abstractNum>
  <w:abstractNum w:abstractNumId="110">
    <w:nsid w:val="34FD6B4F"/>
    <w:multiLevelType w:val="hybridMultilevel"/>
    <w:lvl w:ilvl="0">
      <w:lvlJc w:val="left"/>
      <w:lvlText w:val="(%1)"/>
      <w:numFmt w:val="lowerLetter"/>
      <w:start w:val="4"/>
    </w:lvl>
  </w:abstractNum>
  <w:abstractNum w:abstractNumId="111">
    <w:nsid w:val="5915FF32"/>
    <w:multiLevelType w:val="hybridMultilevel"/>
    <w:lvl w:ilvl="0">
      <w:lvlJc w:val="left"/>
      <w:lvlText w:val="(%1)"/>
      <w:numFmt w:val="lowerRoman"/>
      <w:start w:val="1"/>
    </w:lvl>
  </w:abstractNum>
  <w:abstractNum w:abstractNumId="112">
    <w:nsid w:val="56438D15"/>
    <w:multiLevelType w:val="hybridMultilevel"/>
    <w:lvl w:ilvl="0">
      <w:lvlJc w:val="left"/>
      <w:lvlText w:val="(%1)"/>
      <w:numFmt w:val="lowerRoman"/>
      <w:start w:val="2"/>
    </w:lvl>
  </w:abstractNum>
  <w:abstractNum w:abstractNumId="113">
    <w:nsid w:val="519E3149"/>
    <w:multiLevelType w:val="hybridMultilevel"/>
    <w:lvl w:ilvl="0">
      <w:lvlJc w:val="left"/>
      <w:lvlText w:val="(%1)"/>
      <w:numFmt w:val="lowerRoman"/>
      <w:start w:val="6"/>
    </w:lvl>
  </w:abstractNum>
  <w:abstractNum w:abstractNumId="114">
    <w:nsid w:val="2C6E4AFD"/>
    <w:multiLevelType w:val="hybridMultilevel"/>
    <w:lvl w:ilvl="0">
      <w:lvlJc w:val="left"/>
      <w:lvlText w:val="(%1)"/>
      <w:numFmt w:val="decimal"/>
      <w:start w:val="1"/>
    </w:lvl>
  </w:abstractNum>
  <w:abstractNum w:abstractNumId="115">
    <w:nsid w:val="17A1B582"/>
    <w:multiLevelType w:val="hybridMultilevel"/>
    <w:lvl w:ilvl="0">
      <w:lvlJc w:val="left"/>
      <w:lvlText w:val="(%1)"/>
      <w:numFmt w:val="lowerRoman"/>
      <w:start w:val="7"/>
    </w:lvl>
  </w:abstractNum>
  <w:abstractNum w:abstractNumId="116">
    <w:nsid w:val="4DF72E4E"/>
    <w:multiLevelType w:val="hybridMultilevel"/>
    <w:lvl w:ilvl="0">
      <w:lvlJc w:val="left"/>
      <w:lvlText w:val="(%1)"/>
      <w:numFmt w:val="lowerRoman"/>
      <w:start w:val="9"/>
    </w:lvl>
  </w:abstractNum>
  <w:abstractNum w:abstractNumId="117">
    <w:nsid w:val="5046B5A9"/>
    <w:multiLevelType w:val="hybridMultilevel"/>
    <w:lvl w:ilvl="0">
      <w:lvlJc w:val="left"/>
      <w:lvlText w:val="(%1)"/>
      <w:numFmt w:val="lowerLetter"/>
      <w:start w:val="1"/>
    </w:lvl>
  </w:abstractNum>
  <w:abstractNum w:abstractNumId="118">
    <w:nsid w:val="5D888A08"/>
    <w:multiLevelType w:val="hybridMultilevel"/>
    <w:lvl w:ilvl="0">
      <w:lvlJc w:val="left"/>
      <w:lvlText w:val="(%1)"/>
      <w:numFmt w:val="lowerLetter"/>
      <w:start w:val="2"/>
    </w:lvl>
  </w:abstractNum>
  <w:abstractNum w:abstractNumId="119">
    <w:nsid w:val="2A082C70"/>
    <w:multiLevelType w:val="hybridMultilevel"/>
    <w:lvl w:ilvl="0">
      <w:lvlJc w:val="left"/>
      <w:lvlText w:val="(%1)"/>
      <w:numFmt w:val="lowerLetter"/>
      <w:start w:val="1"/>
    </w:lvl>
    <w:lvl w:ilvl="1">
      <w:lvlJc w:val="left"/>
      <w:lvlText w:val="(%2)"/>
      <w:numFmt w:val="lowerLetter"/>
      <w:start w:val="3"/>
    </w:lvl>
  </w:abstractNum>
  <w:abstractNum w:abstractNumId="120">
    <w:nsid w:val="5EC6AFD4"/>
    <w:multiLevelType w:val="hybridMultilevel"/>
    <w:lvl w:ilvl="0">
      <w:lvlJc w:val="left"/>
      <w:lvlText w:val="(%1)"/>
      <w:numFmt w:val="lowerLetter"/>
      <w:start w:val="4"/>
    </w:lvl>
  </w:abstractNum>
  <w:abstractNum w:abstractNumId="121">
    <w:nsid w:val="19E21BB2"/>
    <w:multiLevelType w:val="hybridMultilevel"/>
    <w:lvl w:ilvl="0">
      <w:lvlJc w:val="left"/>
      <w:lvlText w:val="(%1)"/>
      <w:numFmt w:val="lowerLetter"/>
      <w:start w:val="6"/>
    </w:lvl>
  </w:abstractNum>
  <w:abstractNum w:abstractNumId="122">
    <w:nsid w:val="75E0858A"/>
    <w:multiLevelType w:val="hybridMultilevel"/>
    <w:lvl w:ilvl="0">
      <w:lvlJc w:val="left"/>
      <w:lvlText w:val="(%1)"/>
      <w:numFmt w:val="lowerLetter"/>
      <w:start w:val="3"/>
    </w:lvl>
  </w:abstractNum>
  <w:abstractNum w:abstractNumId="123">
    <w:nsid w:val="57A61A29"/>
    <w:multiLevelType w:val="hybridMultilevel"/>
    <w:lvl w:ilvl="0">
      <w:lvlJc w:val="left"/>
      <w:lvlText w:val="%1."/>
      <w:numFmt w:val="decimal"/>
      <w:start w:val="3"/>
    </w:lvl>
  </w:abstractNum>
  <w:abstractNum w:abstractNumId="124">
    <w:nsid w:val="5399C654"/>
    <w:multiLevelType w:val="hybridMultilevel"/>
    <w:lvl w:ilvl="0">
      <w:lvlJc w:val="left"/>
      <w:lvlText w:val="%1."/>
      <w:numFmt w:val="decimal"/>
      <w:start w:val="4"/>
    </w:lvl>
  </w:abstractNum>
  <w:abstractNum w:abstractNumId="125">
    <w:nsid w:val="20EE1348"/>
    <w:multiLevelType w:val="hybridMultilevel"/>
    <w:lvl w:ilvl="0">
      <w:lvlJc w:val="left"/>
      <w:lvlText w:val="%1."/>
      <w:numFmt w:val="decimal"/>
      <w:start w:val="5"/>
    </w:lvl>
  </w:abstractNum>
  <w:abstractNum w:abstractNumId="126">
    <w:nsid w:val="4427069A"/>
    <w:multiLevelType w:val="hybridMultilevel"/>
    <w:lvl w:ilvl="0">
      <w:lvlJc w:val="left"/>
      <w:lvlText w:val="%1."/>
      <w:numFmt w:val="decimal"/>
      <w:start w:val="6"/>
    </w:lvl>
  </w:abstractNum>
  <w:abstractNum w:abstractNumId="127">
    <w:nsid w:val="B37E80A"/>
    <w:multiLevelType w:val="hybridMultilevel"/>
    <w:lvl w:ilvl="0">
      <w:lvlJc w:val="left"/>
      <w:lvlText w:val="%1."/>
      <w:numFmt w:val="decimal"/>
      <w:start w:val="7"/>
    </w:lvl>
  </w:abstractNum>
  <w:abstractNum w:abstractNumId="128">
    <w:nsid w:val="2157F6BC"/>
    <w:multiLevelType w:val="hybridMultilevel"/>
    <w:lvl w:ilvl="0">
      <w:lvlJc w:val="left"/>
      <w:lvlText w:val="%1."/>
      <w:numFmt w:val="decimal"/>
      <w:start w:val="8"/>
    </w:lvl>
  </w:abstractNum>
  <w:abstractNum w:abstractNumId="129">
    <w:nsid w:val="704E1DD5"/>
    <w:multiLevelType w:val="hybridMultilevel"/>
    <w:lvl w:ilvl="0">
      <w:lvlJc w:val="left"/>
      <w:lvlText w:val="%1."/>
      <w:numFmt w:val="decimal"/>
      <w:start w:val="9"/>
    </w:lvl>
  </w:abstractNum>
  <w:abstractNum w:abstractNumId="130">
    <w:nsid w:val="57D2F10E"/>
    <w:multiLevelType w:val="hybridMultilevel"/>
    <w:lvl w:ilvl="0">
      <w:lvlJc w:val="left"/>
      <w:lvlText w:val="%1."/>
      <w:numFmt w:val="decimal"/>
      <w:start w:val="10"/>
    </w:lvl>
  </w:abstractNum>
  <w:abstractNum w:abstractNumId="131">
    <w:nsid w:val="BFFAE18"/>
    <w:multiLevelType w:val="hybridMultilevel"/>
    <w:lvl w:ilvl="0">
      <w:lvlJc w:val="left"/>
      <w:lvlText w:val="%1."/>
      <w:numFmt w:val="decimal"/>
      <w:start w:val="11"/>
    </w:lvl>
  </w:abstractNum>
  <w:abstractNum w:abstractNumId="132">
    <w:nsid w:val="E3E47A8"/>
    <w:multiLevelType w:val="hybridMultilevel"/>
    <w:lvl w:ilvl="0">
      <w:lvlJc w:val="left"/>
      <w:lvlText w:val="%1."/>
      <w:numFmt w:val="decimal"/>
      <w:start w:val="12"/>
    </w:lvl>
  </w:abstractNum>
  <w:abstractNum w:abstractNumId="133">
    <w:nsid w:val="2E48F044"/>
    <w:multiLevelType w:val="hybridMultilevel"/>
    <w:lvl w:ilvl="0">
      <w:lvlJc w:val="left"/>
      <w:lvlText w:val="%1."/>
      <w:numFmt w:val="decimal"/>
      <w:start w:val="13"/>
    </w:lvl>
  </w:abstractNum>
  <w:abstractNum w:abstractNumId="134">
    <w:nsid w:val="49D0FEAC"/>
    <w:multiLevelType w:val="hybridMultilevel"/>
    <w:lvl w:ilvl="0">
      <w:lvlJc w:val="left"/>
      <w:lvlText w:val="%1."/>
      <w:numFmt w:val="decimal"/>
      <w:start w:val="14"/>
    </w:lvl>
  </w:abstractNum>
  <w:abstractNum w:abstractNumId="135">
    <w:nsid w:val="4BEE5A5B"/>
    <w:multiLevelType w:val="hybridMultilevel"/>
    <w:lvl w:ilvl="0">
      <w:lvlJc w:val="left"/>
      <w:lvlText w:val="%1."/>
      <w:numFmt w:val="decimal"/>
      <w:start w:val="15"/>
    </w:lvl>
  </w:abstractNum>
  <w:abstractNum w:abstractNumId="136">
    <w:nsid w:val="5551B9F3"/>
    <w:multiLevelType w:val="hybridMultilevel"/>
    <w:lvl w:ilvl="0">
      <w:lvlJc w:val="left"/>
      <w:lvlText w:val="%1."/>
      <w:numFmt w:val="decimal"/>
      <w:start w:val="16"/>
    </w:lvl>
  </w:abstractNum>
  <w:abstractNum w:abstractNumId="137">
    <w:nsid w:val="24F6AB8E"/>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2019-12-13T13:03:48Z</dcterms:created>
  <dcterms:modified xsi:type="dcterms:W3CDTF">2019-12-13T13:03:48Z</dcterms:modified>
</cp:coreProperties>
</file>