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11594-4_424b5.htm"/>
        <w:bookmarkStart w:id="1" w:name="kstm25115944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3"/>
        </w:rPr>
        <w:t> </w:t>
      </w:r>
      <w:r>
        <w:rPr>
          <w:rFonts w:ascii="Arial;Helvetica;sans-serif" w:hAnsi="Arial;Helvetica;sans-serif"/>
          <w:b/>
          <w:i w:val="false"/>
          <w:caps w:val="false"/>
          <w:smallCaps w:val="false"/>
          <w:color w:val="000000"/>
          <w:spacing w:val="0"/>
          <w:sz w:val="20"/>
        </w:rPr>
        <w:t>Filed Pursuant to Rule 424(b)(5)</w:t>
      </w:r>
      <w:r>
        <w:rPr>
          <w:rFonts w:ascii="Arial;Helvetica;sans-serif" w:hAnsi="Arial;Helvetica;san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3"/>
        </w:rPr>
        <w:t> </w:t>
      </w:r>
      <w:r>
        <w:rPr>
          <w:rFonts w:ascii="Arial;Helvetica;sans-serif" w:hAnsi="Arial;Helvetica;sans-serif"/>
          <w:b/>
          <w:i w:val="false"/>
          <w:caps w:val="false"/>
          <w:smallCaps w:val="false"/>
          <w:color w:val="000000"/>
          <w:spacing w:val="0"/>
          <w:sz w:val="20"/>
        </w:rPr>
        <w:t>Registration No. 333-275276</w:t>
      </w:r>
      <w:r>
        <w:rPr>
          <w:rFonts w:ascii="Arial;Helvetica;sans-serif" w:hAnsi="Arial;Helvetica;sans-serif"/>
          <w:b/>
          <w:i w:val="false"/>
          <w:caps w:val="false"/>
          <w:smallCaps w:val="false"/>
          <w:color w:val="000000"/>
          <w:sz w:val="20"/>
        </w:rPr>
        <w:t>​</w:t>
      </w:r>
    </w:p>
    <w:p>
      <w:pPr>
        <w:pStyle w:val="TextBody"/>
        <w:bidi w:val="0"/>
        <w:spacing w:lineRule="atLeast" w:line="210" w:before="50" w:after="283"/>
        <w:jc w:val="left"/>
        <w:rPr>
          <w:rFonts w:ascii="Arial Narrow;Helvetica;sans-serif" w:hAnsi="Arial Narrow;Helvetica;sans-serif"/>
          <w:b/>
          <w:i w:val="false"/>
          <w:caps w:val="false"/>
          <w:smallCaps w:val="false"/>
          <w:color w:val="000000"/>
          <w:sz w:val="17"/>
        </w:rPr>
      </w:pPr>
      <w:r>
        <w:rPr>
          <w:rFonts w:ascii="Arial Narrow;Helvetica;sans-serif" w:hAnsi="Arial Narrow;Helvetica;sans-serif"/>
          <w:b/>
          <w:i w:val="false"/>
          <w:caps w:val="false"/>
          <w:smallCaps w:val="false"/>
          <w:color w:val="000000"/>
          <w:sz w:val="17"/>
        </w:rPr>
        <w:t xml:space="preserve">Prospectus Supplement </w:t>
        <w:br/>
        <w:t>(To Prospectus dated November 2, 2023)</w:t>
      </w:r>
      <w:r>
        <w:rPr>
          <w:rFonts w:ascii="Arial Narrow;Helvetica;sans-serif" w:hAnsi="Arial Narrow;Helvetica;sans-serif"/>
          <w:b/>
          <w:i w:val="false"/>
          <w:caps w:val="false"/>
          <w:smallCaps w:val="false"/>
          <w:color w:val="000000"/>
          <w:spacing w:val="3"/>
          <w:sz w:val="17"/>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22860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476250"/>
                    </a:xfrm>
                    <a:prstGeom prst="rect">
                      <a:avLst/>
                    </a:prstGeom>
                  </pic:spPr>
                </pic:pic>
              </a:graphicData>
            </a:graphic>
          </wp:inline>
        </w:drawing>
      </w:r>
      <w:r>
        <w:rPr>
          <w:caps w:val="false"/>
          <w:smallCaps w:val="false"/>
          <w:color w:val="000000"/>
        </w:rPr>
        <w:t xml:space="preserve"> </w:t>
      </w:r>
    </w:p>
    <w:p>
      <w:pPr>
        <w:pStyle w:val="TextBody"/>
        <w:bidi w:val="0"/>
        <w:spacing w:lineRule="atLeast" w:line="480" w:before="120" w:after="283"/>
        <w:jc w:val="center"/>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Micron Technology, Inc.</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300" w:before="40" w:after="283"/>
        <w:jc w:val="center"/>
        <w:rPr>
          <w:rFonts w:ascii="Arial;Helvetica;sans-serif" w:hAnsi="Arial;Helvetica;sans-serif"/>
          <w:b/>
          <w:i w:val="false"/>
          <w:caps w:val="false"/>
          <w:smallCaps w:val="false"/>
          <w:color w:val="000000"/>
          <w:sz w:val="26"/>
        </w:rPr>
      </w:pPr>
      <w:r>
        <w:rPr>
          <w:rFonts w:ascii="Arial;Helvetica;sans-serif" w:hAnsi="Arial;Helvetica;sans-serif"/>
          <w:b/>
          <w:i w:val="false"/>
          <w:caps w:val="false"/>
          <w:smallCaps w:val="false"/>
          <w:color w:val="000000"/>
          <w:spacing w:val="-3"/>
          <w:sz w:val="26"/>
        </w:rPr>
        <w:t>$500,000,000 5.65</w:t>
      </w:r>
      <w:r>
        <w:rPr>
          <w:rFonts w:ascii="Arial;Helvetica;sans-serif" w:hAnsi="Arial;Helvetica;sans-serif"/>
          <w:b/>
          <w:i w:val="false"/>
          <w:caps w:val="false"/>
          <w:smallCaps w:val="false"/>
          <w:color w:val="000000"/>
          <w:spacing w:val="-1"/>
          <w:sz w:val="26"/>
        </w:rPr>
        <w:t>% Senior Notes due 20</w:t>
      </w:r>
      <w:r>
        <w:rPr>
          <w:rFonts w:ascii="Arial;Helvetica;sans-serif" w:hAnsi="Arial;Helvetica;sans-serif"/>
          <w:b/>
          <w:i w:val="false"/>
          <w:caps w:val="false"/>
          <w:smallCaps w:val="false"/>
          <w:color w:val="000000"/>
          <w:spacing w:val="-3"/>
          <w:sz w:val="26"/>
        </w:rPr>
        <w:t>32</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300" w:before="40" w:after="283"/>
        <w:jc w:val="center"/>
        <w:rPr>
          <w:rFonts w:ascii="Arial;Helvetica;sans-serif" w:hAnsi="Arial;Helvetica;sans-serif"/>
          <w:b/>
          <w:i w:val="false"/>
          <w:caps w:val="false"/>
          <w:smallCaps w:val="false"/>
          <w:color w:val="000000"/>
          <w:sz w:val="26"/>
        </w:rPr>
      </w:pPr>
      <w:r>
        <w:rPr>
          <w:rFonts w:ascii="Arial;Helvetica;sans-serif" w:hAnsi="Arial;Helvetica;sans-serif"/>
          <w:b/>
          <w:i w:val="false"/>
          <w:caps w:val="false"/>
          <w:smallCaps w:val="false"/>
          <w:color w:val="000000"/>
          <w:spacing w:val="-3"/>
          <w:sz w:val="26"/>
        </w:rPr>
        <w:t>$1,250,000,000 6.05</w:t>
      </w:r>
      <w:r>
        <w:rPr>
          <w:rFonts w:ascii="Arial;Helvetica;sans-serif" w:hAnsi="Arial;Helvetica;sans-serif"/>
          <w:b/>
          <w:i w:val="false"/>
          <w:caps w:val="false"/>
          <w:smallCaps w:val="false"/>
          <w:color w:val="000000"/>
          <w:spacing w:val="-1"/>
          <w:sz w:val="26"/>
        </w:rPr>
        <w:t>% Senior Notes due 20</w:t>
      </w:r>
      <w:r>
        <w:rPr>
          <w:rFonts w:ascii="Arial;Helvetica;sans-serif" w:hAnsi="Arial;Helvetica;sans-serif"/>
          <w:b/>
          <w:i w:val="false"/>
          <w:caps w:val="false"/>
          <w:smallCaps w:val="false"/>
          <w:color w:val="000000"/>
          <w:spacing w:val="-3"/>
          <w:sz w:val="26"/>
        </w:rPr>
        <w:t>35</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180" w:before="8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Micron Technology, Inc. is offering $500,000,000 aggregate principal amount of 5.65% senior notes due 2032 (the “2032 notes”) and $1,250,000,000 aggregate principal amount of 6.05% senior notes due 2035 (the “2035 notes”, and together with the 2032 notes, the “notes”). The 2032 notes and the 2035 notes are each referred to herein as a series of notes.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8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2032 notes will bear interest at the rate of 5.65% per year and the 2035 notes will bear interest at the rate of 6.05% per year. Interest on each series of notes will be payable semi-annually in arrears on May 1 and November 1 of each year, beginning November 1, 2025.</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8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2032 notes will mature on November 1, 2032 and the 2035 notes will mature on November 1, 2035.</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8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may redeem some or all of the notes, at any time or from time to time, at a redemption price equal to the greater of (i) a make-whole amount (as described in the section entitled “Description of the Notes — Optional Redemption”) and (ii) 100% of the principal amount of the notes to be redeemed, plus accrued and unpaid interest thereon to, but excluding, the redemption date. In addition, we may redeem the 2032 notes, in whole or in part, at any time from or after September 1, 2032, and the 2035 notes, in whole or in part, at any time from or after August 1, 2035, in each case,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with respect to such series. See the section entitled “Description of the Notes — Repurchase of Notes Upon a Change of Control Triggering Event” for more information.</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8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notes will be our senior unsecured obligations and will rank equally with all of our other existing and future unsecured and unsubordinated indebtedness from time to time outstanding.</w:t>
      </w:r>
      <w:r>
        <w:rPr>
          <w:rFonts w:ascii="Arial;Helvetica;sans-serif" w:hAnsi="Arial;Helvetica;sans-serif"/>
          <w:b w:val="false"/>
          <w:i w:val="false"/>
          <w:caps w:val="false"/>
          <w:smallCaps w:val="false"/>
          <w:color w:val="000000"/>
          <w:spacing w:val="3"/>
          <w:sz w:val="17"/>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20" w:after="283"/>
        <w:jc w:val="left"/>
        <w:rPr/>
      </w:pPr>
      <w:r>
        <w:rPr>
          <w:rFonts w:ascii="Arial;Helvetica;sans-serif" w:hAnsi="Arial;Helvetica;sans-serif"/>
          <w:b/>
          <w:i w:val="false"/>
          <w:caps w:val="false"/>
          <w:smallCaps w:val="false"/>
          <w:color w:val="000000"/>
          <w:spacing w:val="0"/>
          <w:sz w:val="17"/>
        </w:rPr>
        <w:t xml:space="preserve">Investing in the notes involves risks. See “Risk Factors” beginning on page </w:t>
      </w:r>
      <w:hyperlink w:anchor="sRIFA">
        <w:r>
          <w:rPr>
            <w:rStyle w:val="InternetLink"/>
            <w:rFonts w:ascii="Arial;Helvetica;sans-serif" w:hAnsi="Arial;Helvetica;sans-serif"/>
            <w:b/>
            <w:i w:val="false"/>
            <w:caps w:val="false"/>
            <w:smallCaps w:val="false"/>
            <w:color w:val="000000"/>
            <w:spacing w:val="-2"/>
            <w:sz w:val="17"/>
          </w:rPr>
          <w:t>S-5</w:t>
        </w:r>
      </w:hyperlink>
      <w:r>
        <w:rPr>
          <w:rFonts w:ascii="Arial;Helvetica;sans-serif" w:hAnsi="Arial;Helvetica;sans-serif"/>
          <w:b/>
          <w:i w:val="false"/>
          <w:caps w:val="false"/>
          <w:smallCaps w:val="false"/>
          <w:color w:val="000000"/>
          <w:spacing w:val="0"/>
          <w:sz w:val="17"/>
        </w:rPr>
        <w:t xml:space="preserve"> for a discussion of certain risks that should be considered in connection with an investment in the notes.</w:t>
      </w:r>
      <w:r>
        <w:rPr>
          <w:rFonts w:ascii="Arial;Helvetica;sans-serif" w:hAnsi="Arial;Helvetica;sans-serif"/>
          <w:b/>
          <w:i w:val="false"/>
          <w:caps w:val="false"/>
          <w:smallCaps w:val="false"/>
          <w:color w:val="000000"/>
          <w:spacing w:val="3"/>
          <w:sz w:val="17"/>
        </w:rPr>
        <w:t xml:space="preserve"> </w:t>
      </w:r>
    </w:p>
    <w:p>
      <w:pPr>
        <w:pStyle w:val="TextBody"/>
        <w:bidi w:val="0"/>
        <w:spacing w:lineRule="atLeast" w:line="180" w:before="80" w:after="283"/>
        <w:jc w:val="left"/>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r>
        <w:rPr>
          <w:rFonts w:ascii="Arial;Helvetica;sans-serif" w:hAnsi="Arial;Helvetica;sans-serif"/>
          <w:b/>
          <w:i w:val="false"/>
          <w:caps w:val="false"/>
          <w:smallCaps w:val="false"/>
          <w:color w:val="000000"/>
          <w:spacing w:val="3"/>
          <w:sz w:val="17"/>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189" w:type="dxa"/>
        <w:jc w:val="left"/>
        <w:tblInd w:w="540" w:type="dxa"/>
        <w:tblLayout w:type="fixed"/>
        <w:tblCellMar>
          <w:top w:w="0" w:type="dxa"/>
          <w:left w:w="0" w:type="dxa"/>
          <w:bottom w:w="28" w:type="dxa"/>
          <w:right w:w="0" w:type="dxa"/>
        </w:tblCellMar>
      </w:tblPr>
      <w:tblGrid>
        <w:gridCol w:w="1831"/>
        <w:gridCol w:w="109"/>
        <w:gridCol w:w="109"/>
        <w:gridCol w:w="109"/>
        <w:gridCol w:w="226"/>
        <w:gridCol w:w="1546"/>
        <w:gridCol w:w="109"/>
        <w:gridCol w:w="109"/>
        <w:gridCol w:w="109"/>
        <w:gridCol w:w="109"/>
        <w:gridCol w:w="226"/>
        <w:gridCol w:w="1126"/>
        <w:gridCol w:w="109"/>
        <w:gridCol w:w="109"/>
        <w:gridCol w:w="109"/>
        <w:gridCol w:w="109"/>
        <w:gridCol w:w="226"/>
        <w:gridCol w:w="1546"/>
        <w:gridCol w:w="109"/>
        <w:gridCol w:w="154"/>
      </w:tblGrid>
      <w:tr>
        <w:trPr/>
        <w:tc>
          <w:tcPr>
            <w:tcW w:w="18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0" w:type="dxa"/>
            <w:gridSpan w:val="4"/>
            <w:tcBorders>
              <w:bottom w:val="single" w:sz="2" w:space="0" w:color="000000"/>
            </w:tcBorders>
            <w:tcMar>
              <w:bottom w:w="30" w:type="dxa"/>
            </w:tcMar>
            <w:vAlign w:val="center"/>
          </w:tcPr>
          <w:p>
            <w:pPr>
              <w:pStyle w:val="TableContents"/>
              <w:bidi w:val="0"/>
              <w:spacing w:lineRule="atLeast" w:line="142" w:before="0" w:after="0"/>
              <w:jc w:val="center"/>
              <w:rPr/>
            </w:pPr>
            <w:r>
              <w:rPr/>
              <w:t xml:space="preserve">Public </w:t>
              <w:br/>
              <w:t xml:space="preserve">offering </w:t>
              <w:br/>
              <w:t>price</w:t>
            </w:r>
            <w:r>
              <w:rPr>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gridSpan w:val="4"/>
            <w:tcBorders>
              <w:bottom w:val="single" w:sz="2" w:space="0" w:color="000000"/>
            </w:tcBorders>
            <w:tcMar>
              <w:bottom w:w="30" w:type="dxa"/>
            </w:tcMar>
            <w:vAlign w:val="center"/>
          </w:tcPr>
          <w:p>
            <w:pPr>
              <w:pStyle w:val="TableContents"/>
              <w:bidi w:val="0"/>
              <w:spacing w:lineRule="atLeast" w:line="142" w:before="0" w:after="0"/>
              <w:jc w:val="center"/>
              <w:rPr/>
            </w:pPr>
            <w:r>
              <w:rPr/>
              <w:t xml:space="preserve">Underwriting </w:t>
              <w:br/>
              <w:t>discount</w:t>
            </w:r>
            <w:r>
              <w:rPr>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0" w:type="dxa"/>
            <w:gridSpan w:val="4"/>
            <w:tcBorders>
              <w:bottom w:val="single" w:sz="2" w:space="0" w:color="000000"/>
            </w:tcBorders>
            <w:tcMar>
              <w:bottom w:w="30" w:type="dxa"/>
            </w:tcMar>
            <w:vAlign w:val="center"/>
          </w:tcPr>
          <w:p>
            <w:pPr>
              <w:pStyle w:val="TableContents"/>
              <w:bidi w:val="0"/>
              <w:spacing w:lineRule="atLeast" w:line="142" w:before="0" w:after="0"/>
              <w:jc w:val="center"/>
              <w:rPr/>
            </w:pPr>
            <w:r>
              <w:rPr/>
              <w:t xml:space="preserve">Proceeds </w:t>
              <w:br/>
              <w:t xml:space="preserve">to us, before </w:t>
              <w:br/>
              <w:t>expenses</w:t>
            </w:r>
            <w:r>
              <w:rPr>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31" w:type="dxa"/>
            <w:tcBorders/>
            <w:shd w:fill="CCEEFF" w:val="clear"/>
            <w:tcMar>
              <w:bottom w:w="0" w:type="dxa"/>
            </w:tcMar>
            <w:vAlign w:val="center"/>
          </w:tcPr>
          <w:p>
            <w:pPr>
              <w:pStyle w:val="TableContents"/>
              <w:bidi w:val="0"/>
              <w:spacing w:before="0" w:after="0"/>
              <w:jc w:val="left"/>
              <w:rPr/>
            </w:pPr>
            <w:r>
              <w:rPr/>
              <w:t xml:space="preserve">Per 2032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99.728%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0.350%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99.378%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31" w:type="dxa"/>
            <w:tcBorders/>
            <w:tcMar>
              <w:bottom w:w="0" w:type="dxa"/>
            </w:tcMar>
            <w:vAlign w:val="center"/>
          </w:tcPr>
          <w:p>
            <w:pPr>
              <w:pStyle w:val="TableContents"/>
              <w:bidi w:val="0"/>
              <w:spacing w:before="0" w:after="0"/>
              <w:jc w:val="left"/>
              <w:rPr/>
            </w:pPr>
            <w:r>
              <w:rPr/>
              <w:t xml:space="preserve">2032 Notes 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46" w:type="dxa"/>
            <w:tcBorders/>
            <w:tcMar>
              <w:bottom w:w="0" w:type="dxa"/>
            </w:tcMar>
            <w:vAlign w:val="center"/>
          </w:tcPr>
          <w:p>
            <w:pPr>
              <w:pStyle w:val="TableContents"/>
              <w:bidi w:val="0"/>
              <w:spacing w:before="0" w:after="283"/>
              <w:jc w:val="right"/>
              <w:rPr/>
            </w:pPr>
            <w:r>
              <w:rPr/>
              <w:t xml:space="preserve">498,640,000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1,750,000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46" w:type="dxa"/>
            <w:tcBorders/>
            <w:tcMar>
              <w:bottom w:w="0" w:type="dxa"/>
            </w:tcMar>
            <w:vAlign w:val="center"/>
          </w:tcPr>
          <w:p>
            <w:pPr>
              <w:pStyle w:val="TableContents"/>
              <w:bidi w:val="0"/>
              <w:spacing w:before="0" w:after="283"/>
              <w:jc w:val="right"/>
              <w:rPr/>
            </w:pPr>
            <w:r>
              <w:rPr/>
              <w:t xml:space="preserve">496,890,000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31" w:type="dxa"/>
            <w:tcBorders/>
            <w:shd w:fill="CCEEFF" w:val="clear"/>
            <w:tcMar>
              <w:bottom w:w="0" w:type="dxa"/>
            </w:tcMar>
            <w:vAlign w:val="center"/>
          </w:tcPr>
          <w:p>
            <w:pPr>
              <w:pStyle w:val="TableContents"/>
              <w:bidi w:val="0"/>
              <w:spacing w:before="0" w:after="0"/>
              <w:jc w:val="left"/>
              <w:rPr/>
            </w:pPr>
            <w:r>
              <w:rPr/>
              <w:t xml:space="preserve">Per 2035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99.900%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0.400%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99.500%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31" w:type="dxa"/>
            <w:tcBorders/>
            <w:tcMar>
              <w:bottom w:w="0" w:type="dxa"/>
            </w:tcMar>
            <w:vAlign w:val="center"/>
          </w:tcPr>
          <w:p>
            <w:pPr>
              <w:pStyle w:val="TableContents"/>
              <w:bidi w:val="0"/>
              <w:spacing w:before="0" w:after="0"/>
              <w:jc w:val="left"/>
              <w:rPr/>
            </w:pPr>
            <w:r>
              <w:rPr/>
              <w:t xml:space="preserve">2035 Notes 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46" w:type="dxa"/>
            <w:tcBorders/>
            <w:tcMar>
              <w:bottom w:w="0" w:type="dxa"/>
            </w:tcMar>
            <w:vAlign w:val="center"/>
          </w:tcPr>
          <w:p>
            <w:pPr>
              <w:pStyle w:val="TableContents"/>
              <w:bidi w:val="0"/>
              <w:spacing w:before="0" w:after="283"/>
              <w:jc w:val="right"/>
              <w:rPr/>
            </w:pPr>
            <w:r>
              <w:rPr/>
              <w:t xml:space="preserve">1,248,750,000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5,000,000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46" w:type="dxa"/>
            <w:tcBorders/>
            <w:tcMar>
              <w:bottom w:w="0" w:type="dxa"/>
            </w:tcMar>
            <w:vAlign w:val="center"/>
          </w:tcPr>
          <w:p>
            <w:pPr>
              <w:pStyle w:val="TableContents"/>
              <w:bidi w:val="0"/>
              <w:spacing w:before="0" w:after="283"/>
              <w:jc w:val="right"/>
              <w:rPr/>
            </w:pPr>
            <w:r>
              <w:rPr/>
              <w:t xml:space="preserve">1,243,750,000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31" w:type="dxa"/>
            <w:tcBorders/>
            <w:shd w:fill="CCEEFF" w:val="clear"/>
            <w:tcMar>
              <w:bottom w:w="0" w:type="dxa"/>
            </w:tcMar>
            <w:vAlign w:val="center"/>
          </w:tcPr>
          <w:p>
            <w:pPr>
              <w:pStyle w:val="TableContents"/>
              <w:bidi w:val="0"/>
              <w:spacing w:before="0" w:after="0"/>
              <w:jc w:val="left"/>
              <w:rPr/>
            </w:pPr>
            <w:r>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 xml:space="preserve">1,747,390,000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6,750,000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1,740,640,000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60" w:after="0"/>
        <w:ind w:left="9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Plus accrued interest, if any, from April 29, 2025.</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10" w:before="80" w:after="0"/>
        <w:ind w:left="9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underwriters have agreed to reimburse us for certain expenses in connection with the offering. See “Underwriting.”</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1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80" w:before="8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Interest on the notes will accrue from April 29, 2025. The notes will be issued in registered, book-entry form only without interest coupons, in minimum denominations of $2,000 and integral multiples of $1,000 in excess thereof. The notes will not be listed on any securities exchange. Currently there is no public market for the notes.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8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underwriters expect to deliver the notes to purchasers through the book-entry delivery system of The Depository Trust Company and its participants, including Euroclear Bank S.A./N.V and Clearstream Banking, S.A., on or about April 29, 2025, which will be the third business day from the date of the pricing of the notes.</w:t>
      </w:r>
      <w:r>
        <w:rPr>
          <w:rFonts w:ascii="Arial;Helvetica;sans-serif" w:hAnsi="Arial;Helvetica;sans-serif"/>
          <w:b w:val="false"/>
          <w:i w:val="false"/>
          <w:caps w:val="false"/>
          <w:smallCaps w:val="false"/>
          <w:color w:val="000000"/>
          <w:spacing w:val="3"/>
          <w:sz w:val="17"/>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20" w:after="283"/>
        <w:jc w:val="center"/>
        <w:rPr>
          <w:rFonts w:ascii="Arial;Helvetica;sans-serif" w:hAnsi="Arial;Helvetica;sans-serif"/>
          <w:b w:val="false"/>
          <w:i/>
          <w:caps w:val="false"/>
          <w:smallCaps w:val="false"/>
          <w:color w:val="000000"/>
          <w:sz w:val="17"/>
        </w:rPr>
      </w:pPr>
      <w:r>
        <w:rPr>
          <w:rFonts w:ascii="Arial;Helvetica;sans-serif" w:hAnsi="Arial;Helvetica;sans-serif"/>
          <w:b w:val="false"/>
          <w:i/>
          <w:caps w:val="false"/>
          <w:smallCaps w:val="false"/>
          <w:color w:val="000000"/>
          <w:sz w:val="17"/>
        </w:rPr>
        <w:t>Joint Book-Running Managers</w:t>
      </w:r>
      <w:r>
        <w:rPr>
          <w:rFonts w:ascii="Arial;Helvetica;sans-serif" w:hAnsi="Arial;Helvetica;sans-serif"/>
          <w:b w:val="false"/>
          <w:i/>
          <w:caps w:val="false"/>
          <w:smallCaps w:val="false"/>
          <w:color w:val="000000"/>
          <w:spacing w:val="3"/>
          <w:sz w:val="17"/>
        </w:rPr>
        <w:t xml:space="preserve"> </w:t>
      </w:r>
    </w:p>
    <w:tbl>
      <w:tblPr>
        <w:tblW w:w="9665" w:type="dxa"/>
        <w:jc w:val="left"/>
        <w:tblInd w:w="540" w:type="dxa"/>
        <w:tblLayout w:type="fixed"/>
        <w:tblCellMar>
          <w:top w:w="0" w:type="dxa"/>
          <w:left w:w="0" w:type="dxa"/>
          <w:bottom w:w="0" w:type="dxa"/>
          <w:right w:w="0" w:type="dxa"/>
        </w:tblCellMar>
      </w:tblPr>
      <w:tblGrid>
        <w:gridCol w:w="124"/>
        <w:gridCol w:w="1684"/>
        <w:gridCol w:w="109"/>
        <w:gridCol w:w="109"/>
        <w:gridCol w:w="2212"/>
        <w:gridCol w:w="109"/>
        <w:gridCol w:w="109"/>
        <w:gridCol w:w="2618"/>
        <w:gridCol w:w="109"/>
        <w:gridCol w:w="109"/>
        <w:gridCol w:w="2217"/>
        <w:gridCol w:w="156"/>
      </w:tblGrid>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0"/>
              <w:jc w:val="center"/>
              <w:rPr/>
            </w:pPr>
            <w:r>
              <w:rPr>
                <w:spacing w:val="-1"/>
              </w:rPr>
              <w:t>Morgan Stanley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2" w:type="dxa"/>
            <w:tcBorders/>
            <w:vAlign w:val="center"/>
          </w:tcPr>
          <w:p>
            <w:pPr>
              <w:pStyle w:val="TableContents"/>
              <w:bidi w:val="0"/>
              <w:spacing w:before="0" w:after="0"/>
              <w:jc w:val="center"/>
              <w:rPr/>
            </w:pPr>
            <w:r>
              <w:rPr>
                <w:spacing w:val="-1"/>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18" w:type="dxa"/>
            <w:tcBorders/>
            <w:vAlign w:val="center"/>
          </w:tcPr>
          <w:p>
            <w:pPr>
              <w:pStyle w:val="TableContents"/>
              <w:bidi w:val="0"/>
              <w:spacing w:before="0" w:after="0"/>
              <w:jc w:val="center"/>
              <w:rPr/>
            </w:pPr>
            <w:r>
              <w:rPr>
                <w:spacing w:val="-3"/>
              </w:rPr>
              <w:t>HSBC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0"/>
              <w:jc w:val="center"/>
              <w:rPr/>
            </w:pPr>
            <w:r>
              <w:rPr>
                <w:spacing w:val="-1"/>
              </w:rPr>
              <w:t>Wells Fargo Securities</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0"/>
              <w:jc w:val="center"/>
              <w:rPr/>
            </w:pPr>
            <w:r>
              <w:rPr>
                <w:spacing w:val="-3"/>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2" w:type="dxa"/>
            <w:tcBorders/>
            <w:vAlign w:val="center"/>
          </w:tcPr>
          <w:p>
            <w:pPr>
              <w:pStyle w:val="TableContents"/>
              <w:bidi w:val="0"/>
              <w:spacing w:before="0" w:after="0"/>
              <w:jc w:val="center"/>
              <w:rPr/>
            </w:pPr>
            <w:r>
              <w:rPr>
                <w:spacing w:val="-1"/>
              </w:rPr>
              <w:t xml:space="preserve">CIBC Capital </w:t>
            </w:r>
            <w:r>
              <w:rPr>
                <w:spacing w:val="-3"/>
              </w:rPr>
              <w:t>M</w:t>
            </w:r>
            <w:r>
              <w:rPr>
                <w:spacing w:val="-1"/>
              </w:rPr>
              <w:t>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18" w:type="dxa"/>
            <w:tcBorders/>
            <w:vAlign w:val="center"/>
          </w:tcPr>
          <w:p>
            <w:pPr>
              <w:pStyle w:val="TableContents"/>
              <w:bidi w:val="0"/>
              <w:spacing w:before="0" w:after="0"/>
              <w:jc w:val="center"/>
              <w:rPr/>
            </w:pPr>
            <w:r>
              <w:rPr>
                <w:spacing w:val="-1"/>
              </w:rPr>
              <w:t>Credit Agricole CIB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0"/>
              <w:jc w:val="center"/>
              <w:rPr/>
            </w:pPr>
            <w:r>
              <w:rPr>
                <w:spacing w:val="-1"/>
              </w:rPr>
              <w:t>ICBC Standard Bank</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0"/>
              <w:jc w:val="center"/>
              <w:rPr/>
            </w:pPr>
            <w:r>
              <w:rPr>
                <w:spacing w:val="-1"/>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2" w:type="dxa"/>
            <w:tcBorders/>
            <w:vAlign w:val="center"/>
          </w:tcPr>
          <w:p>
            <w:pPr>
              <w:pStyle w:val="TableContents"/>
              <w:bidi w:val="0"/>
              <w:spacing w:before="0" w:after="0"/>
              <w:jc w:val="center"/>
              <w:rPr/>
            </w:pPr>
            <w:r>
              <w:rPr>
                <w:spacing w:val="-3"/>
              </w:rPr>
              <w:t>MUFG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18" w:type="dxa"/>
            <w:tcBorders/>
            <w:vAlign w:val="center"/>
          </w:tcPr>
          <w:p>
            <w:pPr>
              <w:pStyle w:val="TableContents"/>
              <w:bidi w:val="0"/>
              <w:spacing w:before="0" w:after="0"/>
              <w:jc w:val="both"/>
              <w:rPr/>
            </w:pPr>
            <w:r>
              <w:rPr>
                <w:spacing w:val="-1"/>
              </w:rPr>
              <w:t>PNC Capital Markets LL</w:t>
            </w:r>
            <w:r>
              <w:rPr>
                <w:spacing w:val="-3"/>
              </w:rPr>
              <w:t>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0"/>
              <w:jc w:val="center"/>
              <w:rPr/>
            </w:pPr>
            <w:r>
              <w:rPr>
                <w:spacing w:val="-1"/>
              </w:rPr>
              <w:t>Scotiabank</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0"/>
              <w:jc w:val="center"/>
              <w:rPr/>
            </w:pPr>
            <w:r>
              <w:rPr>
                <w:spacing w:val="-1"/>
              </w:rPr>
              <w:t>SMBC Nikko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48" w:type="dxa"/>
            <w:gridSpan w:val="4"/>
            <w:tcBorders/>
            <w:vAlign w:val="center"/>
          </w:tcPr>
          <w:p>
            <w:pPr>
              <w:pStyle w:val="TableContents"/>
              <w:bidi w:val="0"/>
              <w:spacing w:before="0" w:after="0"/>
              <w:jc w:val="center"/>
              <w:rPr/>
            </w:pPr>
            <w:r>
              <w:rPr>
                <w:spacing w:val="-1"/>
              </w:rPr>
              <w:t>TD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0"/>
              <w:jc w:val="center"/>
              <w:rPr/>
            </w:pPr>
            <w:r>
              <w:rPr>
                <w:spacing w:val="-1"/>
              </w:rPr>
              <w:t>Truist Securities</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180" w:before="240" w:after="283"/>
        <w:ind w:left="540" w:right="0" w:hanging="0"/>
        <w:jc w:val="center"/>
        <w:rPr>
          <w:rFonts w:ascii="Arial;Helvetica;sans-serif" w:hAnsi="Arial;Helvetica;sans-serif"/>
          <w:b w:val="false"/>
          <w:i/>
          <w:caps w:val="false"/>
          <w:smallCaps w:val="false"/>
          <w:color w:val="000000"/>
          <w:sz w:val="17"/>
        </w:rPr>
      </w:pPr>
      <w:r>
        <w:rPr>
          <w:rFonts w:ascii="Arial;Helvetica;sans-serif" w:hAnsi="Arial;Helvetica;sans-serif"/>
          <w:b w:val="false"/>
          <w:i/>
          <w:caps w:val="false"/>
          <w:smallCaps w:val="false"/>
          <w:color w:val="000000"/>
          <w:sz w:val="17"/>
        </w:rPr>
        <w:t>Co-Managers</w:t>
      </w:r>
    </w:p>
    <w:tbl>
      <w:tblPr>
        <w:tblW w:w="4938" w:type="dxa"/>
        <w:jc w:val="left"/>
        <w:tblInd w:w="540" w:type="dxa"/>
        <w:tblLayout w:type="fixed"/>
        <w:tblCellMar>
          <w:top w:w="0" w:type="dxa"/>
          <w:left w:w="0" w:type="dxa"/>
          <w:bottom w:w="0" w:type="dxa"/>
          <w:right w:w="0" w:type="dxa"/>
        </w:tblCellMar>
      </w:tblPr>
      <w:tblGrid>
        <w:gridCol w:w="124"/>
        <w:gridCol w:w="2056"/>
        <w:gridCol w:w="109"/>
        <w:gridCol w:w="109"/>
        <w:gridCol w:w="2386"/>
        <w:gridCol w:w="154"/>
      </w:tblGrid>
      <w:tr>
        <w:trPr/>
        <w:tc>
          <w:tcPr>
            <w:tcW w:w="124" w:type="dxa"/>
            <w:tcBorders/>
            <w:vAlign w:val="center"/>
          </w:tcPr>
          <w:p>
            <w:pPr>
              <w:pStyle w:val="TableContents"/>
              <w:bidi w:val="0"/>
              <w:spacing w:before="0" w:after="283"/>
              <w:jc w:val="left"/>
              <w:rPr/>
            </w:pPr>
            <w:r>
              <w:rPr/>
              <w:t>​</w:t>
            </w:r>
          </w:p>
        </w:tc>
        <w:tc>
          <w:tcPr>
            <w:tcW w:w="2056" w:type="dxa"/>
            <w:tcBorders/>
            <w:vAlign w:val="center"/>
          </w:tcPr>
          <w:p>
            <w:pPr>
              <w:pStyle w:val="TableContents"/>
              <w:bidi w:val="0"/>
              <w:spacing w:before="0" w:after="283"/>
              <w:jc w:val="left"/>
              <w:rPr/>
            </w:pPr>
            <w:r>
              <w:rPr>
                <w:spacing w:val="0"/>
              </w:rPr>
              <w:t>Academy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6" w:type="dxa"/>
            <w:tcBorders/>
            <w:vAlign w:val="center"/>
          </w:tcPr>
          <w:p>
            <w:pPr>
              <w:pStyle w:val="TableContents"/>
              <w:bidi w:val="0"/>
              <w:spacing w:before="0" w:after="0"/>
              <w:jc w:val="right"/>
              <w:rPr/>
            </w:pPr>
            <w:r>
              <w:rPr>
                <w:spacing w:val="0"/>
              </w:rPr>
              <w:t>Siebert Williams Shank</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40" w:after="283"/>
        <w:ind w:left="540" w:right="0" w:hanging="0"/>
        <w:jc w:val="center"/>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April 24, 2025</w:t>
      </w:r>
      <w:r>
        <w:rPr>
          <w:rFonts w:ascii="Arial;Helvetica;sans-serif" w:hAnsi="Arial;Helvetica;sans-serif"/>
          <w:b w:val="false"/>
          <w:i w:val="false"/>
          <w:caps w:val="false"/>
          <w:smallCaps w:val="false"/>
          <w:color w:val="000000"/>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364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TABLE OF CONTENTS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Prospectus Supplement</w:t>
      </w:r>
      <w:r>
        <w:rPr>
          <w:rFonts w:ascii="Arial;Helvetica;sans-serif" w:hAnsi="Arial;Helvetica;sans-serif"/>
          <w:b/>
          <w:i w:val="false"/>
          <w:caps w:val="false"/>
          <w:smallCaps w:val="false"/>
          <w:color w:val="000000"/>
          <w:spacing w:val="5"/>
          <w:sz w:val="24"/>
        </w:rPr>
        <w:t xml:space="preserve"> </w:t>
      </w:r>
    </w:p>
    <w:tbl>
      <w:tblPr>
        <w:tblW w:w="6132" w:type="dxa"/>
        <w:jc w:val="left"/>
        <w:tblInd w:w="1393" w:type="dxa"/>
        <w:tblLayout w:type="fixed"/>
        <w:tblCellMar>
          <w:top w:w="0" w:type="dxa"/>
          <w:left w:w="0" w:type="dxa"/>
          <w:bottom w:w="28" w:type="dxa"/>
          <w:right w:w="0" w:type="dxa"/>
        </w:tblCellMar>
      </w:tblPr>
      <w:tblGrid>
        <w:gridCol w:w="4819"/>
        <w:gridCol w:w="109"/>
        <w:gridCol w:w="109"/>
        <w:gridCol w:w="109"/>
        <w:gridCol w:w="109"/>
        <w:gridCol w:w="614"/>
        <w:gridCol w:w="109"/>
        <w:gridCol w:w="154"/>
      </w:tblGrid>
      <w:tr>
        <w:trPr/>
        <w:tc>
          <w:tcPr>
            <w:tcW w:w="48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1"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19" w:type="dxa"/>
            <w:tcBorders/>
            <w:shd w:fill="CCEEFF" w:val="clear"/>
            <w:tcMar>
              <w:bottom w:w="0" w:type="dxa"/>
            </w:tcMar>
            <w:vAlign w:val="center"/>
          </w:tcPr>
          <w:p>
            <w:pPr>
              <w:pStyle w:val="TableContents"/>
              <w:bidi w:val="0"/>
              <w:spacing w:before="0" w:after="0"/>
              <w:jc w:val="left"/>
              <w:rPr/>
            </w:pPr>
            <w:hyperlink w:anchor="sCNOF">
              <w:r>
                <w:rPr>
                  <w:rStyle w:val="InternetLink"/>
                  <w:spacing w:val="-2"/>
                </w:rPr>
                <w:t xml:space="preserve">Cautionary Note on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sCNOF">
              <w:r>
                <w:rPr>
                  <w:rStyle w:val="InternetLink"/>
                  <w:spacing w:val="-2"/>
                </w:rPr>
                <w:t>S-ii</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9" w:type="dxa"/>
            <w:tcBorders/>
            <w:tcMar>
              <w:bottom w:w="0" w:type="dxa"/>
            </w:tcMar>
            <w:vAlign w:val="center"/>
          </w:tcPr>
          <w:p>
            <w:pPr>
              <w:pStyle w:val="TableContents"/>
              <w:bidi w:val="0"/>
              <w:spacing w:before="0" w:after="0"/>
              <w:jc w:val="left"/>
              <w:rPr/>
            </w:pPr>
            <w:hyperlink w:anchor="sATPS">
              <w:r>
                <w:rPr>
                  <w:rStyle w:val="InternetLink"/>
                  <w:spacing w:val="-2"/>
                </w:rPr>
                <w:t xml:space="preserve">About this Prospectus Supplement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sATPS">
              <w:r>
                <w:rPr>
                  <w:rStyle w:val="InternetLink"/>
                  <w:spacing w:val="-2"/>
                </w:rPr>
                <w:t>S-iv</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9" w:type="dxa"/>
            <w:tcBorders/>
            <w:shd w:fill="CCEEFF" w:val="clear"/>
            <w:tcMar>
              <w:bottom w:w="0" w:type="dxa"/>
            </w:tcMar>
            <w:vAlign w:val="center"/>
          </w:tcPr>
          <w:p>
            <w:pPr>
              <w:pStyle w:val="TableContents"/>
              <w:bidi w:val="0"/>
              <w:spacing w:before="0" w:after="0"/>
              <w:jc w:val="left"/>
              <w:rPr/>
            </w:pPr>
            <w:hyperlink w:anchor="sSUM">
              <w:r>
                <w:rPr>
                  <w:rStyle w:val="InternetLink"/>
                  <w:spacing w:val="-2"/>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sSUM">
              <w:r>
                <w:rPr>
                  <w:rStyle w:val="InternetLink"/>
                  <w:spacing w:val="-2"/>
                </w:rPr>
                <w:t>S-1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9" w:type="dxa"/>
            <w:tcBorders/>
            <w:tcMar>
              <w:bottom w:w="0" w:type="dxa"/>
            </w:tcMar>
            <w:vAlign w:val="center"/>
          </w:tcPr>
          <w:p>
            <w:pPr>
              <w:pStyle w:val="TableContents"/>
              <w:bidi w:val="0"/>
              <w:spacing w:before="0" w:after="0"/>
              <w:jc w:val="left"/>
              <w:rPr/>
            </w:pPr>
            <w:hyperlink w:anchor="sRIFA">
              <w:r>
                <w:rPr>
                  <w:rStyle w:val="InternetLink"/>
                  <w:spacing w:val="-2"/>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sRIFA">
              <w:r>
                <w:rPr>
                  <w:rStyle w:val="InternetLink"/>
                  <w:spacing w:val="-2"/>
                </w:rPr>
                <w:t>S-5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9" w:type="dxa"/>
            <w:tcBorders/>
            <w:shd w:fill="CCEEFF" w:val="clear"/>
            <w:tcMar>
              <w:bottom w:w="0" w:type="dxa"/>
            </w:tcMar>
            <w:vAlign w:val="center"/>
          </w:tcPr>
          <w:p>
            <w:pPr>
              <w:pStyle w:val="TableContents"/>
              <w:bidi w:val="0"/>
              <w:spacing w:before="0" w:after="0"/>
              <w:jc w:val="left"/>
              <w:rPr/>
            </w:pPr>
            <w:hyperlink w:anchor="sUOP">
              <w:r>
                <w:rPr>
                  <w:rStyle w:val="InternetLink"/>
                  <w:spacing w:val="-2"/>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sUOP">
              <w:r>
                <w:rPr>
                  <w:rStyle w:val="InternetLink"/>
                  <w:spacing w:val="-2"/>
                </w:rPr>
                <w:t>S-9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9" w:type="dxa"/>
            <w:tcBorders/>
            <w:tcMar>
              <w:bottom w:w="0" w:type="dxa"/>
            </w:tcMar>
            <w:vAlign w:val="center"/>
          </w:tcPr>
          <w:p>
            <w:pPr>
              <w:pStyle w:val="TableContents"/>
              <w:bidi w:val="0"/>
              <w:spacing w:before="0" w:after="0"/>
              <w:jc w:val="left"/>
              <w:rPr/>
            </w:pPr>
            <w:hyperlink w:anchor="sCAC">
              <w:r>
                <w:rPr>
                  <w:rStyle w:val="InternetLink"/>
                  <w:spacing w:val="-2"/>
                </w:rPr>
                <w:t xml:space="preserve">Cash and 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sCAC">
              <w:r>
                <w:rPr>
                  <w:rStyle w:val="InternetLink"/>
                  <w:spacing w:val="-2"/>
                </w:rPr>
                <w:t>S-10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9" w:type="dxa"/>
            <w:tcBorders/>
            <w:shd w:fill="CCEEFF" w:val="clear"/>
            <w:tcMar>
              <w:bottom w:w="0" w:type="dxa"/>
            </w:tcMar>
            <w:vAlign w:val="center"/>
          </w:tcPr>
          <w:p>
            <w:pPr>
              <w:pStyle w:val="TableContents"/>
              <w:bidi w:val="0"/>
              <w:spacing w:before="0" w:after="0"/>
              <w:jc w:val="left"/>
              <w:rPr/>
            </w:pPr>
            <w:hyperlink w:anchor="sDOTN">
              <w:r>
                <w:rPr>
                  <w:rStyle w:val="InternetLink"/>
                  <w:spacing w:val="-2"/>
                </w:rPr>
                <w:t xml:space="preserve">Description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sDOTN">
              <w:r>
                <w:rPr>
                  <w:rStyle w:val="InternetLink"/>
                  <w:spacing w:val="-2"/>
                </w:rPr>
                <w:t>S-11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9" w:type="dxa"/>
            <w:tcBorders/>
            <w:tcMar>
              <w:bottom w:w="0" w:type="dxa"/>
            </w:tcMar>
            <w:vAlign w:val="center"/>
          </w:tcPr>
          <w:p>
            <w:pPr>
              <w:pStyle w:val="TableContents"/>
              <w:bidi w:val="0"/>
              <w:spacing w:before="0" w:after="0"/>
              <w:jc w:val="left"/>
              <w:rPr/>
            </w:pPr>
            <w:hyperlink w:anchor="sMUFI">
              <w:r>
                <w:rPr>
                  <w:rStyle w:val="InternetLink"/>
                  <w:spacing w:val="-2"/>
                </w:rPr>
                <w:t xml:space="preserve">Material U.S.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sMUFI">
              <w:r>
                <w:rPr>
                  <w:rStyle w:val="InternetLink"/>
                  <w:spacing w:val="-2"/>
                </w:rPr>
                <w:t>S-34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9" w:type="dxa"/>
            <w:tcBorders/>
            <w:shd w:fill="CCEEFF" w:val="clear"/>
            <w:tcMar>
              <w:bottom w:w="0" w:type="dxa"/>
            </w:tcMar>
            <w:vAlign w:val="center"/>
          </w:tcPr>
          <w:p>
            <w:pPr>
              <w:pStyle w:val="TableContents"/>
              <w:bidi w:val="0"/>
              <w:spacing w:before="0" w:after="0"/>
              <w:jc w:val="left"/>
              <w:rPr/>
            </w:pPr>
            <w:hyperlink w:anchor="sUND">
              <w:r>
                <w:rPr>
                  <w:rStyle w:val="InternetLink"/>
                  <w:spacing w:val="-2"/>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sUND">
              <w:r>
                <w:rPr>
                  <w:rStyle w:val="InternetLink"/>
                  <w:spacing w:val="-2"/>
                </w:rPr>
                <w:t>S-39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9" w:type="dxa"/>
            <w:tcBorders/>
            <w:tcMar>
              <w:bottom w:w="0" w:type="dxa"/>
            </w:tcMar>
            <w:vAlign w:val="center"/>
          </w:tcPr>
          <w:p>
            <w:pPr>
              <w:pStyle w:val="TableContents"/>
              <w:bidi w:val="0"/>
              <w:spacing w:before="0" w:after="0"/>
              <w:jc w:val="left"/>
              <w:rPr/>
            </w:pPr>
            <w:hyperlink w:anchor="sVOS">
              <w:r>
                <w:rPr>
                  <w:rStyle w:val="InternetLink"/>
                  <w:spacing w:val="-2"/>
                </w:rPr>
                <w:t xml:space="preserve">Validity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sVOS">
              <w:r>
                <w:rPr>
                  <w:rStyle w:val="InternetLink"/>
                  <w:spacing w:val="-2"/>
                </w:rPr>
                <w:t>S-45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9" w:type="dxa"/>
            <w:tcBorders/>
            <w:shd w:fill="CCEEFF" w:val="clear"/>
            <w:tcMar>
              <w:bottom w:w="0" w:type="dxa"/>
            </w:tcMar>
            <w:vAlign w:val="center"/>
          </w:tcPr>
          <w:p>
            <w:pPr>
              <w:pStyle w:val="TableContents"/>
              <w:bidi w:val="0"/>
              <w:spacing w:before="0" w:after="0"/>
              <w:jc w:val="left"/>
              <w:rPr/>
            </w:pPr>
            <w:hyperlink w:anchor="sEXP">
              <w:r>
                <w:rPr>
                  <w:rStyle w:val="InternetLink"/>
                  <w:spacing w:val="-2"/>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sEXP">
              <w:r>
                <w:rPr>
                  <w:rStyle w:val="InternetLink"/>
                  <w:spacing w:val="-2"/>
                </w:rPr>
                <w:t>S-45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9" w:type="dxa"/>
            <w:tcBorders/>
            <w:tcMar>
              <w:bottom w:w="0" w:type="dxa"/>
            </w:tcMar>
            <w:vAlign w:val="center"/>
          </w:tcPr>
          <w:p>
            <w:pPr>
              <w:pStyle w:val="TableContents"/>
              <w:bidi w:val="0"/>
              <w:spacing w:before="0" w:after="0"/>
              <w:jc w:val="left"/>
              <w:rPr/>
            </w:pPr>
            <w:hyperlink w:anchor="sWYCF">
              <w:r>
                <w:rPr>
                  <w:rStyle w:val="InternetLink"/>
                  <w:spacing w:val="-2"/>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sWYCF">
              <w:r>
                <w:rPr>
                  <w:rStyle w:val="InternetLink"/>
                  <w:spacing w:val="-2"/>
                </w:rPr>
                <w:t>S-45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80" w:before="240" w:after="283"/>
        <w:ind w:left="1393" w:right="0" w:hanging="0"/>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Prospectus</w:t>
      </w:r>
      <w:r>
        <w:rPr>
          <w:rFonts w:ascii="Arial;Helvetica;sans-serif" w:hAnsi="Arial;Helvetica;sans-serif"/>
          <w:b/>
          <w:i w:val="false"/>
          <w:caps w:val="false"/>
          <w:smallCaps w:val="false"/>
          <w:color w:val="000000"/>
          <w:spacing w:val="5"/>
          <w:sz w:val="24"/>
        </w:rPr>
        <w:t xml:space="preserve"> </w:t>
      </w:r>
    </w:p>
    <w:tbl>
      <w:tblPr>
        <w:tblW w:w="7646" w:type="dxa"/>
        <w:jc w:val="left"/>
        <w:tblInd w:w="1393" w:type="dxa"/>
        <w:tblLayout w:type="fixed"/>
        <w:tblCellMar>
          <w:top w:w="0" w:type="dxa"/>
          <w:left w:w="0" w:type="dxa"/>
          <w:bottom w:w="28" w:type="dxa"/>
          <w:right w:w="0" w:type="dxa"/>
        </w:tblCellMar>
      </w:tblPr>
      <w:tblGrid>
        <w:gridCol w:w="6644"/>
        <w:gridCol w:w="109"/>
        <w:gridCol w:w="109"/>
        <w:gridCol w:w="112"/>
        <w:gridCol w:w="112"/>
        <w:gridCol w:w="294"/>
        <w:gridCol w:w="112"/>
        <w:gridCol w:w="154"/>
      </w:tblGrid>
      <w:tr>
        <w:trPr/>
        <w:tc>
          <w:tcPr>
            <w:tcW w:w="66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0"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644" w:type="dxa"/>
            <w:tcBorders/>
            <w:shd w:fill="CCEEFF" w:val="clear"/>
            <w:tcMar>
              <w:bottom w:w="0" w:type="dxa"/>
            </w:tcMar>
            <w:vAlign w:val="center"/>
          </w:tcPr>
          <w:p>
            <w:pPr>
              <w:pStyle w:val="TableContents"/>
              <w:bidi w:val="0"/>
              <w:spacing w:before="0" w:after="0"/>
              <w:jc w:val="left"/>
              <w:rPr/>
            </w:pPr>
            <w:hyperlink w:anchor="tATP">
              <w:r>
                <w:rPr>
                  <w:rStyle w:val="InternetLink"/>
                  <w:spacing w:val="-2"/>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294" w:type="dxa"/>
            <w:tcBorders/>
            <w:shd w:fill="CCEEFF" w:val="clear"/>
            <w:tcMar>
              <w:bottom w:w="0" w:type="dxa"/>
            </w:tcMar>
            <w:vAlign w:val="center"/>
          </w:tcPr>
          <w:p>
            <w:pPr>
              <w:pStyle w:val="TableContents"/>
              <w:bidi w:val="0"/>
              <w:spacing w:before="0" w:after="283"/>
              <w:jc w:val="right"/>
              <w:rPr/>
            </w:pPr>
            <w:hyperlink w:anchor="tATP">
              <w:r>
                <w:rPr>
                  <w:rStyle w:val="InternetLink"/>
                  <w:spacing w:val="-2"/>
                </w:rPr>
                <w:t>1</w:t>
              </w:r>
            </w:hyperlink>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44" w:type="dxa"/>
            <w:tcBorders/>
            <w:tcMar>
              <w:bottom w:w="0" w:type="dxa"/>
            </w:tcMar>
            <w:vAlign w:val="center"/>
          </w:tcPr>
          <w:p>
            <w:pPr>
              <w:pStyle w:val="TableContents"/>
              <w:bidi w:val="0"/>
              <w:spacing w:before="0" w:after="0"/>
              <w:jc w:val="left"/>
              <w:rPr/>
            </w:pPr>
            <w:hyperlink w:anchor="tWYCF">
              <w:r>
                <w:rPr>
                  <w:rStyle w:val="InternetLink"/>
                  <w:spacing w:val="-2"/>
                </w:rPr>
                <w:t xml:space="preserve">Where You Can Find More Information; 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294" w:type="dxa"/>
            <w:tcBorders/>
            <w:tcMar>
              <w:bottom w:w="0" w:type="dxa"/>
            </w:tcMar>
            <w:vAlign w:val="center"/>
          </w:tcPr>
          <w:p>
            <w:pPr>
              <w:pStyle w:val="TableContents"/>
              <w:bidi w:val="0"/>
              <w:spacing w:before="0" w:after="283"/>
              <w:jc w:val="right"/>
              <w:rPr/>
            </w:pPr>
            <w:hyperlink w:anchor="tWYCF">
              <w:r>
                <w:rPr>
                  <w:rStyle w:val="InternetLink"/>
                  <w:spacing w:val="-2"/>
                </w:rPr>
                <w:t>2</w:t>
              </w:r>
            </w:hyperlink>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44" w:type="dxa"/>
            <w:tcBorders/>
            <w:shd w:fill="CCEEFF" w:val="clear"/>
            <w:tcMar>
              <w:bottom w:w="0" w:type="dxa"/>
            </w:tcMar>
            <w:vAlign w:val="center"/>
          </w:tcPr>
          <w:p>
            <w:pPr>
              <w:pStyle w:val="TableContents"/>
              <w:bidi w:val="0"/>
              <w:spacing w:before="0" w:after="0"/>
              <w:jc w:val="left"/>
              <w:rPr/>
            </w:pPr>
            <w:hyperlink w:anchor="tTHCO">
              <w:r>
                <w:rPr>
                  <w:rStyle w:val="InternetLink"/>
                  <w:spacing w:val="-2"/>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294" w:type="dxa"/>
            <w:tcBorders/>
            <w:shd w:fill="CCEEFF" w:val="clear"/>
            <w:tcMar>
              <w:bottom w:w="0" w:type="dxa"/>
            </w:tcMar>
            <w:vAlign w:val="center"/>
          </w:tcPr>
          <w:p>
            <w:pPr>
              <w:pStyle w:val="TableContents"/>
              <w:bidi w:val="0"/>
              <w:spacing w:before="0" w:after="283"/>
              <w:jc w:val="right"/>
              <w:rPr/>
            </w:pPr>
            <w:hyperlink w:anchor="tTHCO">
              <w:r>
                <w:rPr>
                  <w:rStyle w:val="InternetLink"/>
                  <w:spacing w:val="-2"/>
                </w:rPr>
                <w:t>4</w:t>
              </w:r>
            </w:hyperlink>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44" w:type="dxa"/>
            <w:tcBorders/>
            <w:tcMar>
              <w:bottom w:w="0" w:type="dxa"/>
            </w:tcMar>
            <w:vAlign w:val="center"/>
          </w:tcPr>
          <w:p>
            <w:pPr>
              <w:pStyle w:val="TableContents"/>
              <w:bidi w:val="0"/>
              <w:spacing w:before="0" w:after="0"/>
              <w:jc w:val="left"/>
              <w:rPr/>
            </w:pPr>
            <w:hyperlink w:anchor="tRIFA">
              <w:r>
                <w:rPr>
                  <w:rStyle w:val="InternetLink"/>
                  <w:spacing w:val="-2"/>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294" w:type="dxa"/>
            <w:tcBorders/>
            <w:tcMar>
              <w:bottom w:w="0" w:type="dxa"/>
            </w:tcMar>
            <w:vAlign w:val="center"/>
          </w:tcPr>
          <w:p>
            <w:pPr>
              <w:pStyle w:val="TableContents"/>
              <w:bidi w:val="0"/>
              <w:spacing w:before="0" w:after="283"/>
              <w:jc w:val="right"/>
              <w:rPr/>
            </w:pPr>
            <w:hyperlink w:anchor="tRIFA">
              <w:r>
                <w:rPr>
                  <w:rStyle w:val="InternetLink"/>
                  <w:spacing w:val="-2"/>
                </w:rPr>
                <w:t>5</w:t>
              </w:r>
            </w:hyperlink>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44" w:type="dxa"/>
            <w:tcBorders/>
            <w:shd w:fill="CCEEFF" w:val="clear"/>
            <w:tcMar>
              <w:bottom w:w="0" w:type="dxa"/>
            </w:tcMar>
            <w:vAlign w:val="center"/>
          </w:tcPr>
          <w:p>
            <w:pPr>
              <w:pStyle w:val="TableContents"/>
              <w:bidi w:val="0"/>
              <w:spacing w:before="0" w:after="0"/>
              <w:jc w:val="left"/>
              <w:rPr/>
            </w:pPr>
            <w:hyperlink w:anchor="tUOP">
              <w:r>
                <w:rPr>
                  <w:rStyle w:val="InternetLink"/>
                  <w:spacing w:val="-2"/>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294" w:type="dxa"/>
            <w:tcBorders/>
            <w:shd w:fill="CCEEFF" w:val="clear"/>
            <w:tcMar>
              <w:bottom w:w="0" w:type="dxa"/>
            </w:tcMar>
            <w:vAlign w:val="center"/>
          </w:tcPr>
          <w:p>
            <w:pPr>
              <w:pStyle w:val="TableContents"/>
              <w:bidi w:val="0"/>
              <w:spacing w:before="0" w:after="283"/>
              <w:jc w:val="right"/>
              <w:rPr/>
            </w:pPr>
            <w:hyperlink w:anchor="tUOP">
              <w:r>
                <w:rPr>
                  <w:rStyle w:val="InternetLink"/>
                  <w:spacing w:val="-2"/>
                </w:rPr>
                <w:t>6</w:t>
              </w:r>
            </w:hyperlink>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44" w:type="dxa"/>
            <w:tcBorders/>
            <w:tcMar>
              <w:bottom w:w="0" w:type="dxa"/>
            </w:tcMar>
            <w:vAlign w:val="center"/>
          </w:tcPr>
          <w:p>
            <w:pPr>
              <w:pStyle w:val="TableContents"/>
              <w:bidi w:val="0"/>
              <w:spacing w:before="0" w:after="0"/>
              <w:jc w:val="left"/>
              <w:rPr/>
            </w:pPr>
            <w:hyperlink w:anchor="tDOS">
              <w:r>
                <w:rPr>
                  <w:rStyle w:val="InternetLink"/>
                  <w:spacing w:val="-2"/>
                </w:rPr>
                <w:t xml:space="preserve">Description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294" w:type="dxa"/>
            <w:tcBorders/>
            <w:tcMar>
              <w:bottom w:w="0" w:type="dxa"/>
            </w:tcMar>
            <w:vAlign w:val="center"/>
          </w:tcPr>
          <w:p>
            <w:pPr>
              <w:pStyle w:val="TableContents"/>
              <w:bidi w:val="0"/>
              <w:spacing w:before="0" w:after="283"/>
              <w:jc w:val="right"/>
              <w:rPr/>
            </w:pPr>
            <w:hyperlink w:anchor="tDOS">
              <w:r>
                <w:rPr>
                  <w:rStyle w:val="InternetLink"/>
                  <w:spacing w:val="-2"/>
                </w:rPr>
                <w:t>7</w:t>
              </w:r>
            </w:hyperlink>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44" w:type="dxa"/>
            <w:tcBorders/>
            <w:shd w:fill="CCEEFF" w:val="clear"/>
            <w:tcMar>
              <w:bottom w:w="0" w:type="dxa"/>
            </w:tcMar>
            <w:vAlign w:val="center"/>
          </w:tcPr>
          <w:p>
            <w:pPr>
              <w:pStyle w:val="TableContents"/>
              <w:bidi w:val="0"/>
              <w:spacing w:before="0" w:after="0"/>
              <w:jc w:val="left"/>
              <w:rPr/>
            </w:pPr>
            <w:hyperlink w:anchor="tPOD">
              <w:r>
                <w:rPr>
                  <w:rStyle w:val="InternetLink"/>
                  <w:spacing w:val="-2"/>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294" w:type="dxa"/>
            <w:tcBorders/>
            <w:shd w:fill="CCEEFF" w:val="clear"/>
            <w:tcMar>
              <w:bottom w:w="0" w:type="dxa"/>
            </w:tcMar>
            <w:vAlign w:val="center"/>
          </w:tcPr>
          <w:p>
            <w:pPr>
              <w:pStyle w:val="TableContents"/>
              <w:bidi w:val="0"/>
              <w:spacing w:before="0" w:after="283"/>
              <w:jc w:val="right"/>
              <w:rPr/>
            </w:pPr>
            <w:hyperlink w:anchor="tPOD">
              <w:r>
                <w:rPr>
                  <w:rStyle w:val="InternetLink"/>
                  <w:spacing w:val="-2"/>
                </w:rPr>
                <w:t>8</w:t>
              </w:r>
            </w:hyperlink>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44" w:type="dxa"/>
            <w:tcBorders/>
            <w:tcMar>
              <w:bottom w:w="0" w:type="dxa"/>
            </w:tcMar>
            <w:vAlign w:val="center"/>
          </w:tcPr>
          <w:p>
            <w:pPr>
              <w:pStyle w:val="TableContents"/>
              <w:bidi w:val="0"/>
              <w:spacing w:before="0" w:after="0"/>
              <w:jc w:val="left"/>
              <w:rPr/>
            </w:pPr>
            <w:hyperlink w:anchor="tLEMA">
              <w:r>
                <w:rPr>
                  <w:rStyle w:val="InternetLink"/>
                  <w:spacing w:val="-2"/>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294" w:type="dxa"/>
            <w:tcBorders/>
            <w:tcMar>
              <w:bottom w:w="0" w:type="dxa"/>
            </w:tcMar>
            <w:vAlign w:val="center"/>
          </w:tcPr>
          <w:p>
            <w:pPr>
              <w:pStyle w:val="TableContents"/>
              <w:bidi w:val="0"/>
              <w:spacing w:before="0" w:after="283"/>
              <w:jc w:val="right"/>
              <w:rPr/>
            </w:pPr>
            <w:hyperlink w:anchor="tLEMA">
              <w:r>
                <w:rPr>
                  <w:rStyle w:val="InternetLink"/>
                  <w:spacing w:val="-2"/>
                </w:rPr>
                <w:t>9</w:t>
              </w:r>
            </w:hyperlink>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44" w:type="dxa"/>
            <w:tcBorders/>
            <w:shd w:fill="CCEEFF" w:val="clear"/>
            <w:tcMar>
              <w:bottom w:w="0" w:type="dxa"/>
            </w:tcMar>
            <w:vAlign w:val="center"/>
          </w:tcPr>
          <w:p>
            <w:pPr>
              <w:pStyle w:val="TableContents"/>
              <w:bidi w:val="0"/>
              <w:spacing w:before="0" w:after="0"/>
              <w:jc w:val="left"/>
              <w:rPr/>
            </w:pPr>
            <w:hyperlink w:anchor="tEXP">
              <w:r>
                <w:rPr>
                  <w:rStyle w:val="InternetLink"/>
                  <w:spacing w:val="-2"/>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294" w:type="dxa"/>
            <w:tcBorders/>
            <w:shd w:fill="CCEEFF" w:val="clear"/>
            <w:tcMar>
              <w:bottom w:w="0" w:type="dxa"/>
            </w:tcMar>
            <w:vAlign w:val="center"/>
          </w:tcPr>
          <w:p>
            <w:pPr>
              <w:pStyle w:val="TableContents"/>
              <w:bidi w:val="0"/>
              <w:spacing w:before="0" w:after="283"/>
              <w:jc w:val="right"/>
              <w:rPr/>
            </w:pPr>
            <w:hyperlink w:anchor="tEXP">
              <w:r>
                <w:rPr>
                  <w:rStyle w:val="InternetLink"/>
                  <w:spacing w:val="-2"/>
                </w:rPr>
                <w:t>9</w:t>
              </w:r>
            </w:hyperlink>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CNO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283"/>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 xml:space="preserve">CAUTIONARY NOTE ON FORWARD-LOOKING </w:t>
      </w:r>
      <w:r>
        <w:rPr>
          <w:rFonts w:ascii="Arial Narrow;Helvetica;sans-serif" w:hAnsi="Arial Narrow;Helvetica;sans-serif"/>
          <w:b/>
          <w:i w:val="false"/>
          <w:caps w:val="false"/>
          <w:smallCaps w:val="false"/>
          <w:color w:val="000000"/>
          <w:sz w:val="44"/>
        </w:rPr>
        <w:br/>
      </w:r>
      <w:r>
        <w:rPr>
          <w:rFonts w:ascii="Arial Narrow;Helvetica;sans-serif" w:hAnsi="Arial Narrow;Helvetica;sans-serif"/>
          <w:b/>
          <w:i w:val="false"/>
          <w:caps w:val="false"/>
          <w:smallCaps w:val="false"/>
          <w:color w:val="000000"/>
          <w:spacing w:val="-10"/>
          <w:sz w:val="44"/>
        </w:rPr>
        <w:t>STATEMENTS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supplement, the accompanying prospectus and the information incorporated herein and therein by reference contain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Specific forward-looking statements include, but are not limited to statements such as those made regarding: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expected production ramp of certain products;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plans to invest in research and development, including the plans to implement EUV lithography;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anticipated technological developments;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potential change and impact in our effective tax rate;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timing for construction, expansion and ramping of production for our facilities, including new memory manufacturing fabs in the United States;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receipt, timing, and utilization of government incentives and our ability to satisfy conditions attached to those incentives;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payment of future cash dividends;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market conditions and profitability in our industry;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future demand for our products and factors that may impact such demand;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DRAM bit shipments in future periods;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actions to align our NAND supply and the pace of ramp up of our new technology node, fab utilization and inventories with industry demand trends;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impact of the Cyberspace Administration of China decision;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capital spending in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potential impact of business, economic, political, legal and regulatory developments upon our global operations;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sufficiency of our cash and investments;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intended use of proceeds from the offering of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Reports on Form 10-Q incorporated by reference herein and as may be updated in this prospectus supplement and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All subsequent written and oral forward-looking statements attributable to us or any person acting on our behalf are expressly qualified in their entirety by the cautionary statements contained or referred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924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this prospectus supplement and any other cautionary statements that may accompany such forward-looking statements. We do not undertake any obligation to update any of these forward-looking statements to conform these statements to actual results, unless the securities laws require us to do so.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Trademarks and Service Marks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 and ™ symbols, but we will assert, to the fullest extent under applicable law, our rights or the rights of the applicable licensors to these trademarks, service marks, and tradenames.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S-iii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ATP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72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ABOUT THIS PROSPECTUS SUPPLEMENT</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supplement and the accompanying prospectus dated November 2, 2023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Unless the context requires otherwise or unless otherwise specified, references in this prospectus supplement to “Micron,” “we,” “our,” “us,” and the “Company” refer to Micron Technology, Inc. and our consolidated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expect that delivery of the notes will be made to investors on or about April 29, 2025, which will be the third business day following the date of this prospectus supplement (such settlement being referred to as T+3).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April 29, 2025 will be required, by virtue of the fact that the notes initially settle in T+3, to specify an alternate settlement arrangement to prevent a failed settlement. Purchasers of the notes who wish to trade the notes more than one business day prior to April 29, 2025 should consult their advisors.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S-iv</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SUM"/>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0" w:after="283"/>
        <w:ind w:left="1393" w:right="0" w:hanging="0"/>
        <w:jc w:val="left"/>
        <w:rPr>
          <w:rFonts w:ascii="Arial Narrow;Helvetica;sans-serif" w:hAnsi="Arial Narrow;Helvetica;sans-serif"/>
          <w:b/>
          <w:i w:val="false"/>
          <w:caps w:val="false"/>
          <w:smallCaps w:val="false"/>
          <w:color w:val="000000"/>
          <w:sz w:val="44"/>
          <w:bdr w:val="single" w:sz="8" w:space="1" w:color="000000"/>
        </w:rPr>
      </w:pPr>
      <w:r>
        <w:rPr>
          <w:rFonts w:ascii="Arial Narrow;Helvetica;sans-serif" w:hAnsi="Arial Narrow;Helvetica;sans-serif"/>
          <w:b/>
          <w:i w:val="false"/>
          <w:caps w:val="false"/>
          <w:smallCaps w:val="false"/>
          <w:color w:val="000000"/>
          <w:spacing w:val="-10"/>
          <w:sz w:val="44"/>
          <w:bdr w:val="single" w:sz="8" w:space="1" w:color="000000"/>
        </w:rPr>
        <w:t>SUMMARY</w:t>
      </w:r>
      <w:r>
        <w:rPr>
          <w:rFonts w:ascii="Arial Narrow;Helvetica;sans-serif" w:hAnsi="Arial Narrow;Helvetica;sans-serif"/>
          <w:b/>
          <w:i w:val="false"/>
          <w:caps w:val="false"/>
          <w:smallCaps w:val="false"/>
          <w:color w:val="000000"/>
          <w:spacing w:val="9"/>
          <w:sz w:val="44"/>
          <w:bdr w:val="single" w:sz="8" w:space="1" w:color="000000"/>
        </w:rPr>
        <w:t xml:space="preserve"> </w:t>
      </w:r>
    </w:p>
    <w:p>
      <w:pPr>
        <w:pStyle w:val="TextBody"/>
        <w:bidi w:val="0"/>
        <w:spacing w:lineRule="atLeast" w:line="230" w:before="100" w:after="283"/>
        <w:jc w:val="left"/>
        <w:rPr/>
      </w:pPr>
      <w:r>
        <w:rPr>
          <w:rFonts w:ascii="Arial;Helvetica;sans-serif" w:hAnsi="Arial;Helvetica;sans-serif"/>
          <w:b w:val="false"/>
          <w:i/>
          <w:caps w:val="false"/>
          <w:smallCaps w:val="false"/>
          <w:color w:val="000000"/>
          <w:sz w:val="20"/>
          <w:bdr w:val="single" w:sz="8" w:space="1" w:color="000000"/>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w:t>
      </w:r>
      <w:hyperlink r:id="rId3">
        <w:r>
          <w:rPr>
            <w:rStyle w:val="InternetLink"/>
          </w:rPr>
          <w:t>Annual Report on Form 10-K for the fiscal year ended August 29, 2024</w:t>
        </w:r>
      </w:hyperlink>
      <w:r>
        <w:rPr>
          <w:rFonts w:ascii="Arial;Helvetica;sans-serif" w:hAnsi="Arial;Helvetica;sans-serif"/>
          <w:b w:val="false"/>
          <w:i/>
          <w:caps w:val="false"/>
          <w:smallCaps w:val="false"/>
          <w:color w:val="000000"/>
          <w:sz w:val="20"/>
          <w:bdr w:val="single" w:sz="8" w:space="1" w:color="000000"/>
        </w:rPr>
        <w:t xml:space="preserve">, our </w:t>
      </w:r>
      <w:hyperlink r:id="rId4">
        <w:r>
          <w:rPr>
            <w:rStyle w:val="InternetLink"/>
          </w:rPr>
          <w:t>Quarterly Report on Form 10-Q for the fiscal quarter ended February 27, 2025</w:t>
        </w:r>
      </w:hyperlink>
      <w:r>
        <w:rPr>
          <w:rFonts w:ascii="Arial;Helvetica;sans-serif" w:hAnsi="Arial;Helvetica;sans-serif"/>
          <w:b w:val="false"/>
          <w:i/>
          <w:caps w:val="false"/>
          <w:smallCaps w:val="false"/>
          <w:color w:val="000000"/>
          <w:sz w:val="20"/>
          <w:bdr w:val="single" w:sz="8" w:space="1" w:color="000000"/>
        </w:rPr>
        <w:t>, documents that we subsequently file with the SEC and the financial statements and other information included or incorporated by reference in this prospectus supplement and the accompanying prospectus, before making an investment decision.</w:t>
      </w:r>
      <w:r>
        <w:rPr>
          <w:rFonts w:ascii="Arial;Helvetica;sans-serif" w:hAnsi="Arial;Helvetica;sans-serif"/>
          <w:b w:val="false"/>
          <w:i/>
          <w:caps w:val="false"/>
          <w:smallCaps w:val="false"/>
          <w:color w:val="000000"/>
          <w:spacing w:val="4"/>
          <w:sz w:val="20"/>
          <w:bdr w:val="single" w:sz="8" w:space="1" w:color="000000"/>
        </w:rPr>
        <w:t xml:space="preserve"> </w:t>
      </w:r>
    </w:p>
    <w:p>
      <w:pPr>
        <w:pStyle w:val="TextBody"/>
        <w:bidi w:val="0"/>
        <w:spacing w:lineRule="atLeast" w:line="280" w:before="100" w:after="283"/>
        <w:jc w:val="left"/>
        <w:rPr>
          <w:rFonts w:ascii="Arial;Helvetica;sans-serif" w:hAnsi="Arial;Helvetica;sans-serif"/>
          <w:b/>
          <w:i w:val="false"/>
          <w:caps w:val="false"/>
          <w:smallCaps w:val="false"/>
          <w:color w:val="006CB7"/>
          <w:sz w:val="24"/>
          <w:bdr w:val="single" w:sz="8" w:space="1" w:color="000000"/>
        </w:rPr>
      </w:pPr>
      <w:r>
        <w:rPr>
          <w:rFonts w:ascii="Arial;Helvetica;sans-serif" w:hAnsi="Arial;Helvetica;sans-serif"/>
          <w:b/>
          <w:i w:val="false"/>
          <w:caps w:val="false"/>
          <w:smallCaps w:val="false"/>
          <w:color w:val="006CB7"/>
          <w:spacing w:val="-1"/>
          <w:sz w:val="24"/>
          <w:bdr w:val="single" w:sz="8" w:space="1" w:color="000000"/>
        </w:rPr>
        <w:t>Micron Technology, Inc.</w:t>
      </w:r>
      <w:r>
        <w:rPr>
          <w:rFonts w:ascii="Arial;Helvetica;sans-serif" w:hAnsi="Arial;Helvetica;sans-serif"/>
          <w:b/>
          <w:i w:val="false"/>
          <w:caps w:val="false"/>
          <w:smallCaps w:val="false"/>
          <w:color w:val="000000"/>
          <w:spacing w:val="5"/>
          <w:sz w:val="24"/>
          <w:bdr w:val="single" w:sz="8" w:space="1" w:color="000000"/>
        </w:rPr>
        <w:t xml:space="preserve"> </w:t>
      </w:r>
    </w:p>
    <w:p>
      <w:pPr>
        <w:pStyle w:val="TextBody"/>
        <w:bidi w:val="0"/>
        <w:spacing w:lineRule="atLeast" w:line="240" w:before="100" w:after="283"/>
        <w:jc w:val="left"/>
        <w:rPr>
          <w:rFonts w:ascii="Arial;Helvetica;sans-serif" w:hAnsi="Arial;Helvetica;sans-serif"/>
          <w:b/>
          <w:i/>
          <w:caps w:val="false"/>
          <w:smallCaps w:val="false"/>
          <w:color w:val="000000"/>
          <w:sz w:val="20"/>
          <w:bdr w:val="single" w:sz="8" w:space="1" w:color="000000"/>
        </w:rPr>
      </w:pPr>
      <w:r>
        <w:rPr>
          <w:rFonts w:ascii="Arial;Helvetica;sans-serif" w:hAnsi="Arial;Helvetica;sans-serif"/>
          <w:b/>
          <w:i/>
          <w:caps w:val="false"/>
          <w:smallCaps w:val="false"/>
          <w:color w:val="000000"/>
          <w:sz w:val="20"/>
          <w:bdr w:val="single" w:sz="8" w:space="1" w:color="000000"/>
        </w:rPr>
        <w:t>Overview</w:t>
      </w:r>
      <w:r>
        <w:rPr>
          <w:rFonts w:ascii="Arial;Helvetica;sans-serif" w:hAnsi="Arial;Helvetica;sans-serif"/>
          <w:b/>
          <w:i/>
          <w:caps w:val="false"/>
          <w:smallCaps w:val="false"/>
          <w:color w:val="000000"/>
          <w:spacing w:val="4"/>
          <w:sz w:val="20"/>
          <w:bdr w:val="single" w:sz="8" w:space="1" w:color="00000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We are an industry leader in innovative memory and storage solutions transforming how the world uses information to enrich life </w:t>
      </w:r>
      <w:r>
        <w:rPr>
          <w:rFonts w:ascii="Arial;Helvetica;sans-serif" w:hAnsi="Arial;Helvetica;sans-serif"/>
          <w:b w:val="false"/>
          <w:i/>
          <w:caps w:val="false"/>
          <w:smallCaps w:val="false"/>
          <w:color w:val="000000"/>
          <w:sz w:val="20"/>
          <w:bdr w:val="single" w:sz="8" w:space="1" w:color="000000"/>
        </w:rPr>
        <w:t>for all</w:t>
      </w:r>
      <w:r>
        <w:rPr>
          <w:rFonts w:ascii="Arial;Helvetica;sans-serif" w:hAnsi="Arial;Helvetica;sans-serif"/>
          <w:b w:val="false"/>
          <w:i w:val="false"/>
          <w:caps w:val="false"/>
          <w:smallCaps w:val="false"/>
          <w:color w:val="000000"/>
          <w:spacing w:val="-2"/>
          <w:sz w:val="20"/>
          <w:bdr w:val="single" w:sz="8" w:space="1" w:color="000000"/>
        </w:rPr>
        <w:t>. With a relentless focus on our customers, technology leadership, manufacturing, and operational excellence, Micron delivers a rich portfolio of high-performance DRAM, NAND, and NOR memory and storage products through our Micron</w:t>
      </w:r>
      <w:r>
        <w:rPr>
          <w:rFonts w:ascii="Arial;Helvetica;sans-serif" w:hAnsi="Arial;Helvetica;sans-serif"/>
          <w:b w:val="false"/>
          <w:i w:val="false"/>
          <w:caps w:val="false"/>
          <w:smallCaps w:val="false"/>
          <w:color w:val="000000"/>
          <w:spacing w:val="-1"/>
          <w:sz w:val="15"/>
          <w:bdr w:val="single" w:sz="8" w:space="1" w:color="000000"/>
        </w:rPr>
        <w:t>®</w:t>
      </w:r>
      <w:r>
        <w:rPr>
          <w:rFonts w:ascii="Arial;Helvetica;sans-serif" w:hAnsi="Arial;Helvetica;sans-serif"/>
          <w:b w:val="false"/>
          <w:i w:val="false"/>
          <w:caps w:val="false"/>
          <w:smallCaps w:val="false"/>
          <w:color w:val="000000"/>
          <w:spacing w:val="-2"/>
          <w:sz w:val="20"/>
          <w:bdr w:val="single" w:sz="8" w:space="1" w:color="000000"/>
        </w:rPr>
        <w:t xml:space="preserve"> and Crucial</w:t>
      </w:r>
      <w:r>
        <w:rPr>
          <w:rFonts w:ascii="Arial;Helvetica;sans-serif" w:hAnsi="Arial;Helvetica;sans-serif"/>
          <w:b w:val="false"/>
          <w:i w:val="false"/>
          <w:caps w:val="false"/>
          <w:smallCaps w:val="false"/>
          <w:color w:val="000000"/>
          <w:spacing w:val="-1"/>
          <w:sz w:val="15"/>
          <w:bdr w:val="single" w:sz="8" w:space="1" w:color="000000"/>
        </w:rPr>
        <w:t>®</w:t>
      </w:r>
      <w:r>
        <w:rPr>
          <w:rFonts w:ascii="Arial;Helvetica;sans-serif" w:hAnsi="Arial;Helvetica;sans-serif"/>
          <w:b w:val="false"/>
          <w:i w:val="false"/>
          <w:caps w:val="false"/>
          <w:smallCaps w:val="false"/>
          <w:color w:val="000000"/>
          <w:spacing w:val="-2"/>
          <w:sz w:val="20"/>
          <w:bdr w:val="single" w:sz="8" w:space="1" w:color="000000"/>
        </w:rPr>
        <w:t xml:space="preserve">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We face intense competition in the semiconductor memory and storage markets. To remain competitive we must continuously develop and implement new products and technologies and decrease manufacturing costs in spite of inflationary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bdr w:val="single" w:sz="8" w:space="1" w:color="000000"/>
        </w:rPr>
      </w:pPr>
      <w:r>
        <w:rPr>
          <w:rFonts w:ascii="Arial;Helvetica;sans-serif" w:hAnsi="Arial;Helvetica;sans-serif"/>
          <w:b/>
          <w:i/>
          <w:caps w:val="false"/>
          <w:smallCaps w:val="false"/>
          <w:color w:val="000000"/>
          <w:sz w:val="20"/>
          <w:bdr w:val="single" w:sz="8" w:space="1" w:color="000000"/>
        </w:rPr>
        <w:t>Recent Developments</w:t>
      </w:r>
      <w:r>
        <w:rPr>
          <w:rFonts w:ascii="Arial;Helvetica;sans-serif" w:hAnsi="Arial;Helvetica;sans-serif"/>
          <w:b/>
          <w:i/>
          <w:caps w:val="false"/>
          <w:smallCaps w:val="false"/>
          <w:color w:val="000000"/>
          <w:spacing w:val="4"/>
          <w:sz w:val="20"/>
          <w:bdr w:val="single" w:sz="8" w:space="1" w:color="00000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Concurrently with the pricing of the offering of notes, we intend to issue a notice of redemption to redeem in full our existing 4.185% Senior Notes due 2027 (the “2027 notes” and such redemption, the “2027 notes Redemption”). The 2027 notes Redemption will be contingent on the issuance of the notes contemplated hereby. Nothing contained in this prospectus supplement should be deemed to be an offer to repurchase any 2027 notes.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76"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Our executive offices are located at 8000 South Federal Way, Boise, Idaho 83716 and our telephone number is (208) 368-4000. Information about us is available at our website www.micron.com. Information contained or referenced on our website is not incorporated by reference and does not form a part of this prospectus supplement or the accompanying prospectus. You should not rely on any such information in making your decision whether to purchase the notes.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350" w:after="283"/>
        <w:ind w:left="1393" w:right="0" w:hanging="0"/>
        <w:jc w:val="left"/>
        <w:rPr>
          <w:rFonts w:ascii="Arial;Helvetica;sans-serif" w:hAnsi="Arial;Helvetica;sans-serif"/>
          <w:b/>
          <w:i w:val="false"/>
          <w:caps w:val="false"/>
          <w:smallCaps w:val="false"/>
          <w:color w:val="006CB7"/>
          <w:sz w:val="24"/>
          <w:bdr w:val="single" w:sz="8" w:space="1" w:color="000000"/>
        </w:rPr>
      </w:pPr>
      <w:r>
        <w:rPr>
          <w:rFonts w:ascii="Arial;Helvetica;sans-serif" w:hAnsi="Arial;Helvetica;sans-serif"/>
          <w:b/>
          <w:i w:val="false"/>
          <w:caps w:val="false"/>
          <w:smallCaps w:val="false"/>
          <w:color w:val="006CB7"/>
          <w:spacing w:val="-1"/>
          <w:sz w:val="24"/>
          <w:bdr w:val="single" w:sz="8" w:space="1" w:color="000000"/>
        </w:rPr>
        <w:t>The Offering</w:t>
      </w:r>
      <w:r>
        <w:rPr>
          <w:rFonts w:ascii="Arial;Helvetica;sans-serif" w:hAnsi="Arial;Helvetica;sans-serif"/>
          <w:b/>
          <w:i w:val="false"/>
          <w:caps w:val="false"/>
          <w:smallCaps w:val="false"/>
          <w:color w:val="000000"/>
          <w:spacing w:val="5"/>
          <w:sz w:val="24"/>
          <w:bdr w:val="single" w:sz="8" w:space="1" w:color="000000"/>
        </w:rPr>
        <w:t xml:space="preserve"> </w:t>
      </w:r>
    </w:p>
    <w:p>
      <w:pPr>
        <w:pStyle w:val="TextBody"/>
        <w:bidi w:val="0"/>
        <w:spacing w:lineRule="atLeast" w:line="250" w:before="160" w:after="283"/>
        <w:jc w:val="left"/>
        <w:rPr>
          <w:rFonts w:ascii="Arial;Helvetica;sans-serif" w:hAnsi="Arial;Helvetica;sans-serif"/>
          <w:b w:val="false"/>
          <w:i/>
          <w:caps w:val="false"/>
          <w:smallCaps w:val="false"/>
          <w:color w:val="000000"/>
          <w:sz w:val="20"/>
          <w:bdr w:val="single" w:sz="8" w:space="1" w:color="000000"/>
        </w:rPr>
      </w:pPr>
      <w:r>
        <w:rPr>
          <w:rFonts w:ascii="Arial;Helvetica;sans-serif" w:hAnsi="Arial;Helvetica;sans-serif"/>
          <w:b w:val="false"/>
          <w:i/>
          <w:caps w:val="false"/>
          <w:smallCaps w:val="false"/>
          <w:color w:val="000000"/>
          <w:sz w:val="20"/>
          <w:bdr w:val="single" w:sz="8" w:space="1" w:color="000000"/>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r>
        <w:rPr>
          <w:rFonts w:ascii="Arial;Helvetica;sans-serif" w:hAnsi="Arial;Helvetica;sans-serif"/>
          <w:b w:val="false"/>
          <w:i/>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Issuer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Micron Technology, Inc.</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Securities Offered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$500,000,000 aggregate principal amount of 5.65% Senior Notes due 2032 and $1,250,000,000 aggregate principal amount of 6.05% Senior Notes due 2035.</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Maturity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The 2032 notes will mature on November 1, 2032 and the 2035 notes will mature on November 1, 2035.</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Interest and Payment Dates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5.65% per year on the principal amount of the 2032 notes and 6.05% per year on the principal amount of the 2035 notes. Interest on each series of notes is payable on May 1 and November 1 of each year after the date of issuance, commencing November 1, 2025. Interest on the notes will accrue from April 29, 2025.</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Ranking of the Notes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The notes will be senior unsecured obligations and will rank equally with all of our other existing and future unsecured and unsubordinated indebtedness from time to time outstanding.</w:t>
      </w:r>
      <w:r>
        <w:rPr>
          <w:rFonts w:ascii="Arial;Helvetica;sans-serif" w:hAnsi="Arial;Helvetica;san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As of February 27, 2025:</w:t>
      </w:r>
      <w:r>
        <w:rPr>
          <w:rFonts w:ascii="Arial;Helvetica;sans-serif" w:hAnsi="Arial;Helvetica;sans-serif"/>
          <w:b w:val="false"/>
          <w:i w:val="false"/>
          <w:caps w:val="false"/>
          <w:smallCaps w:val="false"/>
          <w:color w:val="000000"/>
          <w:sz w:val="20"/>
          <w:bdr w:val="single" w:sz="8" w:space="1" w:color="000000"/>
        </w:rPr>
        <w:t xml:space="preserve"> </w:t>
      </w:r>
    </w:p>
    <w:p>
      <w:pPr>
        <w:pStyle w:val="TextBody"/>
        <w:bidi w:val="0"/>
        <w:spacing w:lineRule="atLeast" w:line="240" w:before="200" w:after="0"/>
        <w:ind w:left="51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we had approximately $11.9 billion aggregate principal amount of indebtedness; and</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127000" distB="0" distL="21336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10pt;mso-wrap-distance-bottom:0pt;margin-top:1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51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$10.8 billion, all of which will be structurally senior to the notes with respect to claims on the assets and cash flows of our subsidiaries.</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127000" distB="0" distL="21336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10pt;mso-wrap-distance-bottom:0pt;margin-top:1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Sinking Fund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None.</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Optional Redemption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Each series of notes will be redeemable at our option, in whole or in part, at any time and from time to time at a redemption price equal to the greater of (i) the make-whole amount (as described in the section entitled “Description of the Notes — Optional Redemption”) and (ii) 100% of the principal amount of the notes to be redeemed, plus accrued and unpaid interest thereon to, but excluding, the redemption date. In addition, on or after September 1, 2032, in the case of the 2032 notes (two months prior to the maturity date of the 2032 notes) and on or after August 1, 2035, in the case of the 2035 notes (three months prior to the maturity date of the 2035 notes), we may redeem the notes of such series at a redemption price equal to 100% of the principal amount thereof plus accrued and unpaid interest to, but excluding, the date of redemption. See “Description of the Notes — Optional Redemption.”</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35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Mandatory Offer to Repurchase Upon a Change of Control Triggering Event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Upon the occurrence of a Change of Control Triggering Event (as defined elsewhere in this prospectus supplement) with respect to a series of notes, we will be required to make an offer to purchase the notes of such series at a price equal to 101% of their principal amount plus accrued and unpaid interest to, but excluding, the date of purchase. See “Description of the Notes — Repurchase of Notes Upon a Change of Control Triggering Event.”</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Certain Covenants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The indenture that will govern each series of notes contains covenants that, subject to significant exceptions, limit our ability and/or the ability of our restricted subsidiaries (which are generally domestic subsidiaries in which we own at least 80% of the voting stock and which own Principal Property (as defined herein)) to:</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54" w:after="0"/>
        <w:ind w:left="51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create or incur certain liens on Principal Property owned by us or a Restricted Subsidiary and shares of capital stock of any restricted subsidiary and enter into sale and lease-back transactions with respect to Principal Property; and</w:t>
      </w:r>
      <w:r>
        <w:rPr>
          <w:rFonts w:ascii="Arial;Helvetica;sans-serif" w:hAnsi="Arial;Helvetica;sans-serif"/>
          <w:b w:val="false"/>
          <w:i w:val="false"/>
          <w:caps w:val="false"/>
          <w:smallCaps w:val="false"/>
          <w:color w:val="000000"/>
          <w:sz w:val="20"/>
          <w:bdr w:val="single" w:sz="8" w:space="1" w:color="000000"/>
        </w:rPr>
        <w:t xml:space="preserve"> </w:t>
      </w:r>
      <w:r>
        <mc:AlternateContent>
          <mc:Choice Requires="wps">
            <w:drawing>
              <wp:anchor behindDoc="0" distT="97790" distB="0" distL="21336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consolidate with or merge with or into, or convey, transfer or lease all or substantially all of our assets, to another person.</w:t>
      </w:r>
      <w:r>
        <w:rPr>
          <w:rFonts w:ascii="Arial;Helvetica;sans-serif" w:hAnsi="Arial;Helvetica;sans-serif"/>
          <w:b w:val="false"/>
          <w:i w:val="false"/>
          <w:caps w:val="false"/>
          <w:smallCaps w:val="false"/>
          <w:color w:val="000000"/>
          <w:sz w:val="20"/>
          <w:bdr w:val="single" w:sz="8" w:space="1" w:color="000000"/>
        </w:rPr>
        <w:t xml:space="preserve"> </w:t>
      </w:r>
      <w:r>
        <mc:AlternateContent>
          <mc:Choice Requires="wps">
            <w:drawing>
              <wp:anchor behindDoc="0" distT="99060" distB="0" distL="21336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These covenants are subject to a number of important limitations and exceptions as described under “Description of the Notes Certain Covenants.”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No Prior Market; No Listing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Each series of notes will be a new issue of securities for which there is currently no established public market. Although the underwriters have informed us that they intend to make a market in the notes of each series, they are not obligated to do so and may discontinue market-making with respect to the notes at any time without notice. Accordingly, a liquid market for the notes may not develop or be maintained. See “Risk Factors — Risks Related to the Notes — Your ability to transfer the notes may be limited by the absence of an active trading market, and an active trading market may not develop for the notes.”</w:t>
      </w:r>
      <w:r>
        <w:rPr>
          <w:rFonts w:ascii="Arial;Helvetica;sans-serif" w:hAnsi="Arial;Helvetica;san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We do not intend to apply for the listing of the notes on any securities exchange or for the quotation of the notes in any dealer quotation system.</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Use of Proceeds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We estimate net proceeds from the sale of the notes, after deducting underwriter discounts and other estimated offering expenses, will be approximately $1,737 million. We intend to use the net proceeds from the sale of the notes to pay the redemption price of the 2027 notes Redemption, to pay the cost of unwinding the fixed-to-floating interest rate swaps we entered into in connection with the 2027 notes, and any remainder of the net proceeds for general corporate purposes, which may include the repayment of other indebtedness. See “Use of Proceeds.”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Risk Factors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You should carefully consider all of the information set forth in this prospectus supplement and the accompanying prospectus and the documents, including the information incorporated by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35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reference, and, in particular, should evaluate the specific factors set forth in this prospectus supplement under “Risk Factors” for an explanation of certain risks you should consider before investing in the notes.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Form and Denomination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Each series of notes will be issued in the form of one or more 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(“DTC”). Except in the limited circumstances described under “Description of the Notes — Book-Entry, Form, Denomination and Delivery of Notes,” notes in certificated form will not be issued or exchanged for interests in global securities. Investors may hold their interests in a global note directly through Euroclear Bank S.A./N.V, as operator of the Euroclear System (“Euroclear”), and Clearstream Banking, S.A.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Trustee, Registrar and Paying Agent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U.S. Bank Trust Company, National Association.</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Governing Law </w:t>
      </w:r>
    </w:p>
    <w:p>
      <w:pPr>
        <w:pStyle w:val="TextBody"/>
        <w:bidi w:val="0"/>
        <w:spacing w:lineRule="atLeast" w:line="240" w:before="0" w:after="283"/>
        <w:ind w:left="475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The indenture and the notes will be governed by the laws of the State of New York.</w:t>
      </w:r>
      <w:r>
        <w:rPr>
          <w:rFonts w:ascii="Arial;Helvetica;sans-serif" w:hAnsi="Arial;Helvetica;san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283"/>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RISK FACTORS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pPr>
      <w:r>
        <w:rPr>
          <w:rFonts w:ascii="Arial;Helvetica;sans-serif" w:hAnsi="Arial;Helvetica;sans-serif"/>
          <w:b w:val="false"/>
          <w:i/>
          <w:caps w:val="false"/>
          <w:smallCaps w:val="false"/>
          <w:color w:val="000000"/>
          <w:sz w:val="20"/>
        </w:rPr>
        <w:t xml:space="preserve">In considering whether to purchase the notes, you should carefully consider all the information contained or incorporated by reference in this prospectus supplement and the accompanying prospectus. In particular, you should carefully consider the risk factors in our </w:t>
      </w:r>
      <w:hyperlink r:id="rId5">
        <w:r>
          <w:rPr>
            <w:rStyle w:val="InternetLink"/>
          </w:rPr>
          <w:t>Quarterly Report on Form 10-Q for the fiscal quarter ended February 27, 2025</w:t>
        </w:r>
      </w:hyperlink>
      <w:r>
        <w:rPr>
          <w:rFonts w:ascii="Arial;Helvetica;sans-serif" w:hAnsi="Arial;Helvetica;sans-serif"/>
          <w:b w:val="false"/>
          <w:i/>
          <w:caps w:val="false"/>
          <w:smallCaps w:val="false"/>
          <w:color w:val="000000"/>
          <w:sz w:val="20"/>
        </w:rPr>
        <w:t xml:space="preserve"> as well as the risk factors described below, which are not exhaustive. In this section, references to “Micron,” “us,” “we,” or “our” refer only to Micron Technology, Inc. and not to any of its subsidiaries.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Risks Related to Our Business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pPr>
      <w:r>
        <w:rPr>
          <w:rFonts w:ascii="Arial;Helvetica;sans-serif" w:hAnsi="Arial;Helvetica;sans-serif"/>
          <w:b w:val="false"/>
          <w:i w:val="false"/>
          <w:caps w:val="false"/>
          <w:smallCaps w:val="false"/>
          <w:color w:val="000000"/>
          <w:spacing w:val="-2"/>
          <w:sz w:val="20"/>
        </w:rPr>
        <w:t xml:space="preserve">We hereby incorporate by reference the risk factors in Item 1A of our </w:t>
      </w:r>
      <w:hyperlink r:id="rId6">
        <w:r>
          <w:rPr>
            <w:rStyle w:val="InternetLink"/>
          </w:rPr>
          <w:t>Quarterly Report on Form 10-Q for the fiscal quarter ended February 27, 2025</w:t>
        </w:r>
      </w:hyperlink>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Risks Related to the Notes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We may not be able to generate sufficient cash to service our debt obligations, including our obligations under the notes.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Despite current indebtedness levels, we are able to incur substantially more debt. This could further exacerbate the risks described herein.</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Helvetica;sans-serif" w:hAnsi="Arial;Helvetica;sans-serif"/>
          <w:b w:val="false"/>
          <w:i/>
          <w:caps w:val="false"/>
          <w:smallCaps w:val="false"/>
          <w:color w:val="000000"/>
          <w:sz w:val="20"/>
        </w:rPr>
        <w:t>pari passu</w:t>
      </w:r>
      <w:r>
        <w:rPr>
          <w:rFonts w:ascii="Arial;Helvetica;sans-serif" w:hAnsi="Arial;Helvetica;sans-serif"/>
          <w:b w:val="false"/>
          <w:i w:val="false"/>
          <w:caps w:val="false"/>
          <w:smallCaps w:val="false"/>
          <w:color w:val="000000"/>
          <w:spacing w:val="-2"/>
          <w:sz w:val="20"/>
        </w:rPr>
        <w:t xml:space="preserve"> with the notes, the holders of that debt will be entitled to share ratably with you in any proceeds distributed in connection with any insolvency, liquidation, reorganization,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dissolution or other winding-up of us. If new debt is added to our current debt levels, the related risks that we and our subsidiaries now face could intensify. See “Description of the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indenture governing each series of notes will contain negative covenants that may have a limited effect but these covenants may still restrict the operation of our business.</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 xml:space="preserve">Claims of noteholders will be structurally subordinated to claims of creditors of our subsidiaries.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February 27, 2025,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$10.8 billion, all of which will be structurally senior to the notes with respect to claims on the assets and cash flows of our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notes will be unsecured and effectively subordinated to our existing and future secured indebtedness to the extent of the collateral securing such indebtedness (unless the notes are equally and ratably secured with such indebtedness).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Changes in our credit rating may adversely affect your investment in the notes.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Your ability to transfer the notes may be limited by the absence of an active trading market, and an active trading market may not develop for the notes.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series of notes is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number of holders of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operating performance and financial condition;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market for similar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interest of securities dealers in making a market in the notes;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prevailing interest rates.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80"/>
        <w:ind w:left="13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Upon a Change of Control Triggering Event, we may not have the funds necessary to finance the change of control offer required by the indenture governing each series of notes, which would violate the terms of such indenture.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Upon the occurrence of a Change of Control Triggering Event (as defined in the indenture governing each series of notes) with respect to a series of notes, holders of such series of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of a series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provisions of the notes will not necessarily protect you in the event of certain highly leveraged transactions.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Upon the occurrence of a Change of Control Triggering Event with respect to a series of notes, you will have the right to require us to purchase the notes of such series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ratings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944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USE OF PROCEEDS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estimate net proceeds from the sale of the notes, after deducting underwriter discounts and other estimated offering expenses, will be approximately $1,737 million.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intend to use the net proceeds from the sale of the notes to pay the redemption price of the 2027 notes Redemption and to pay the cost of unwinding the fixed-to-floating interest rate swaps we entered into in connection with the 2027 notes. The 2027 notes bear interest at a rate of 4.185% per annum, mature on February 15, 2027, and as of February 27, 2025, $900 million in aggregate principal amount was outstanding.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intend to use any remainder of the net proceeds from the sale of the notes for general corporate purposes, which may include the repayment of other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CAC"/>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283"/>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CASH AND CAPITALIZATION</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a summary of our consolidated cash, cash equivalents, short-term investments and long-term marketable investments and capitalization as of February 27,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an actual basis;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an as adjusted basis to give effect to (i) the issuance of the notes offered by this prospectus supplement as if the offering had occurred on February 27, 2025, and (ii) the application of a portion of the net proceeds therefrom as described in “Use of Proceeds” to pay the redemption price for the 2027 notes Redemption and to pay the estimated cost of unwinding the fixed-to-floating interest rate swaps we entered into in connection with the 2027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table should be read in conjunction with our consolidated financial statements incorporated by reference in this prospectus supplement.</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710"/>
        <w:gridCol w:w="109"/>
        <w:gridCol w:w="109"/>
        <w:gridCol w:w="109"/>
        <w:gridCol w:w="226"/>
        <w:gridCol w:w="766"/>
        <w:gridCol w:w="109"/>
        <w:gridCol w:w="109"/>
        <w:gridCol w:w="109"/>
        <w:gridCol w:w="112"/>
        <w:gridCol w:w="235"/>
        <w:gridCol w:w="839"/>
        <w:gridCol w:w="112"/>
        <w:gridCol w:w="158"/>
      </w:tblGrid>
      <w:tr>
        <w:trPr/>
        <w:tc>
          <w:tcPr>
            <w:tcW w:w="57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26" w:type="dxa"/>
            <w:gridSpan w:val="10"/>
            <w:tcBorders>
              <w:bottom w:val="single" w:sz="2" w:space="0" w:color="000000"/>
            </w:tcBorders>
            <w:vAlign w:val="center"/>
          </w:tcPr>
          <w:p>
            <w:pPr>
              <w:pStyle w:val="TableContents"/>
              <w:bidi w:val="0"/>
              <w:spacing w:before="0" w:after="0"/>
              <w:jc w:val="center"/>
              <w:rPr>
                <w:spacing w:val="0"/>
              </w:rPr>
            </w:pPr>
            <w:r>
              <w:rPr>
                <w:spacing w:val="0"/>
              </w:rPr>
              <w:t xml:space="preserve">As of February 27, 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7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8"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As Adjusted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6" w:type="dxa"/>
            <w:gridSpan w:val="10"/>
            <w:tcBorders/>
            <w:tcMar>
              <w:bottom w:w="0" w:type="dxa"/>
            </w:tcMar>
            <w:vAlign w:val="center"/>
          </w:tcPr>
          <w:p>
            <w:pPr>
              <w:pStyle w:val="TableContents"/>
              <w:bidi w:val="0"/>
              <w:spacing w:before="0" w:after="0"/>
              <w:jc w:val="center"/>
              <w:rPr>
                <w:spacing w:val="0"/>
              </w:rPr>
            </w:pPr>
            <w:r>
              <w:rPr>
                <w:spacing w:val="0"/>
              </w:rPr>
              <w:t xml:space="preserve">(dollars in millions) </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shd w:fill="CCEEFF" w:val="clear"/>
            <w:tcMar>
              <w:bottom w:w="0" w:type="dxa"/>
            </w:tcMar>
            <w:vAlign w:val="center"/>
          </w:tcPr>
          <w:p>
            <w:pPr>
              <w:pStyle w:val="TableContents"/>
              <w:bidi w:val="0"/>
              <w:spacing w:before="0" w:after="0"/>
              <w:jc w:val="left"/>
              <w:rPr>
                <w:spacing w:val="-2"/>
              </w:rPr>
            </w:pPr>
            <w:r>
              <w:rPr>
                <w:spacing w:val="-2"/>
              </w:rPr>
              <w:t xml:space="preserve">Cash and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 xml:space="preserve">8,345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spacing w:val="-2"/>
              </w:rPr>
            </w:pPr>
            <w:r>
              <w:rPr>
                <w:spacing w:val="-2"/>
              </w:rPr>
              <w:t xml:space="preserve">Short-term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663</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Long-term marketable investments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1,375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39" w:type="dxa"/>
            <w:tcBorders>
              <w:bottom w:val="single" w:sz="2" w:space="0" w:color="000000"/>
            </w:tcBorders>
            <w:shd w:fill="CCEEFF" w:val="clear"/>
            <w:vAlign w:val="center"/>
          </w:tcPr>
          <w:p>
            <w:pPr>
              <w:pStyle w:val="TableContents"/>
              <w:bidi w:val="0"/>
              <w:spacing w:before="0" w:after="283"/>
              <w:jc w:val="right"/>
              <w:rPr/>
            </w:pPr>
            <w:r>
              <w:rPr/>
              <w:t>1,375</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lineRule="atLeast" w:line="240" w:before="0" w:after="0"/>
              <w:ind w:left="400" w:right="0" w:hanging="200"/>
              <w:jc w:val="left"/>
              <w:rPr>
                <w:spacing w:val="-2"/>
              </w:rPr>
            </w:pPr>
            <w:r>
              <w:rPr>
                <w:spacing w:val="-2"/>
              </w:rPr>
              <w:t xml:space="preserve">Cash and equivalents, short-term investments and long-term marketable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766" w:type="dxa"/>
            <w:tcBorders>
              <w:bottom w:val="double" w:sz="8" w:space="0" w:color="000000"/>
            </w:tcBorders>
            <w:vAlign w:val="center"/>
          </w:tcPr>
          <w:p>
            <w:pPr>
              <w:pStyle w:val="TableContents"/>
              <w:bidi w:val="0"/>
              <w:spacing w:before="0" w:after="283"/>
              <w:jc w:val="right"/>
              <w:rPr/>
            </w:pPr>
            <w:r>
              <w:rPr/>
              <w:t>9,590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bottom w:val="double" w:sz="8" w:space="0" w:color="000000"/>
            </w:tcBorders>
            <w:vAlign w:val="center"/>
          </w:tcPr>
          <w:p>
            <w:pPr>
              <w:pStyle w:val="TableContents"/>
              <w:bidi w:val="0"/>
              <w:spacing w:before="0" w:after="283"/>
              <w:jc w:val="right"/>
              <w:rPr/>
            </w:pPr>
            <w:r>
              <w:rPr/>
              <w:t>$</w:t>
            </w:r>
          </w:p>
        </w:tc>
        <w:tc>
          <w:tcPr>
            <w:tcW w:w="839" w:type="dxa"/>
            <w:tcBorders>
              <w:bottom w:val="double" w:sz="8" w:space="0" w:color="000000"/>
            </w:tcBorders>
            <w:vAlign w:val="center"/>
          </w:tcPr>
          <w:p>
            <w:pPr>
              <w:pStyle w:val="TableContents"/>
              <w:bidi w:val="0"/>
              <w:spacing w:before="0" w:after="283"/>
              <w:jc w:val="right"/>
              <w:rPr/>
            </w:pPr>
            <w:r>
              <w:rPr/>
              <w:t xml:space="preserve">10,383 </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Finance lease obligations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504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39" w:type="dxa"/>
            <w:tcBorders>
              <w:bottom w:val="single" w:sz="2" w:space="0" w:color="000000"/>
            </w:tcBorders>
            <w:shd w:fill="CCEEFF" w:val="clear"/>
            <w:vAlign w:val="center"/>
          </w:tcPr>
          <w:p>
            <w:pPr>
              <w:pStyle w:val="TableContents"/>
              <w:bidi w:val="0"/>
              <w:spacing w:before="0" w:after="283"/>
              <w:jc w:val="right"/>
              <w:rPr/>
            </w:pPr>
            <w:r>
              <w:rPr/>
              <w:t>504</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current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766" w:type="dxa"/>
            <w:tcBorders>
              <w:bottom w:val="double" w:sz="8" w:space="0" w:color="000000"/>
            </w:tcBorders>
            <w:vAlign w:val="center"/>
          </w:tcPr>
          <w:p>
            <w:pPr>
              <w:pStyle w:val="TableContents"/>
              <w:bidi w:val="0"/>
              <w:spacing w:before="0" w:after="283"/>
              <w:jc w:val="right"/>
              <w:rPr/>
            </w:pPr>
            <w:r>
              <w:rPr/>
              <w:t>504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bottom w:val="double" w:sz="8" w:space="0" w:color="000000"/>
            </w:tcBorders>
            <w:vAlign w:val="center"/>
          </w:tcPr>
          <w:p>
            <w:pPr>
              <w:pStyle w:val="TableContents"/>
              <w:bidi w:val="0"/>
              <w:spacing w:before="0" w:after="283"/>
              <w:jc w:val="right"/>
              <w:rPr/>
            </w:pPr>
            <w:r>
              <w:rPr/>
              <w:t>$</w:t>
            </w:r>
          </w:p>
        </w:tc>
        <w:tc>
          <w:tcPr>
            <w:tcW w:w="839" w:type="dxa"/>
            <w:tcBorders>
              <w:bottom w:val="double" w:sz="8" w:space="0" w:color="000000"/>
            </w:tcBorders>
            <w:vAlign w:val="center"/>
          </w:tcPr>
          <w:p>
            <w:pPr>
              <w:pStyle w:val="TableContents"/>
              <w:bidi w:val="0"/>
              <w:spacing w:before="0" w:after="283"/>
              <w:jc w:val="right"/>
              <w:rPr/>
            </w:pPr>
            <w:r>
              <w:rPr/>
              <w:t>504</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shd w:fill="CCEEFF" w:val="clear"/>
            <w:tcMar>
              <w:bottom w:w="0" w:type="dxa"/>
            </w:tcMar>
            <w:vAlign w:val="center"/>
          </w:tcPr>
          <w:p>
            <w:pPr>
              <w:pStyle w:val="TableContents"/>
              <w:bidi w:val="0"/>
              <w:spacing w:before="0" w:after="283"/>
              <w:jc w:val="left"/>
              <w:rPr>
                <w:spacing w:val="-2"/>
              </w:rPr>
            </w:pPr>
            <w:r>
              <w:rPr>
                <w:spacing w:val="-2"/>
              </w:rPr>
              <w:t xml:space="preserve">Long-term debt and finance lease obligations, excluding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spacing w:val="-2"/>
              </w:rPr>
            </w:pPr>
            <w:r>
              <w:rPr>
                <w:spacing w:val="-2"/>
              </w:rPr>
              <w:t xml:space="preserve">5.65% senior notes due 2032 offered hereby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 xml:space="preserve">496 </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shd w:fill="CCEEFF" w:val="clear"/>
            <w:tcMar>
              <w:bottom w:w="0" w:type="dxa"/>
            </w:tcMar>
            <w:vAlign w:val="center"/>
          </w:tcPr>
          <w:p>
            <w:pPr>
              <w:pStyle w:val="TableContents"/>
              <w:bidi w:val="0"/>
              <w:spacing w:before="0" w:after="0"/>
              <w:jc w:val="left"/>
              <w:rPr>
                <w:spacing w:val="-2"/>
              </w:rPr>
            </w:pPr>
            <w:r>
              <w:rPr>
                <w:spacing w:val="-2"/>
              </w:rPr>
              <w:t xml:space="preserve">6.05% senior notes due 2035 offered hereby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1,241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pPr>
            <w:r>
              <w:rPr>
                <w:spacing w:val="-2"/>
              </w:rPr>
              <w:t>4.185% senior notes due 2027</w:t>
            </w:r>
            <w:r>
              <w:rPr>
                <w:spacing w:val="-1"/>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shd w:fill="CCEEFF" w:val="clear"/>
            <w:tcMar>
              <w:bottom w:w="0" w:type="dxa"/>
            </w:tcMar>
            <w:vAlign w:val="center"/>
          </w:tcPr>
          <w:p>
            <w:pPr>
              <w:pStyle w:val="TableContents"/>
              <w:bidi w:val="0"/>
              <w:spacing w:before="0" w:after="0"/>
              <w:jc w:val="left"/>
              <w:rPr>
                <w:spacing w:val="-2"/>
              </w:rPr>
            </w:pPr>
            <w:r>
              <w:rPr>
                <w:spacing w:val="-2"/>
              </w:rPr>
              <w:t xml:space="preserve">5.375%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597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spacing w:val="-2"/>
              </w:rPr>
            </w:pPr>
            <w:r>
              <w:rPr>
                <w:spacing w:val="-2"/>
              </w:rPr>
              <w:t xml:space="preserve">2029 Term Loan 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1,681</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shd w:fill="CCEEFF" w:val="clear"/>
            <w:tcMar>
              <w:bottom w:w="0" w:type="dxa"/>
            </w:tcMar>
            <w:vAlign w:val="center"/>
          </w:tcPr>
          <w:p>
            <w:pPr>
              <w:pStyle w:val="TableContents"/>
              <w:bidi w:val="0"/>
              <w:spacing w:before="0" w:after="0"/>
              <w:jc w:val="left"/>
              <w:rPr>
                <w:spacing w:val="-2"/>
              </w:rPr>
            </w:pPr>
            <w:r>
              <w:rPr>
                <w:spacing w:val="-2"/>
              </w:rPr>
              <w:t xml:space="preserve">5.327% senior notes due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698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spacing w:val="-2"/>
              </w:rPr>
            </w:pPr>
            <w:r>
              <w:rPr>
                <w:spacing w:val="-2"/>
              </w:rPr>
              <w:t xml:space="preserve">6.750%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1,260</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shd w:fill="CCEEFF" w:val="clear"/>
            <w:tcMar>
              <w:bottom w:w="0" w:type="dxa"/>
            </w:tcMar>
            <w:vAlign w:val="center"/>
          </w:tcPr>
          <w:p>
            <w:pPr>
              <w:pStyle w:val="TableContents"/>
              <w:bidi w:val="0"/>
              <w:spacing w:before="0" w:after="0"/>
              <w:jc w:val="left"/>
              <w:rPr>
                <w:spacing w:val="-2"/>
              </w:rPr>
            </w:pPr>
            <w:r>
              <w:rPr>
                <w:spacing w:val="-2"/>
              </w:rPr>
              <w:t xml:space="preserve">4.663% senior notes due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847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spacing w:val="-2"/>
              </w:rPr>
            </w:pPr>
            <w:r>
              <w:rPr>
                <w:spacing w:val="-2"/>
              </w:rPr>
              <w:t xml:space="preserve">5.300%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994</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shd w:fill="CCEEFF" w:val="clear"/>
            <w:tcMar>
              <w:bottom w:w="0" w:type="dxa"/>
            </w:tcMar>
            <w:vAlign w:val="center"/>
          </w:tcPr>
          <w:p>
            <w:pPr>
              <w:pStyle w:val="TableContents"/>
              <w:bidi w:val="0"/>
              <w:spacing w:before="0" w:after="0"/>
              <w:jc w:val="left"/>
              <w:rPr>
                <w:spacing w:val="-2"/>
              </w:rPr>
            </w:pPr>
            <w:r>
              <w:rPr>
                <w:spacing w:val="-2"/>
              </w:rPr>
              <w:t xml:space="preserve">2.703% senior notes due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996</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spacing w:val="-2"/>
              </w:rPr>
            </w:pPr>
            <w:r>
              <w:rPr>
                <w:spacing w:val="-2"/>
              </w:rPr>
              <w:t xml:space="preserve">5.875% senior notes due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746</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shd w:fill="CCEEFF" w:val="clear"/>
            <w:tcMar>
              <w:bottom w:w="0" w:type="dxa"/>
            </w:tcMar>
            <w:vAlign w:val="center"/>
          </w:tcPr>
          <w:p>
            <w:pPr>
              <w:pStyle w:val="TableContents"/>
              <w:bidi w:val="0"/>
              <w:spacing w:before="0" w:after="0"/>
              <w:jc w:val="left"/>
              <w:rPr>
                <w:spacing w:val="-2"/>
              </w:rPr>
            </w:pPr>
            <w:r>
              <w:rPr>
                <w:spacing w:val="-2"/>
              </w:rPr>
              <w:t xml:space="preserve">5.875% senior notes due 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891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spacing w:val="-2"/>
              </w:rPr>
            </w:pPr>
            <w:r>
              <w:rPr>
                <w:spacing w:val="-2"/>
              </w:rPr>
              <w:t xml:space="preserve">5.800% senior notes due 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992</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shd w:fill="CCEEFF" w:val="clear"/>
            <w:tcMar>
              <w:bottom w:w="0" w:type="dxa"/>
            </w:tcMar>
            <w:vAlign w:val="center"/>
          </w:tcPr>
          <w:p>
            <w:pPr>
              <w:pStyle w:val="TableContents"/>
              <w:bidi w:val="0"/>
              <w:spacing w:before="0" w:after="0"/>
              <w:jc w:val="left"/>
              <w:rPr>
                <w:spacing w:val="-2"/>
              </w:rPr>
            </w:pPr>
            <w:r>
              <w:rPr>
                <w:spacing w:val="-2"/>
              </w:rPr>
              <w:t xml:space="preserve">3.366% senior notes due 2041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497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spacing w:val="-2"/>
              </w:rPr>
            </w:pPr>
            <w:r>
              <w:rPr>
                <w:spacing w:val="-2"/>
              </w:rPr>
              <w:t xml:space="preserve">3.477% senior notes due 2051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496</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Finance lease obligations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2,310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39" w:type="dxa"/>
            <w:tcBorders>
              <w:bottom w:val="single" w:sz="2" w:space="0" w:color="000000"/>
            </w:tcBorders>
            <w:shd w:fill="CCEEFF" w:val="clear"/>
            <w:vAlign w:val="center"/>
          </w:tcPr>
          <w:p>
            <w:pPr>
              <w:pStyle w:val="TableContents"/>
              <w:bidi w:val="0"/>
              <w:spacing w:before="0" w:after="283"/>
              <w:jc w:val="right"/>
              <w:rPr/>
            </w:pPr>
            <w:r>
              <w:rPr/>
              <w:t>2,310</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ind w:left="400" w:right="0" w:hanging="200"/>
              <w:jc w:val="left"/>
              <w:rPr/>
            </w:pPr>
            <w:r>
              <w:rPr>
                <w:spacing w:val="-2"/>
              </w:rPr>
              <w:t xml:space="preserve">Total long-term debt and finance lease obligations, excluding current </w:t>
            </w:r>
            <w:r>
              <w:rPr/>
              <w:br/>
            </w:r>
            <w:r>
              <w:rPr>
                <w:spacing w:val="-2"/>
              </w:rPr>
              <w:t xml:space="preserve">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 xml:space="preserve">14,742 </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10"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Total shareholders’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48,633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vAlign w:val="center"/>
          </w:tcPr>
          <w:p>
            <w:pPr>
              <w:pStyle w:val="TableContents"/>
              <w:bidi w:val="0"/>
              <w:spacing w:before="0" w:after="283"/>
              <w:jc w:val="right"/>
              <w:rPr/>
            </w:pPr>
            <w:r>
              <w:rPr/>
              <w:t>​</w:t>
            </w:r>
          </w:p>
        </w:tc>
        <w:tc>
          <w:tcPr>
            <w:tcW w:w="839" w:type="dxa"/>
            <w:tcBorders>
              <w:bottom w:val="single" w:sz="2" w:space="0" w:color="000000"/>
            </w:tcBorders>
            <w:shd w:fill="CCEEFF" w:val="clear"/>
            <w:vAlign w:val="center"/>
          </w:tcPr>
          <w:p>
            <w:pPr>
              <w:pStyle w:val="TableContents"/>
              <w:bidi w:val="0"/>
              <w:spacing w:before="0" w:after="283"/>
              <w:jc w:val="right"/>
              <w:rPr/>
            </w:pPr>
            <w:r>
              <w:rPr/>
              <w:t>48,587</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10" w:type="dxa"/>
            <w:tcBorders/>
            <w:tcMar>
              <w:bottom w:w="0" w:type="dxa"/>
            </w:tcMar>
            <w:vAlign w:val="center"/>
          </w:tcPr>
          <w:p>
            <w:pPr>
              <w:pStyle w:val="TableContents"/>
              <w:bidi w:val="0"/>
              <w:spacing w:before="0" w:after="0"/>
              <w:jc w:val="left"/>
              <w:rPr>
                <w:spacing w:val="-2"/>
              </w:rPr>
            </w:pPr>
            <w:r>
              <w:rPr>
                <w:spacing w:val="-2"/>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766" w:type="dxa"/>
            <w:tcBorders>
              <w:bottom w:val="double" w:sz="8" w:space="0" w:color="000000"/>
            </w:tcBorders>
            <w:vAlign w:val="center"/>
          </w:tcPr>
          <w:p>
            <w:pPr>
              <w:pStyle w:val="TableContents"/>
              <w:bidi w:val="0"/>
              <w:spacing w:before="0" w:after="283"/>
              <w:jc w:val="right"/>
              <w:rPr/>
            </w:pPr>
            <w:r>
              <w:rPr/>
              <w:t>62,484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5" w:type="dxa"/>
            <w:tcBorders>
              <w:bottom w:val="double" w:sz="8" w:space="0" w:color="000000"/>
            </w:tcBorders>
            <w:vAlign w:val="center"/>
          </w:tcPr>
          <w:p>
            <w:pPr>
              <w:pStyle w:val="TableContents"/>
              <w:bidi w:val="0"/>
              <w:spacing w:before="0" w:after="283"/>
              <w:jc w:val="right"/>
              <w:rPr/>
            </w:pPr>
            <w:r>
              <w:rPr/>
              <w:t>$</w:t>
            </w:r>
          </w:p>
        </w:tc>
        <w:tc>
          <w:tcPr>
            <w:tcW w:w="839" w:type="dxa"/>
            <w:tcBorders>
              <w:bottom w:val="double" w:sz="8" w:space="0" w:color="000000"/>
            </w:tcBorders>
            <w:vAlign w:val="center"/>
          </w:tcPr>
          <w:p>
            <w:pPr>
              <w:pStyle w:val="TableContents"/>
              <w:bidi w:val="0"/>
              <w:spacing w:before="0" w:after="283"/>
              <w:jc w:val="right"/>
              <w:rPr/>
            </w:pPr>
            <w:r>
              <w:rPr/>
              <w:t>63,329</w:t>
            </w:r>
          </w:p>
        </w:tc>
        <w:tc>
          <w:tcPr>
            <w:tcW w:w="11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 Overnight Financing Rate plus approximately 3.33%. The fixed-to-floating interest rate swaps are accounted for as fair value hedges, and as a result, the carrying values of our 4.185% senior notes due 2027 reflect adjustments in fair value. We estimate that the amount we will be required to pay to the counterparties to terminate the fixed-to-floating interest rate swaps will be approximately $44 million.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9398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OT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283"/>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DESCRIPTION OF THE NOTES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30" w:before="16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The notes will be issued under a base indenture (the “Base Indenture”), dated as of February 6, 2019, between Micron Technology, Inc. and U.S. Bank Trust Company, National Association (as successor in interest to U.S. Bank National Association), as trustee (the “Trustee”), as supplemented by a supplemental indenture, to be dated April 29, 2025, with respect to the notes (the “Supplemental Indenture” and, together with the Base Indenture, the “Indenture”).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The registered holder of a note will be treated as the owner of such note for all purposes. Only registered holders will have rights under the Indenture.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The definition of certain terms used in this description are summarized under the subheading “— Certain Definitions.” In this description, references to “Micron,” “us,” “we,” “our” or the “Company” refer only to Micron Technology, Inc. and not to any of its subsidiaries.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General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will issue $500,000,000 aggregate principal amount of 2032 notes. The 2032 notes will mature on November 1, 2032. Interest on the 2032 notes will accrue at the rate of 5.65% per annum.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will issue $1,250,000,000 aggregate principal amount of 2035 notes. The 2035 notes will mature on November 1, 2035. Interest on the 2035 notes will accrue at the rate of 6.05% per annum.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2032 notes and the 2035 notes are collectively referred to herein as the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will be senior unsecured obligations and will rank on the same basis with all of our other senior unsecured indebtedness from time to time outstanding. Each series of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Interest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2032 notes will accrue interest at a rate of 5.65% per annum and the 2035 notes will accrue interest at a rate of 6.05% per annum. Interest on each series of notes will accrue from April 29, 2025, or from the most recent interest payment date to which interest has been paid or provided for, to, but excluding, the relevant interest payment date. The Company will make interest payments on each series of notes semi-annually in arrears on May 1 and November 1 of each year, beginning on November 1, 2025, to the Person in whose name such notes are registered at the close of business on the immediately preceding April 15 or October 15, as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Interest on the notes will be computed on the basis of a 360-day year of twelve 30-day months.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Optional Redemption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Prior to the applicable Par Call Date, the Company may redeem the notes of each series at its option, in whole or in part, at any time and from time to time, at a redemption price (expressed as a percentage of principal amount and rounded to three decimal places) equal to the greater 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25 basis points for the 2032 notes and 30 basis points for the 2035 notes, less (ii) interest accrued to the date of redemption,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100% of the principal amount of the notes of that series to be redeemed,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plus, in each case, accrued and unpaid interest, if any, on the amount being redeemed to, but excluding, the date of redemption. We will calculate the redemption price.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or after the applicable Par Call Date for a series of notes, the Company may, at its option, redeem the notes of such series, in whole or in part, at any time and from time to time, at a redemption price equal to 100% of the principal amount of the notes redeemed, plus accrued and unpaid interest thereon, if any, to, but excluding, the date of redemption.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Par Call Date” means September 1, 2032, with respect to any 2032 notes (two months prior to the maturity date of the 2032 notes) and August 1, 2035, with respect to any 2035 notes (three months prior to the maturity date of the 2035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Notice of any redemption will be mailed or electronically delivered (or otherwise transmitted in accordance with the depositary’s procedures) at least 10 days but not more than 60 days before the redemption date to each holder of notes of the series to be redeemed (with a copy to the Trustee). Unless the Company defaults in payment of the redemption price, on and after the redemption date, interest will cease to accrue on such notes or portions thereof called for redemption. On or before a redemption date, the Company will deposit with a paying agent (or the Trustee) money sufficient to pay the redemption price of and accrued interest on the notes of a series to be redeemed on that date. In the case of a partial redemption of the notes of a series, selection of the notes of such series for redemption will be made pro rata, by lot or by such other method as the Trustee deems fair and appropriate. No notes of such series of a principal amount of $2,000 or less will be redeemed in part. If any note of a series is to be redeemed in part only, the notice of redemption that relates to the note of such series will state the portion of the principal amount of such note to be redeemed. A new note of such series in a principal amount equal to the unredeemed portion of such note will be issued in the name of the holder of such note upon surrender for cancellation of the original note of such series. For so long as the notes of each series are held by The Depository Trust Company (“DTC”), Euroclear or Clearstream (or another depositary), the redemption of the notes of each series shall be done in accordance with the policies and procedures of the depositary. Any redemption or notice of redemption may, at the Company’s discretion, be subject to one or more conditions precedent.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Mandatory Redemption; Offers to Purchase; Open Market Purchases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is not required to make any mandatory redemption or sinking fund payments with respect to the notes. However, under certain circumstances, the Company may be required to offer to purchase each series of notes as described under the caption “— Repurchase of Notes upon a Change of Control Triggering Event.” The Company may at any time, and from time to time, purchase notes in the open market or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120" w:after="283"/>
        <w:ind w:left="1393" w:right="0" w:hanging="0"/>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Ranking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are general unsecured obligations of the Company. As a result, the notes rank: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pari passu</w:t>
      </w:r>
      <w:r>
        <w:rPr>
          <w:rFonts w:ascii="Arial;Helvetica;sans-serif" w:hAnsi="Arial;Helvetica;sans-serif"/>
          <w:b w:val="false"/>
          <w:i w:val="false"/>
          <w:caps w:val="false"/>
          <w:smallCaps w:val="false"/>
          <w:color w:val="000000"/>
          <w:spacing w:val="-2"/>
          <w:sz w:val="20"/>
        </w:rPr>
        <w:t xml:space="preserve"> in right of payment with all existing and future unsecured unsubordinated indebtedness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effectively subordinated to secured indebtedness of the Company, to the extent of the value of the assets securing such indebtedness or other obligations (unless the notes are equally and ratably secured with such indebtedness);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structurally subordinated to any indebtedness and other liabilities of the Company’s Subsidiaries. </w:t>
      </w:r>
      <w:r>
        <mc:AlternateContent>
          <mc:Choice Requires="wps">
            <w:drawing>
              <wp:anchor behindDoc="0" distT="8001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Repurchase of Notes upon a Change of Control Triggering Event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Not later than 60 days following a Change of Control Triggering Event with respect to a series of notes, unless the Company has exercised its right to redeem all of the notes of such series as described under “— Optional Redemption,” the Company will make an Offer to Purchase all of the outstanding notes of such series at a purchase price equal to 101% of the principal amount thereof plus accrued and unpaid interest, if any, to, but excluding, the date of purchase.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will comply with Rule 14e-1 under the Exchange Act and all other applicable laws in making any Offer to Purchase, and the above procedures will be deemed modified as necessary to permit such compliance.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with respect to all notes of such series as described above under the caption “— Optional Redemption.” Notwithstanding anything to the contrary herein, an Offer to Purchase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 made in advance of a Change of Control Triggering Event, conditional upon the applicable Change of Control, if a definitive agreement is in place for the Change of Control at the time of making of such Offer to Purchase.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of a series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each series of notes, which would violate the terms of such indenture.”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Change of Control purchase feature of the notes of a series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Exchange and Transfer</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Holders of notes of a series generally will be able to exchange their notes of such series for other notes of such series with the same total principal amount and the same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designate additional transfer agents;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rescind the designation of any transfer agent;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approve a change in the office of any transfer agent.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However, the Company is required to maintain a transfer agent in each place of payment for the notes at all times.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the Company elects to redeem the notes of a series or makes an Offer to Purchase with respect to such notes, neither the Company nor the Trustee will be required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register the transfer or exchange of any note of such series so selected for redemption or subject to purchase in such Offer to Purchase, except for any portion not to be redeemed or subject to purchase;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case of a redemption or a purchase date pursuant to an Offer to Purchase occurring after a regular record date but on or before the corresponding interest payment date, register the transfer or exchange of any note of such series on or after the regular record date and before the date of redemption or purchase.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Payment and Paying Agents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Indenture, the Company will pay interest on the notes of a series to the Persons in whose names such notes are registered at the close of business on the regular record date for each interest payment. However, the Company will pay the interest payable on the notes of a series at their stated maturity to the Persons to whom the Company pays the principal amount of such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will pay principal, premium, if any, and interest on the notes at the offices of the designated paying agents. However, except in the case of a global security, the Company will pay interest 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check mailed to the address of the Person entitled to the payment as it appears in the security register;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2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payment as its unsecured general creditors. Neither the Trustee nor any paying agent will be liable for those payments after the Company has been repaid.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Certain Covenants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Limitation on Liens</w:t>
      </w:r>
      <w:r>
        <w:rPr>
          <w:rFonts w:ascii="Arial;Helvetica;sans-serif" w:hAnsi="Arial;Helvetica;sans-serif"/>
          <w:b/>
          <w:i/>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of each series,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Limitation on Sale and Lease-Back Transactions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will not, and will not permit any of its Restricted Subsidiaries, to enter into any Sale and Lease-Back Transaction with respect to any Principal Property owned by the Company or any Restricted Subsidiary, whether now owned or hereafter acquired, unless: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such transaction was entered into prior to the Issue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8">
                <wp:simplePos x="0" y="0"/>
                <wp:positionH relativeFrom="column">
                  <wp:align>left</wp:align>
                </wp:positionH>
                <wp:positionV relativeFrom="line">
                  <wp:posOffset>635</wp:posOffset>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such transaction was for the sale and leasing back to the Company or a Restricted Subsidiary by the Company or any Subsidiary of any Principal Property;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such transaction involves a lease for not more than three years (or which may be terminated by the Company or the applicable Restricted Subsidiary within a period of not more than three years); </w:t>
      </w:r>
      <w:r>
        <mc:AlternateContent>
          <mc:Choice Requires="wps">
            <w:drawing>
              <wp:anchor behindDoc="0" distT="774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of a series pursuant to the first paragraph of “— Limitation on Liens” above;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of a series to the Trustee for cancellation, such notes to be credited at the cost thereof to the Company or such Restricted Subsidiary.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Consolidation, Merger and Conveyance, Transfer and Lease of All or Substantially All Assets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may not consolidate with or merge with or into, or convey, transfer or lease all or substantially all of its properties and assets to, any person (a “successor person”) unless: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immediately after giving effect to the transaction, no event of default, and no event which, after notice or lapse of time, or both, would become an event of default, shall have occurred and be continuing under the Indenture;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certain other conditions are met.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Notwithstanding the above, any Subsidiary of the Company may consolidate with or merge into the Company if the Company is the surviving corporation and any Subsidiary of the Company may transfer all or part of its properties to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Provision of Financial Information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Certain Definitions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used in this section, the following terms have the meanings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spacing w:val="-2"/>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 xml:space="preserve">Below Investment Grade Rating Event” means, with respect to each series of notes, the rating on such series of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such notes is under publicly announced consideration for possible downgrade by any of the Rating Agencies);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Board of Directors” means the board of directors of the Company or any committee thereof duly authorized to act on behalf of such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Business Day” means each day that is not a Legal Holiday.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Change of Control” means: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adoption of a plan relating to the Company’s liquidation or dissolution.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Change of Control Triggering Event” means the occurrence of both a Change of Control and a Below Investment Grade Rating Event.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spacing w:val="-2"/>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 xml:space="preserve">Consolidated Net Tangible Assets” means, with respect to any Person, the total amount of assets of such Person and its Consolidated Subsidiaries after deducting therefrom (a) all current liabilities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Consolidated Subsidiaries” means, as of any date of determination and with respect to any Person, those subsidiaries of that Person whose financial data is, in accordance with GAAP, reflected in that Person’s consolidated financial statements.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Equity Interests” means all Capital Stock and all warrants or options with respect to, or other rights to purchase, Capital Stock, but excluding Indebtedness convertible into or exchangeable for equity.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Fitch” means Fitch Ratings Inc. and any successor to its rating agency business.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Foreign Subsidiary” means, with respect to any Person, any Subsidiary of such Person other than one that is organized or existing under the laws of the United States, any state thereof or the District of Columbia.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amount of any Indebtedness outstanding as of any date will be: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accreted value of the Indebtedness, in the case of any Indebtedness that does not require the current payment of interest;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principal amount of the Indebtedness, in the case of any other Indebtedness;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accrual of interest and accretion or amortization of original issue discount will not be deemed to be an incurrence of Indebtedness for any purpose under the Indenture.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Issue Date” means, with respect to a series of notes, the date of original issuance of the notes of such series under the Indenture.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Joint Venture” means, with respect to any Person, any partnership, corporation or other entity in which up to and including 50% of the Equity Interests is owned, directly or indirectly, by such Person and/or one or more of its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Legal Holiday” means a Saturday, a Sunday or a day on which commercial banking institutions or the corporate trust office are not required to be open in the State of New York or the place of payment.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Moody’s” means Moody’s Investors Service, Inc. and any successor to its rating agency business.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Permitted Liens” means: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existing as of the Issue Date or arising thereafter pursuant to related agreements existing as of the Issue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With respect to a series of notes, Liens granted after the Issue Date created in favor of the holders of such series of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on Principal Property or Liens on the Capital Stock of any Person formed to acquire or hold such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by the time of or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Restricted Subsidiary or shares of Capital Stock of a Restricted Subsidiary that, in each case, were not previously encumbered by such Liens;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in favor of the Company or a Restricted Subsidiary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for taxes, assessments or other governmental charges not yet overdue for a period of more than 30 days or subject to penalties for non-payment or which are being contested in good faith by appropriate proceedings;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Liens created in connection with the acquisition of assets or a project financed with, and created to secure a Nonrecourse Obligation;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 avoidance of doubt, the inclusion of specific Liens in the definition of Permitted Liens shall not create any implication that the obligations secured by such Liens constitute Indebtedness.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Person” means any individual, corporation, partnership, joint venture, association, limited liability company, joint-stock company, trust, unincorporated organization or government or any agency or political subdivision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spacing w:val="-2"/>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 xml:space="preserve">Principal Property” means any single parcel (or group of contiguous parcels that comprise the same facility, office or plant) of real property or any permanent improvement thereon (1) owned by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S&amp;P” means S&amp;P Global Ratings, and any successor to its rating agency business.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Senior Officer” of any specified Person means the chief executive officer, any president, any vice president, the chief financial officer, the treasurer, any assistant treasurer, the secretary or any assistant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Treasury Rate” means, with respect to any redemption date, the yield determined by the Company in the manner set forth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Events of Default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of the following will be an event of default under the Indenture for each series of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default in the payment of any interest upon any note of that series when it becomes due and payable, and continuance of that default for a period of 30 days;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default in the payment of principal of or premium on any note of that series when due and payable;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failure by the Company to comply with the requirement to make an Offer to Purchase with respect to notes of that series in connection with a Change of Control Triggering Event for 30 calendar days;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certain voluntary and involuntary events of bankruptcy, insolvency or reorganization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 event of default with respect to the notes of a series at the time outstanding occurs and is continuing, then the Trustee or the holders of not less than 25% in principal amount of the outstanding notes of that 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the outstanding notes of such series. At any time after a declaration of acceleration with respect to the notes of such series has been made, but before a judgment or decree for payment of the money due has been obtained by the Trustee, the holders of a majority in principal amount of the outstanding notes of such series may rescind and annul the acceleration if all events of default, other than the nonpayment of the principal and interest with respect to the notes of such series which have become due solely by such declaration of acceleration, have been cured or waived as provided in the Indenture and the Trustee’s fees and expenses have been paid in full.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holder of any note of any series will have any right to institute any proceeding, judicial or otherwise, with respect to the Indenture or for the appointment of a receiver or trustee, or for any remedy under the Indenture, unless: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that holder has previously given to the Trustee written notice of a continuing event of default with respect to the notes of that series;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requires us, within 120 days after the end of our fiscal year, to furnish to the Trustee a statement as to compliance with the Indenture. The Indenture provides that the Trustee may withhold notice to the holders of the notes of any series of any default or event of default (except in payment on any notes of that series) with respect to the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Modification and Waiver</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or the Trustee may amend or supplement the Indenture or the notes of any series without the consent of the holders of the outstanding notes of any series under the Indenture: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cure any ambiguity, defect or inconsistency under the Indenture or the notes of such series;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9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to evidence the succession of another corporation to the Company or successive successions and the assumption of the covenants, agreements and obligations of the Company by a successor; </w:t>
      </w:r>
      <w:r>
        <mc:AlternateContent>
          <mc:Choice Requires="wps">
            <w:drawing>
              <wp:anchor behindDoc="0" distT="0" distB="0" distL="254000" distR="0" simplePos="0" locked="0" layoutInCell="1" allowOverlap="1" relativeHeight="85">
                <wp:simplePos x="0" y="0"/>
                <wp:positionH relativeFrom="column">
                  <wp:align>left</wp:align>
                </wp:positionH>
                <wp:positionV relativeFrom="line">
                  <wp:posOffset>635</wp:posOffset>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provide for uncertificated notes in addition to or in place of certificated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add guarantees with respect to the notes of any series or secure the notes of such series;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surrender any of the Company’s rights or powers under the Indenture;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add covenants or events of default for the benefit of the holders of the notes of such series;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make any change that does not adversely affect the rights of any holder of the notes of such series;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provide for the issuance of and establish the form and terms and conditions of the notes of any series as permitted by the Indenture;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conform any provision of the Indenture, insofar as it relates to a series of notes, to the description of such series of notes in this “Description of the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reduces the rates of or extends the time for payment of interest on any such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reduces the principal amount of, or changes the stated maturity of, any such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reduces the redemption price, including upon a Change of Control Triggering Event, of any such notes or amends or modifies in any manner adverse to the holders thereof the Company’s obligation to make such payments;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changes the currency of payment of principal, premium, if any, or interest;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reduces the quorum requirements under the Indenture;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reduces the principal amount of notes whose holders must consent to an amendment, supplement or waiver;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adversely affects the ranking of such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waives any default or event of default in the payment of principal, premium, if any, or interest (except a rescission of acceleration of the notes of any such series by the holders of at least a majority in principal amount of the outstanding notes of such series and a waiver of the payment default that resulted from such acceleration);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impairs the right to institute suit for the enforcement of any payment on such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the notes of such series and its consequences,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Defeasance of Notes and Certain Covenants in Certain Circumstances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Legal Defeasance</w:t>
      </w:r>
      <w:r>
        <w:rPr>
          <w:rFonts w:ascii="Arial;Helvetica;sans-serif" w:hAnsi="Arial;Helvetica;sans-serif"/>
          <w:b w:val="false"/>
          <w:i w:val="false"/>
          <w:caps w:val="false"/>
          <w:smallCaps w:val="false"/>
          <w:color w:val="000000"/>
          <w:spacing w:val="-2"/>
          <w:sz w:val="20"/>
        </w:rPr>
        <w:t>.   The Indenture provides that the Company may be discharged from any and all obligations in respect of the notes of any series (except 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Defeasance of Certain Covenants</w:t>
      </w:r>
      <w:r>
        <w:rPr>
          <w:rFonts w:ascii="Arial;Helvetica;sans-serif" w:hAnsi="Arial;Helvetica;sans-serif"/>
          <w:b w:val="false"/>
          <w:i w:val="false"/>
          <w:caps w:val="false"/>
          <w:smallCaps w:val="false"/>
          <w:color w:val="000000"/>
          <w:spacing w:val="-2"/>
          <w:sz w:val="20"/>
        </w:rPr>
        <w:t>.   The Indenture provides that, upon compliance with certain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2" w:after="0"/>
        <w:ind w:left="21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Company may, with respect to a series of notes, omit to comply with the covenants described under the heading “— Certain Covenants” and “— Repurchase of Notes upon a Change of Control Triggering Event” and certain other covenants set forth in the Indenture; and </w:t>
      </w:r>
      <w:r>
        <mc:AlternateContent>
          <mc:Choice Requires="wps">
            <w:drawing>
              <wp:anchor behindDoc="0" distT="10287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omission to comply with those covenants will not constitute a default or an event of default with respect to the notes of that series (“covenant defeasance”).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conditions include: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Covenant Defeasance and Events of Default</w:t>
      </w:r>
      <w:r>
        <w:rPr>
          <w:rFonts w:ascii="Arial;Helvetica;sans-serif" w:hAnsi="Arial;Helvetica;sans-serif"/>
          <w:b w:val="false"/>
          <w:i w:val="false"/>
          <w:caps w:val="false"/>
          <w:smallCaps w:val="false"/>
          <w:color w:val="000000"/>
          <w:spacing w:val="-2"/>
          <w:sz w:val="20"/>
        </w:rPr>
        <w:t xml:space="preserve">.   In the event the Company exercises its option to effect covenant defeasance with respect to any series of notes and the notes of that series are declared due and payable because of the occurrence of any event of default, the amount of money and/or U.S. Government Obligations on deposit with the Trustee should be sufficient to pay amounts due on the notes of that series at the time of their stated maturity but may not be sufficient to pay amounts due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of that series at the time of the acceleration resulting from the event of default. However, the Company shall remain liable for those payments.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caps w:val="false"/>
          <w:smallCaps w:val="false"/>
          <w:color w:val="000000"/>
          <w:sz w:val="20"/>
        </w:rPr>
        <w:t>U.S. Government Obligations</w:t>
      </w:r>
      <w:r>
        <w:rPr>
          <w:rFonts w:ascii="Arial;Helvetica;sans-serif" w:hAnsi="Arial;Helvetica;sans-serif"/>
          <w:b w:val="false"/>
          <w:i w:val="false"/>
          <w:caps w:val="false"/>
          <w:smallCaps w:val="false"/>
          <w:color w:val="000000"/>
          <w:spacing w:val="-2"/>
          <w:sz w:val="20"/>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Satisfaction and Discharge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Book-Entry, Form, Denomination and Delivery of Notes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a series of notes, to register the transfer or exchange of any note of such series on or after the regular record date and before the date of such redemption or purchase.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service charge will be imposed in connection with any transfer or exchange of any note, but the Company may in general require payment of a sum sufficient to cover any transfer tax or similar governmental charge payable in connection therewith.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Depository Procedures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Trustee take no responsibility for these operations and procedures and urge investors to contact the system or their participants directly to discuss these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DTC has also advised the Company that, pursuant to procedures established by 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upon deposit of the global notes, DTC will credit the accounts of the Participants designated by the underwriters with portions of the principal amount of the global notes;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Payments in respect of the principal of, and interest and premium, if any, on a global note registered in the name of DTC or its nominee will be payable to DTC in its capacity as the registered holder under the Indenture.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aspect of DTC’s records or any Participant’s or Indirect Participant’s records relating to, or supervising or reviewing any of DTC’s records or any Participant’s or Indirect Participant’s records relating to the beneficial ownership interests in the global notes;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10">
                <wp:simplePos x="0" y="0"/>
                <wp:positionH relativeFrom="column">
                  <wp:align>left</wp:align>
                </wp:positionH>
                <wp:positionV relativeFrom="line">
                  <wp:posOffset>635</wp:posOffset>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other matter relating to the actions and practices of DTC or any of its Participants or Indirect Participants.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Global Notes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Global notes will be deposited with a custodian for DTC, and registered in the name of a nominee of DTC.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Beneficial interests in the global notes will be shown on records maintained by DTC and its direct and indirect participants. So long as DTC or its nominee is the registered owner or holder of a global note,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Certificated Notes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Same Day Settlement and Payment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will require that payments in respect of the notes of each series represented by the global notes be made by wire transfer of immediately available funds to the accounts specified by holders of such global notes. With respect to notes in certificated form, the Company will make all payments 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check mailed to the address of the Person entitled to the payment as it appears in the security register;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of each series represented by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120" w:after="283"/>
        <w:ind w:left="1393" w:right="0" w:hanging="0"/>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Notices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Holders will receive notices at their addresses as they appear in the security register or in accordance with DTC’s applicable procedures.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Title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Company may treat the Person in whose name a note is registered on the applicable record date as the owner of the note for all purposes, whether or not it is overdue.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 Personal Liability of Directors, Officers, Employees or Stockholders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Governing Law</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New York law will govern the Indenture and each series of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Regarding the Trustee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If the Trustee becomes a creditor of the Company, the Trustee’s rights to obtain payment of claims in specified circumstances, or to realize for its own account on certain property received in respect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84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MUF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70" w:before="120" w:after="283"/>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 xml:space="preserve">MATERIAL U.S. FEDERAL INCOME TAX </w:t>
      </w:r>
      <w:r>
        <w:rPr>
          <w:rFonts w:ascii="Arial Narrow;Helvetica;sans-serif" w:hAnsi="Arial Narrow;Helvetica;sans-serif"/>
          <w:b/>
          <w:i w:val="false"/>
          <w:caps w:val="false"/>
          <w:smallCaps w:val="false"/>
          <w:color w:val="000000"/>
          <w:sz w:val="44"/>
        </w:rPr>
        <w:br/>
      </w:r>
      <w:r>
        <w:rPr>
          <w:rFonts w:ascii="Arial Narrow;Helvetica;sans-serif" w:hAnsi="Arial Narrow;Helvetica;sans-serif"/>
          <w:b/>
          <w:i w:val="false"/>
          <w:caps w:val="false"/>
          <w:smallCaps w:val="false"/>
          <w:color w:val="000000"/>
          <w:spacing w:val="-10"/>
          <w:sz w:val="44"/>
        </w:rPr>
        <w:t>CONSEQUENCES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In General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Nature and Scope of Discussion</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section provides a summary of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(the “Code”), and Treasury regulations, rulings and judicial decisions as of the date hereof, all of which are subject to change or differing interpretations, possibly with retroactive effect. There can be no assurance that the Internal Revenue Service (“IRS”) will not challenge one or more of the tax consequences described herein, and we have not obtained, nor do we intend to obtain, a ruling from the IRS with respect to the U.S. federal income tax consequences of purchasing, owning or disposing of the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summary generally applies only to beneficial owners of the notes that purchase their notes in this offering for an amount equal to their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or passive foreign investment companies and owners thereof,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The summary does not address any potential U.S. federal income or other tax considerations that may be relevant to holders of 2027 notes that are redeemed pursuant to the 2027 notes Redemption that is contingent on the issuance of the notes contemplated hereby. Finally, the following summary does not describe the effects of any other U.S. federal tax laws, such as the Medicare contribution tax on net investment income or estate and gift tax laws, or the effects of any applicable non-U.S., state or local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one or more U.S. persons has the authority to control all substantial decisions of the trust or (y) has a valid election in effect under applicable U.S. Treasury regulations to be treated as a U.S.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“non-U.S. holder” is a beneficial owner of a note (other than a partnership or an entity or arrangement (domestic or foreign) that is treated as a partnership for U.S. federal income tax purposes) that is not a U.S. 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Additional Payments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be required in certain circumstances to make payments on the notes that are in excess of payments of principal and stated interest. We believe there is only a remote possibility that we would be required to make any of these additional payments, that any such additional payments, if made, would be an incidental amount, or that the possibility of such payments is otherwise disregarded for purposes of the rules governing contingent payment debt instruments. Therefore, we do not intend to treat the notes as subject to the special rules governing contingent payment debt instruments. Our determination in this regard, while not binding on the IRS, is binding on holders unless they disclose their contrary position in the manner required by applicable Treasury regulations. If the IRS successfully asserted that the notes are subject to the rules governing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 In the event we pay additional amounts on the notes, holders should consult their tax advisors regarding the treatment of such amounts.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U.S. 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Taxation of Interest</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U.S. holder will be required to recognize as ordinary income any stated interest paid or accrued on the notes, in accordance with such holder’s regular method of tax accounting.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general, if the terms of a debt instrument entitle a holder to receive payments (other than fixed periodic interest) that exceed the issue price of the instrument by an amount that equals or exceeds a statutorily defined de minimis amount, a holder subject to U.S. federal income tax will be required to include such excess in income as “original issue discount” over the term of the instrument, irrespective of the holder’s regular method of tax accounting. We expect, and the discussion below assumes, that the notes will not be issued with original issue discount for U.S.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Sale, Exchange, Redemption, Retirement or Other Taxable Disposition of the Notes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120" w:after="283"/>
        <w:ind w:left="1393" w:right="0" w:hanging="0"/>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Non-U.S. 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Taxation of Interest</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Subject to the discussion below under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 qualify as “portfolio interest,” and thus be exempt from U.S. federal income tax, including withholding of such tax, if non-U.S. holders satisfy certain requirements and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owns, actually or constructively (applying certain attribution rules), shares of our stock representing at least 10% of the total combined voting power of all classes of our stock entitled to vote;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is a “controlled foreign corporation” within the meaning of Section 957(a) of the Code that is related, directly or indirectly, to us through sufficient stock ownership;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is a bank whose receipt of interest on the notes is described in Section 881(c)(3)(A) of the Code.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Sale, Exchange, Redemption, Retirement or Other Taxable Disposition of the Notes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Subject to the discussion below under “— Legislation and Guidance Relating to Foreign Accounts” and “—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(provided that such non-U.S. holder timely files tax returns with respect to such losses), would be subject to a flat 30% tax, even though the individual is not considered a resident of the United States.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Income or Gains Effectively Connected With a U.S. Trade or Business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 </w:t>
      </w:r>
    </w:p>
    <w:p>
      <w:pPr>
        <w:pStyle w:val="TextBody"/>
        <w:bidi w:val="0"/>
        <w:spacing w:lineRule="atLeast" w:line="240" w:before="240" w:after="283"/>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Legislation and Guidance Relating to Foreign Accounts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Legislation and administrative guidance incorporating provisions referred to as the Foreign Account Tax Compliance Act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 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direct or indirect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Backup Withholding and Information Reporting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at the then current rate from payments subject to information reporting if the recipient does not establish an exemption from backup withholding (as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656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certifies that it is not subject to backup withholding, and otherwise complies with applicable certification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Backup withholding is not an additional tax. Any amounts withheld from a payment to a U.S. holder or non-U.S. holder of notes under the backup withholding rules generally may be credited against any U.S. federal income tax liability of the holder, which may entitle the holder to a refund, provided the required information is timely furnished to the IRS.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preceding discussion of material U.S. federal income tax considerations is for general information purposes only and is not tax advice. Each prospective investor should consult its own tax advisor regarding the particular U.S. federal, state, local, and foreign tax consequences of purchasing, holding, and disposing of the notes, including the consequences of any proposed change in applicable laws</w:t>
      </w:r>
      <w:r>
        <w:rPr>
          <w:rFonts w:ascii="Arial;Helvetica;sans-serif" w:hAnsi="Arial;Helvetica;sans-serif"/>
          <w:b/>
          <w:i w:val="false"/>
          <w:caps w:val="false"/>
          <w:smallCaps w:val="false"/>
          <w:color w:val="000000"/>
          <w:spacing w:val="-3"/>
          <w:sz w:val="20"/>
        </w:rPr>
        <w:t>.</w:t>
      </w:r>
      <w:r>
        <w:rPr>
          <w:rFonts w:ascii="Arial;Helvetica;sans-serif" w:hAnsi="Arial;Helvetica;sans-serif"/>
          <w:b w:val="false"/>
          <w:i w:val="false"/>
          <w:caps w:val="false"/>
          <w:smallCaps w:val="false"/>
          <w:color w:val="000000"/>
          <w:spacing w:val="-2"/>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UN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283"/>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UNDERWRITING</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Subject to the terms and conditions stated in the underwriting agreement dated the date of this prospectus supplement, each underwriter named below, for whom Morgan Stanley &amp; Co. LLC, BofA Securities, Inc., HSBC Securities (USA) Inc. and Wells Fargo Securities, LLC are acting as representatives, has severally and not jointly agreed to purchase, and we have agreed to sell to that underwriter, the aggregate principal amount of notes of each series set forth opposite the underwriter’s name in the following table:</w:t>
      </w:r>
      <w:r>
        <w:rPr>
          <w:rFonts w:ascii="Arial;Helvetica;sans-serif" w:hAnsi="Arial;Helvetica;sans-serif"/>
          <w:b w:val="false"/>
          <w:i w:val="false"/>
          <w:caps w:val="false"/>
          <w:smallCaps w:val="false"/>
          <w:color w:val="000000"/>
          <w:spacing w:val="4"/>
          <w:sz w:val="20"/>
        </w:rPr>
        <w:t xml:space="preserve"> </w:t>
      </w:r>
    </w:p>
    <w:tbl>
      <w:tblPr>
        <w:tblW w:w="8119" w:type="dxa"/>
        <w:jc w:val="left"/>
        <w:tblInd w:w="1393" w:type="dxa"/>
        <w:tblLayout w:type="fixed"/>
        <w:tblCellMar>
          <w:top w:w="0" w:type="dxa"/>
          <w:left w:w="0" w:type="dxa"/>
          <w:bottom w:w="43" w:type="dxa"/>
          <w:right w:w="0" w:type="dxa"/>
        </w:tblCellMar>
      </w:tblPr>
      <w:tblGrid>
        <w:gridCol w:w="3789"/>
        <w:gridCol w:w="109"/>
        <w:gridCol w:w="109"/>
        <w:gridCol w:w="109"/>
        <w:gridCol w:w="226"/>
        <w:gridCol w:w="1366"/>
        <w:gridCol w:w="109"/>
        <w:gridCol w:w="109"/>
        <w:gridCol w:w="109"/>
        <w:gridCol w:w="109"/>
        <w:gridCol w:w="226"/>
        <w:gridCol w:w="1486"/>
        <w:gridCol w:w="109"/>
        <w:gridCol w:w="154"/>
      </w:tblGrid>
      <w:tr>
        <w:trPr/>
        <w:tc>
          <w:tcPr>
            <w:tcW w:w="3789" w:type="dxa"/>
            <w:tcBorders>
              <w:bottom w:val="single" w:sz="2" w:space="0" w:color="000000"/>
            </w:tcBorders>
            <w:vAlign w:val="center"/>
          </w:tcPr>
          <w:p>
            <w:pPr>
              <w:pStyle w:val="TableContents"/>
              <w:bidi w:val="0"/>
              <w:spacing w:before="0" w:after="0"/>
              <w:jc w:val="left"/>
              <w:rPr/>
            </w:pPr>
            <w:r>
              <w:rPr>
                <w:spacing w:val="0"/>
              </w:rPr>
              <w:t>Underwriter</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0"/>
              </w:rPr>
              <w:t>Principal</w:t>
            </w:r>
            <w:r>
              <w:rPr/>
              <w:t xml:space="preserve"> </w:t>
              <w:br/>
            </w:r>
            <w:r>
              <w:rPr>
                <w:spacing w:val="0"/>
              </w:rPr>
              <w:t>Amount of</w:t>
            </w:r>
            <w:r>
              <w:rPr/>
              <w:t xml:space="preserve"> </w:t>
              <w:br/>
            </w:r>
            <w:r>
              <w:rPr>
                <w:spacing w:val="0"/>
              </w:rPr>
              <w:t>2032 Notes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0"/>
              </w:rPr>
              <w:t>Principal</w:t>
            </w:r>
            <w:r>
              <w:rPr/>
              <w:t xml:space="preserve"> </w:t>
              <w:br/>
            </w:r>
            <w:r>
              <w:rPr>
                <w:spacing w:val="0"/>
              </w:rPr>
              <w:t>Amount of</w:t>
            </w:r>
            <w:r>
              <w:rPr/>
              <w:t xml:space="preserve"> </w:t>
              <w:br/>
            </w:r>
            <w:r>
              <w:rPr>
                <w:spacing w:val="-2"/>
              </w:rPr>
              <w:t>2035</w:t>
            </w:r>
            <w:r>
              <w:rPr>
                <w:spacing w:val="0"/>
              </w:rPr>
              <w:t xml:space="preserve"> Notes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9" w:type="dxa"/>
            <w:tcBorders/>
            <w:shd w:fill="CCEEFF" w:val="clear"/>
            <w:tcMar>
              <w:bottom w:w="0" w:type="dxa"/>
            </w:tcMar>
            <w:vAlign w:val="center"/>
          </w:tcPr>
          <w:p>
            <w:pPr>
              <w:pStyle w:val="TableContents"/>
              <w:bidi w:val="0"/>
              <w:spacing w:before="0" w:after="0"/>
              <w:jc w:val="left"/>
              <w:rPr>
                <w:spacing w:val="-2"/>
              </w:rPr>
            </w:pPr>
            <w:r>
              <w:rPr>
                <w:spacing w:val="-2"/>
              </w:rPr>
              <w:t xml:space="preserve">Morgan Stanley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9" w:type="dxa"/>
            <w:tcBorders/>
            <w:tcMar>
              <w:bottom w:w="0" w:type="dxa"/>
            </w:tcMar>
            <w:vAlign w:val="center"/>
          </w:tcPr>
          <w:p>
            <w:pPr>
              <w:pStyle w:val="TableContents"/>
              <w:bidi w:val="0"/>
              <w:spacing w:before="0" w:after="0"/>
              <w:jc w:val="left"/>
              <w:rPr>
                <w:spacing w:val="-2"/>
              </w:rPr>
            </w:pPr>
            <w:r>
              <w:rPr>
                <w:spacing w:val="-2"/>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35,000,000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87,500,000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9" w:type="dxa"/>
            <w:tcBorders/>
            <w:shd w:fill="CCEEFF" w:val="clear"/>
            <w:tcMar>
              <w:bottom w:w="0" w:type="dxa"/>
            </w:tcMar>
            <w:vAlign w:val="center"/>
          </w:tcPr>
          <w:p>
            <w:pPr>
              <w:pStyle w:val="TableContents"/>
              <w:bidi w:val="0"/>
              <w:spacing w:before="0" w:after="0"/>
              <w:jc w:val="left"/>
              <w:rPr>
                <w:spacing w:val="-2"/>
              </w:rPr>
            </w:pPr>
            <w:r>
              <w:rPr>
                <w:spacing w:val="-2"/>
              </w:rPr>
              <w:t xml:space="preserve">HSBC Securities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9" w:type="dxa"/>
            <w:tcBorders/>
            <w:tcMar>
              <w:bottom w:w="0" w:type="dxa"/>
            </w:tcMar>
            <w:vAlign w:val="center"/>
          </w:tcPr>
          <w:p>
            <w:pPr>
              <w:pStyle w:val="TableContents"/>
              <w:bidi w:val="0"/>
              <w:spacing w:before="0" w:after="0"/>
              <w:jc w:val="left"/>
              <w:rPr>
                <w:spacing w:val="-2"/>
              </w:rPr>
            </w:pPr>
            <w:r>
              <w:rPr>
                <w:spacing w:val="-2"/>
              </w:rPr>
              <w:t xml:space="preserve">Wells Fargo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35,000,000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87,500,000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9" w:type="dxa"/>
            <w:tcBorders/>
            <w:shd w:fill="CCEEFF" w:val="clear"/>
            <w:tcMar>
              <w:bottom w:w="0" w:type="dxa"/>
            </w:tcMar>
            <w:vAlign w:val="center"/>
          </w:tcPr>
          <w:p>
            <w:pPr>
              <w:pStyle w:val="TableContents"/>
              <w:bidi w:val="0"/>
              <w:spacing w:before="0" w:after="0"/>
              <w:jc w:val="left"/>
              <w:rPr>
                <w:spacing w:val="-2"/>
              </w:rPr>
            </w:pPr>
            <w:r>
              <w:rPr>
                <w:spacing w:val="-2"/>
              </w:rPr>
              <w:t xml:space="preserve">BNP Paribas Securities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75,000,000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9" w:type="dxa"/>
            <w:tcBorders/>
            <w:tcMar>
              <w:bottom w:w="0" w:type="dxa"/>
            </w:tcMar>
            <w:vAlign w:val="center"/>
          </w:tcPr>
          <w:p>
            <w:pPr>
              <w:pStyle w:val="TableContents"/>
              <w:bidi w:val="0"/>
              <w:spacing w:before="0" w:after="0"/>
              <w:jc w:val="left"/>
              <w:rPr>
                <w:spacing w:val="-2"/>
              </w:rPr>
            </w:pPr>
            <w:r>
              <w:rPr>
                <w:spacing w:val="-2"/>
              </w:rPr>
              <w:t xml:space="preserve">CIBC World Markets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75,000,000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9" w:type="dxa"/>
            <w:tcBorders/>
            <w:shd w:fill="CCEEFF" w:val="clear"/>
            <w:tcMar>
              <w:bottom w:w="0" w:type="dxa"/>
            </w:tcMar>
            <w:vAlign w:val="center"/>
          </w:tcPr>
          <w:p>
            <w:pPr>
              <w:pStyle w:val="TableContents"/>
              <w:bidi w:val="0"/>
              <w:spacing w:before="0" w:after="0"/>
              <w:jc w:val="left"/>
              <w:rPr>
                <w:spacing w:val="-2"/>
              </w:rPr>
            </w:pPr>
            <w:r>
              <w:rPr>
                <w:spacing w:val="-2"/>
              </w:rPr>
              <w:t xml:space="preserve">Credit Agricole Securities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75,000,000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9" w:type="dxa"/>
            <w:tcBorders/>
            <w:tcMar>
              <w:bottom w:w="0" w:type="dxa"/>
            </w:tcMar>
            <w:vAlign w:val="center"/>
          </w:tcPr>
          <w:p>
            <w:pPr>
              <w:pStyle w:val="TableContents"/>
              <w:bidi w:val="0"/>
              <w:spacing w:before="0" w:after="0"/>
              <w:jc w:val="left"/>
              <w:rPr>
                <w:spacing w:val="-2"/>
              </w:rPr>
            </w:pPr>
            <w:r>
              <w:rPr>
                <w:spacing w:val="-2"/>
              </w:rPr>
              <w:t xml:space="preserve">ICBC Standard Bank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75,000,000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9" w:type="dxa"/>
            <w:tcBorders/>
            <w:shd w:fill="CCEEFF" w:val="clear"/>
            <w:tcMar>
              <w:bottom w:w="0" w:type="dxa"/>
            </w:tcMar>
            <w:vAlign w:val="center"/>
          </w:tcPr>
          <w:p>
            <w:pPr>
              <w:pStyle w:val="TableContents"/>
              <w:bidi w:val="0"/>
              <w:spacing w:before="0" w:after="0"/>
              <w:jc w:val="left"/>
              <w:rPr>
                <w:spacing w:val="-2"/>
              </w:rPr>
            </w:pPr>
            <w:r>
              <w:rPr>
                <w:spacing w:val="-2"/>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75,000,000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9" w:type="dxa"/>
            <w:tcBorders/>
            <w:tcMar>
              <w:bottom w:w="0" w:type="dxa"/>
            </w:tcMar>
            <w:vAlign w:val="center"/>
          </w:tcPr>
          <w:p>
            <w:pPr>
              <w:pStyle w:val="TableContents"/>
              <w:bidi w:val="0"/>
              <w:spacing w:before="0" w:after="0"/>
              <w:jc w:val="left"/>
              <w:rPr>
                <w:spacing w:val="-2"/>
              </w:rPr>
            </w:pPr>
            <w:r>
              <w:rPr>
                <w:spacing w:val="-2"/>
              </w:rPr>
              <w:t xml:space="preserve">MUFG Securities Americas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75,000,000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9" w:type="dxa"/>
            <w:tcBorders/>
            <w:shd w:fill="CCEEFF" w:val="clear"/>
            <w:tcMar>
              <w:bottom w:w="0" w:type="dxa"/>
            </w:tcMar>
            <w:vAlign w:val="center"/>
          </w:tcPr>
          <w:p>
            <w:pPr>
              <w:pStyle w:val="TableContents"/>
              <w:bidi w:val="0"/>
              <w:spacing w:before="0" w:after="0"/>
              <w:jc w:val="left"/>
              <w:rPr>
                <w:spacing w:val="-2"/>
              </w:rPr>
            </w:pPr>
            <w:r>
              <w:rPr>
                <w:spacing w:val="-2"/>
              </w:rPr>
              <w:t xml:space="preserve">PNC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75,000,000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9" w:type="dxa"/>
            <w:tcBorders/>
            <w:tcMar>
              <w:bottom w:w="0" w:type="dxa"/>
            </w:tcMar>
            <w:vAlign w:val="center"/>
          </w:tcPr>
          <w:p>
            <w:pPr>
              <w:pStyle w:val="TableContents"/>
              <w:bidi w:val="0"/>
              <w:spacing w:before="0" w:after="0"/>
              <w:jc w:val="left"/>
              <w:rPr>
                <w:spacing w:val="-2"/>
              </w:rPr>
            </w:pPr>
            <w:r>
              <w:rPr>
                <w:spacing w:val="-2"/>
              </w:rPr>
              <w:t xml:space="preserve">Scotia Capital (USA)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75,000,000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9" w:type="dxa"/>
            <w:tcBorders/>
            <w:shd w:fill="CCEEFF" w:val="clear"/>
            <w:tcMar>
              <w:bottom w:w="0" w:type="dxa"/>
            </w:tcMar>
            <w:vAlign w:val="center"/>
          </w:tcPr>
          <w:p>
            <w:pPr>
              <w:pStyle w:val="TableContents"/>
              <w:bidi w:val="0"/>
              <w:spacing w:before="0" w:after="0"/>
              <w:jc w:val="left"/>
              <w:rPr>
                <w:spacing w:val="-2"/>
              </w:rPr>
            </w:pPr>
            <w:r>
              <w:rPr>
                <w:spacing w:val="-2"/>
              </w:rPr>
              <w:t xml:space="preserve">SMBC Nikko Securities America,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75,000,000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9" w:type="dxa"/>
            <w:tcBorders/>
            <w:tcMar>
              <w:bottom w:w="0" w:type="dxa"/>
            </w:tcMar>
            <w:vAlign w:val="center"/>
          </w:tcPr>
          <w:p>
            <w:pPr>
              <w:pStyle w:val="TableContents"/>
              <w:bidi w:val="0"/>
              <w:spacing w:before="0" w:after="0"/>
              <w:jc w:val="left"/>
              <w:rPr>
                <w:spacing w:val="-2"/>
              </w:rPr>
            </w:pPr>
            <w:r>
              <w:rPr>
                <w:spacing w:val="-2"/>
              </w:rPr>
              <w:t xml:space="preserve">TD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75,000,000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9" w:type="dxa"/>
            <w:tcBorders/>
            <w:shd w:fill="CCEEFF" w:val="clear"/>
            <w:tcMar>
              <w:bottom w:w="0" w:type="dxa"/>
            </w:tcMar>
            <w:vAlign w:val="center"/>
          </w:tcPr>
          <w:p>
            <w:pPr>
              <w:pStyle w:val="TableContents"/>
              <w:bidi w:val="0"/>
              <w:spacing w:before="0" w:after="0"/>
              <w:jc w:val="left"/>
              <w:rPr>
                <w:spacing w:val="-2"/>
              </w:rPr>
            </w:pPr>
            <w:r>
              <w:rPr>
                <w:spacing w:val="-2"/>
              </w:rPr>
              <w:t xml:space="preserve">Truist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75,000,000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9" w:type="dxa"/>
            <w:tcBorders/>
            <w:tcMar>
              <w:bottom w:w="0" w:type="dxa"/>
            </w:tcMar>
            <w:vAlign w:val="center"/>
          </w:tcPr>
          <w:p>
            <w:pPr>
              <w:pStyle w:val="TableContents"/>
              <w:bidi w:val="0"/>
              <w:spacing w:before="0" w:after="0"/>
              <w:jc w:val="left"/>
              <w:rPr>
                <w:spacing w:val="-2"/>
              </w:rPr>
            </w:pPr>
            <w:r>
              <w:rPr>
                <w:spacing w:val="-2"/>
              </w:rPr>
              <w:t xml:space="preserve">Academy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15,000,000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37,500,000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Siebert Williams Shank &amp; Co., LLC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15,000,000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37,500,000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9"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tcMar>
              <w:bottom w:w="50" w:type="dxa"/>
            </w:tcMar>
            <w:vAlign w:val="center"/>
          </w:tcPr>
          <w:p>
            <w:pPr>
              <w:pStyle w:val="TableContents"/>
              <w:bidi w:val="0"/>
              <w:spacing w:before="0" w:after="283"/>
              <w:jc w:val="right"/>
              <w:rPr/>
            </w:pPr>
            <w:r>
              <w:rPr/>
              <w:t xml:space="preserve">500,000,000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486" w:type="dxa"/>
            <w:tcBorders>
              <w:bottom w:val="double" w:sz="8" w:space="0" w:color="000000"/>
            </w:tcBorders>
            <w:tcMar>
              <w:bottom w:w="50" w:type="dxa"/>
            </w:tcMar>
            <w:vAlign w:val="center"/>
          </w:tcPr>
          <w:p>
            <w:pPr>
              <w:pStyle w:val="TableContents"/>
              <w:bidi w:val="0"/>
              <w:spacing w:before="0" w:after="283"/>
              <w:jc w:val="right"/>
              <w:rPr/>
            </w:pPr>
            <w:r>
              <w:rPr/>
              <w:t>1,250,000,000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agreed to indemnify the underwriters against certain liabilities, including liabilities under the Securities Act of 1933, as amended, or to contribute to payments the underwriters may be required to make because of any of those liabilities.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Commissions and Discounts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underwriters propose to offer the notes directly to the public at the public offering prices set forth on the cover page of this prospectus supplement and some of the notes to dealers at the public offering price less a concession not to exceed 0.200% of the principal amount of the 2032 notes and 0.250% of the principal amount of the 2035 notes. The underwriters may allow, and any such dealer may reallow, a concession not to exceed 0.150% of the principal amount of the 2032 notes and 0.150% of the principal amount of the 2035 notes. After the initial offering of the notes to the public, the representatives may change the public offering price and other selling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shows the underwriting discounts that we are to pay to the underwriters in connection with this offering (expressed as a percentage of the principal amount of the notes and in total).</w:t>
      </w:r>
      <w:r>
        <w:rPr>
          <w:rFonts w:ascii="Arial;Helvetica;sans-serif" w:hAnsi="Arial;Helvetica;sans-serif"/>
          <w:b w:val="false"/>
          <w:i w:val="false"/>
          <w:caps w:val="false"/>
          <w:smallCaps w:val="false"/>
          <w:color w:val="000000"/>
          <w:spacing w:val="4"/>
          <w:sz w:val="20"/>
        </w:rPr>
        <w:t xml:space="preserve"> </w:t>
      </w:r>
    </w:p>
    <w:tbl>
      <w:tblPr>
        <w:tblW w:w="3964" w:type="dxa"/>
        <w:jc w:val="left"/>
        <w:tblInd w:w="1393" w:type="dxa"/>
        <w:tblLayout w:type="fixed"/>
        <w:tblCellMar>
          <w:top w:w="0" w:type="dxa"/>
          <w:left w:w="0" w:type="dxa"/>
          <w:bottom w:w="28" w:type="dxa"/>
          <w:right w:w="0" w:type="dxa"/>
        </w:tblCellMar>
      </w:tblPr>
      <w:tblGrid>
        <w:gridCol w:w="1809"/>
        <w:gridCol w:w="109"/>
        <w:gridCol w:w="109"/>
        <w:gridCol w:w="123"/>
        <w:gridCol w:w="257"/>
        <w:gridCol w:w="1280"/>
        <w:gridCol w:w="123"/>
        <w:gridCol w:w="154"/>
      </w:tblGrid>
      <w:tr>
        <w:trPr/>
        <w:tc>
          <w:tcPr>
            <w:tcW w:w="18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3" w:type="dxa"/>
            <w:gridSpan w:val="4"/>
            <w:tcBorders>
              <w:bottom w:val="single" w:sz="2" w:space="0" w:color="000000"/>
            </w:tcBorders>
            <w:tcMar>
              <w:bottom w:w="43" w:type="dxa"/>
            </w:tcMar>
            <w:vAlign w:val="center"/>
          </w:tcPr>
          <w:p>
            <w:pPr>
              <w:pStyle w:val="TableContents"/>
              <w:bidi w:val="0"/>
              <w:spacing w:before="0" w:after="0"/>
              <w:jc w:val="center"/>
              <w:rPr/>
            </w:pPr>
            <w:r>
              <w:rPr>
                <w:spacing w:val="0"/>
              </w:rPr>
              <w:t xml:space="preserve">Paid by </w:t>
            </w:r>
            <w:r>
              <w:rPr/>
              <w:br/>
            </w:r>
            <w:r>
              <w:rPr>
                <w:spacing w:val="0"/>
              </w:rPr>
              <w:t xml:space="preserve">Micron </w:t>
            </w:r>
            <w:r>
              <w:rPr/>
              <w:br/>
            </w:r>
            <w:r>
              <w:rPr>
                <w:spacing w:val="0"/>
              </w:rPr>
              <w:t xml:space="preserve">Technology, Inc.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09" w:type="dxa"/>
            <w:tcBorders/>
            <w:shd w:fill="CCEEFF" w:val="clear"/>
            <w:tcMar>
              <w:bottom w:w="0" w:type="dxa"/>
            </w:tcMar>
            <w:vAlign w:val="center"/>
          </w:tcPr>
          <w:p>
            <w:pPr>
              <w:pStyle w:val="TableContents"/>
              <w:bidi w:val="0"/>
              <w:spacing w:before="0" w:after="0"/>
              <w:jc w:val="left"/>
              <w:rPr>
                <w:spacing w:val="-2"/>
              </w:rPr>
            </w:pPr>
            <w:r>
              <w:rPr>
                <w:spacing w:val="-2"/>
              </w:rPr>
              <w:t xml:space="preserve">Per 2032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right"/>
              <w:rPr/>
            </w:pPr>
            <w:r>
              <w:rPr/>
              <w:t>​</w:t>
            </w:r>
          </w:p>
        </w:tc>
        <w:tc>
          <w:tcPr>
            <w:tcW w:w="1280" w:type="dxa"/>
            <w:tcBorders/>
            <w:shd w:fill="CCEEFF" w:val="clear"/>
            <w:tcMar>
              <w:bottom w:w="0" w:type="dxa"/>
            </w:tcMar>
            <w:vAlign w:val="center"/>
          </w:tcPr>
          <w:p>
            <w:pPr>
              <w:pStyle w:val="TableContents"/>
              <w:bidi w:val="0"/>
              <w:spacing w:before="0" w:after="283"/>
              <w:jc w:val="right"/>
              <w:rPr/>
            </w:pPr>
            <w:r>
              <w:rPr/>
              <w:t xml:space="preserve">0.350% </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09" w:type="dxa"/>
            <w:tcBorders/>
            <w:tcMar>
              <w:bottom w:w="0" w:type="dxa"/>
            </w:tcMar>
            <w:vAlign w:val="center"/>
          </w:tcPr>
          <w:p>
            <w:pPr>
              <w:pStyle w:val="TableContents"/>
              <w:bidi w:val="0"/>
              <w:spacing w:before="0" w:after="0"/>
              <w:jc w:val="left"/>
              <w:rPr>
                <w:spacing w:val="-2"/>
              </w:rPr>
            </w:pPr>
            <w:r>
              <w:rPr>
                <w:spacing w:val="-2"/>
              </w:rPr>
              <w:t xml:space="preserve">2032 Notes 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1280" w:type="dxa"/>
            <w:tcBorders/>
            <w:tcMar>
              <w:bottom w:w="0" w:type="dxa"/>
            </w:tcMar>
            <w:vAlign w:val="center"/>
          </w:tcPr>
          <w:p>
            <w:pPr>
              <w:pStyle w:val="TableContents"/>
              <w:bidi w:val="0"/>
              <w:spacing w:before="0" w:after="283"/>
              <w:jc w:val="right"/>
              <w:rPr/>
            </w:pPr>
            <w:r>
              <w:rPr/>
              <w:t xml:space="preserve">1,750,000 </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09" w:type="dxa"/>
            <w:tcBorders/>
            <w:shd w:fill="CCEEFF" w:val="clear"/>
            <w:tcMar>
              <w:bottom w:w="0" w:type="dxa"/>
            </w:tcMar>
            <w:vAlign w:val="center"/>
          </w:tcPr>
          <w:p>
            <w:pPr>
              <w:pStyle w:val="TableContents"/>
              <w:bidi w:val="0"/>
              <w:spacing w:before="0" w:after="0"/>
              <w:jc w:val="left"/>
              <w:rPr>
                <w:spacing w:val="-2"/>
              </w:rPr>
            </w:pPr>
            <w:r>
              <w:rPr>
                <w:spacing w:val="-2"/>
              </w:rPr>
              <w:t xml:space="preserve">Per 2035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right"/>
              <w:rPr/>
            </w:pPr>
            <w:r>
              <w:rPr/>
              <w:t>​</w:t>
            </w:r>
          </w:p>
        </w:tc>
        <w:tc>
          <w:tcPr>
            <w:tcW w:w="1280" w:type="dxa"/>
            <w:tcBorders/>
            <w:shd w:fill="CCEEFF" w:val="clear"/>
            <w:tcMar>
              <w:bottom w:w="0" w:type="dxa"/>
            </w:tcMar>
            <w:vAlign w:val="center"/>
          </w:tcPr>
          <w:p>
            <w:pPr>
              <w:pStyle w:val="TableContents"/>
              <w:bidi w:val="0"/>
              <w:spacing w:before="0" w:after="283"/>
              <w:jc w:val="right"/>
              <w:rPr/>
            </w:pPr>
            <w:r>
              <w:rPr/>
              <w:t xml:space="preserve">0.400% </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09" w:type="dxa"/>
            <w:tcBorders/>
            <w:tcMar>
              <w:bottom w:w="0" w:type="dxa"/>
            </w:tcMar>
            <w:vAlign w:val="center"/>
          </w:tcPr>
          <w:p>
            <w:pPr>
              <w:pStyle w:val="TableContents"/>
              <w:bidi w:val="0"/>
              <w:spacing w:before="0" w:after="0"/>
              <w:jc w:val="left"/>
              <w:rPr>
                <w:spacing w:val="-2"/>
              </w:rPr>
            </w:pPr>
            <w:r>
              <w:rPr>
                <w:spacing w:val="-2"/>
              </w:rPr>
              <w:t xml:space="preserve">2035 Notes 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1280" w:type="dxa"/>
            <w:tcBorders/>
            <w:tcMar>
              <w:bottom w:w="0" w:type="dxa"/>
            </w:tcMar>
            <w:vAlign w:val="center"/>
          </w:tcPr>
          <w:p>
            <w:pPr>
              <w:pStyle w:val="TableContents"/>
              <w:bidi w:val="0"/>
              <w:spacing w:before="0" w:after="283"/>
              <w:jc w:val="right"/>
              <w:rPr/>
            </w:pPr>
            <w:r>
              <w:rPr/>
              <w:t xml:space="preserve">5,000,000 </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09"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right"/>
              <w:rPr/>
            </w:pPr>
            <w:r>
              <w:rPr/>
              <w:t>$</w:t>
            </w:r>
          </w:p>
        </w:tc>
        <w:tc>
          <w:tcPr>
            <w:tcW w:w="1280" w:type="dxa"/>
            <w:tcBorders/>
            <w:shd w:fill="CCEEFF" w:val="clear"/>
            <w:tcMar>
              <w:bottom w:w="0" w:type="dxa"/>
            </w:tcMar>
            <w:vAlign w:val="center"/>
          </w:tcPr>
          <w:p>
            <w:pPr>
              <w:pStyle w:val="TableContents"/>
              <w:bidi w:val="0"/>
              <w:spacing w:before="0" w:after="283"/>
              <w:jc w:val="right"/>
              <w:rPr/>
            </w:pPr>
            <w:r>
              <w:rPr/>
              <w:t>6,750,000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estimate that our total expenses for this offering, other than underwriting discounts, will be approximately $5 million. The underwriters have agreed to reimburse us for certain expenses incurred in connection with this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New Issue of Notes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Price Stabilization and Short Positions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the offering, the underwriters may purchase and sell the notes of any or all series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of any or all series in the open market after pricing that could adversely affect investors who purchase in the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Similar to other purchase transactions, the underwriters’ purchases to cover the syndicate short sales may have the effect of raising or maintaining the market price of a series of notes or preventing or retarding a decline in the market price of such notes. As a result, the price of such notes may be higher than the price that might otherwise exist in the open market.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 Sales of Similar Securities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S-40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120" w:after="283"/>
        <w:ind w:left="1393" w:right="0" w:hanging="0"/>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Other Relationships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affiliates of certain underwriters are holders of our debt, including the 2027 notes, and are counterparties to the interest rate swaps we entered into in connection with such notes, and upon application of the net proceeds of this offering to redeem such notes and to pay the cost of unwinding such interest rate swaps, such underwriters or their affiliates will receive a portion of the net proceeds of this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expect that delivery of the notes will be made to investors on or about April 29, 2025, which will be the third business day following the date of this prospectus supplement (such settlement being referred to as T+3).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April 29, 2025 will be required, by virtue of the fact that the notes initially settle in T+3, to specify an alternate settlement arrangement to prevent a failed settlement. Purchasers of the notes who wish to trade the notes more than one business day prior to April 29, 2025 should consult their advisors.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Notice to Prospective Investors in Canada</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S-41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legislation of the purchaser’s province or territory. The purchaser should refer to any applicable provisions of the securities legislation of the purchaser’s province or territory for particulars of these rights or consult with a legal advisor.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section 3A.3 of National Instrument 33-105 Underwriting Conflicts (NI 33-105), the underwriters are not required to comply with the disclosure requirements of NI 33-105 regarding underwriter conflicts of interest in connection with this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Prohibition of Sales to EEA Retail Investors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European Economic Area selling restriction is in addition to any other selling restrictions set out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Prohibition of Sales to UK Retail Investors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Notice to Prospective Investors in Hong Kong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S-42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Notice to Prospective Investors in Japan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investor desiring to acquire the notes must be aware that the notes may not be Transferred to any other person unless such person is a QII.</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this section: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QII” means a qualified institutional investor as defined in the Cabinet Ordinance Concerning Definitions under Article 2 of the Financial Instruments and Exchange Law of Japan (Ordinance No. 14 of 1993 of the Ministry of Finance of Japan,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Resident of Japan” means any person resident in Japan, including any corporation or other entity organized under the laws of Japan.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Notice to Prospective Investors in Singapore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an institutional investor (as defined in Section 4A of the Securities and Futures Act (Chapter 289) of Singapore, as modified or amended from time to time (the “SFA”)) pursuant to Section 274 of the SFA;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 relevant person (as defined in Section 275(2) of the SFA) pursuant to Section 275(1) of the SFA, or any person pursuant to Section 275(1A) of the SFA, and in accordance with the conditions specified in Section 275 of the SFA;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otherwise pursuant to, and in accordance with the conditions of, any other applicable provision of the SFA.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Where the notes are subscribed or purchased under Section 275 of the SFA by a relevant person which 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S-43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corporation (which is not an accredited investor (as defined in Section 4A of the SFA)) the sole business of which is to hold investments and the entire share capital of which is owned by one or more individuals, each of whom is an accredited investor;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22">
                <wp:simplePos x="0" y="0"/>
                <wp:positionH relativeFrom="column">
                  <wp:align>left</wp:align>
                </wp:positionH>
                <wp:positionV relativeFrom="line">
                  <wp:posOffset>635</wp:posOffset>
                </wp:positionV>
                <wp:extent cx="254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trust (where the trustee is not an accredited investor) whose sole purpose is to hold investments and each beneficiary of the trust is an individual who is an accredited investor,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an institutional investor or to a relevant person, or to any person arising from an offer referred to in Section 275(1A) or Section 276(4)(i)(B) of the SFA;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where no consideration is or will be given for the transfer;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2"/>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where the transfer is by operation of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27">
                <wp:simplePos x="0" y="0"/>
                <wp:positionH relativeFrom="column">
                  <wp:align>left</wp:align>
                </wp:positionH>
                <wp:positionV relativeFrom="line">
                  <wp:align>top</wp:align>
                </wp:positionV>
                <wp:extent cx="254000" cy="52578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2"/>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specified in Section 276(7) of the SFA;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28">
                <wp:simplePos x="0" y="0"/>
                <wp:positionH relativeFrom="column">
                  <wp:align>left</wp:align>
                </wp:positionH>
                <wp:positionV relativeFrom="line">
                  <wp:align>top</wp:align>
                </wp:positionV>
                <wp:extent cx="254000" cy="52578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100pt;mso-position-horizontal:left;mso-position-horizontal-relative:text">
                <v:textbox>
                  <w:txbxContent>
                    <w:p>
                      <w:pPr>
                        <w:pStyle w:val="TextBody"/>
                        <w:bidi w:val="0"/>
                        <w:spacing w:lineRule="atLeast" w:line="240" w:before="0" w:after="283"/>
                        <w:jc w:val="left"/>
                        <w:rPr/>
                      </w:pPr>
                      <w:r>
                        <w:rPr>
                          <w:spacing w:val="-2"/>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specified in Regulation 37A of the Securities and Futures (Offers of Investments) (Securities and Securities-based Derivatives Contracts) Regulations 2018.</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2"/>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Singapore Securities and Futures Act Product Classification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Notice to Prospective Investors in Switzerland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document is not intended to constitute an offer or solicitation to purchase or invest in the notes. The notes may not be publicly offered, directly or indirectly, in Switzerland within the meaning of the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Notice to Prospective Investors in Taiwan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S-44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VOS"/>
      <w:bookmarkEnd w:id="13"/>
      <w:r>
        <w:rPr>
          <w:rFonts w:ascii="calibri;arial;sans-serif" w:hAnsi="calibri;arial;sans-serif"/>
          <w:b w:val="false"/>
          <w:i w:val="false"/>
          <w:caps w:val="false"/>
          <w:smallCaps w:val="false"/>
          <w:color w:val="000000"/>
          <w:sz w:val="16"/>
        </w:rPr>
        <w:t>​</w:t>
      </w:r>
      <w:bookmarkStart w:id="14" w:name="sEXP"/>
      <w:bookmarkEnd w:id="14"/>
      <w:r>
        <w:rPr>
          <w:rFonts w:ascii="calibri;arial;sans-serif" w:hAnsi="calibri;arial;sans-serif"/>
          <w:b w:val="false"/>
          <w:i w:val="false"/>
          <w:caps w:val="false"/>
          <w:smallCaps w:val="false"/>
          <w:color w:val="000000"/>
          <w:sz w:val="16"/>
        </w:rPr>
        <w:t>​</w:t>
      </w:r>
      <w:bookmarkStart w:id="15" w:name="sWYCF"/>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48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VALIDITY OF SECURITIES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legality of the notes offered hereby will be passed upon for Micron by Wilson Sonsini Goodrich &amp; Rosati, Professional Corporation, Palo Alto, California. The underwriters have been represented by Simpson Thacher &amp; Bartlett LLP, Palo Alto, California.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80" w:before="240" w:after="283"/>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EXPERTS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pPr>
      <w:r>
        <w:rPr>
          <w:rFonts w:ascii="Arial;Helvetica;sans-serif" w:hAnsi="Arial;Helvetica;sans-serif"/>
          <w:b w:val="false"/>
          <w:i w:val="false"/>
          <w:caps w:val="false"/>
          <w:smallCaps w:val="false"/>
          <w:color w:val="000000"/>
          <w:spacing w:val="-2"/>
          <w:sz w:val="20"/>
        </w:rPr>
        <w:t>The financial statements and management’s assessment of the effectiveness of internal control over financial reporting (which is included in Management’s Report on Internal Control over Financial Reporting) incorporated in this Prospectus by reference to the </w:t>
      </w:r>
      <w:hyperlink r:id="rId7">
        <w:r>
          <w:rPr>
            <w:rStyle w:val="InternetLink"/>
          </w:rPr>
          <w:t>Annual Report on Form 10-K for the year ended August 29, 2024</w:t>
        </w:r>
      </w:hyperlink>
      <w:r>
        <w:rPr>
          <w:rFonts w:ascii="Arial;Helvetica;sans-serif" w:hAnsi="Arial;Helvetica;sans-serif"/>
          <w:b w:val="false"/>
          <w:i w:val="false"/>
          <w:caps w:val="false"/>
          <w:smallCaps w:val="false"/>
          <w:color w:val="000000"/>
          <w:spacing w:val="-2"/>
          <w:sz w:val="20"/>
        </w:rPr>
        <w:t xml:space="preserve"> have been so incorporated in reliance on the report of PricewaterhouseCoopers LLP, an independent registered public accounting firm, given on the authority of said firm as experts in auditing and accounting.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80" w:before="240" w:after="283"/>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WHERE YOU CAN FIND MORE INFORMATION</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We file annual, quarterly and current reports, proxy statements and other information with the SEC. The SEC maintains an Internet site at </w:t>
      </w:r>
      <w:r>
        <w:rPr>
          <w:rFonts w:ascii="Arial;Helvetica;sans-serif" w:hAnsi="Arial;Helvetica;sans-serif"/>
          <w:b w:val="false"/>
          <w:i/>
          <w:caps w:val="false"/>
          <w:smallCaps w:val="false"/>
          <w:color w:val="000000"/>
          <w:sz w:val="20"/>
        </w:rPr>
        <w:t>http://www.sec.gov</w:t>
      </w:r>
      <w:r>
        <w:rPr>
          <w:rFonts w:ascii="Arial;Helvetica;sans-serif" w:hAnsi="Arial;Helvetica;sans-serif"/>
          <w:b w:val="false"/>
          <w:i w:val="false"/>
          <w:caps w:val="false"/>
          <w:smallCaps w:val="false"/>
          <w:color w:val="000000"/>
          <w:spacing w:val="-2"/>
          <w:sz w:val="20"/>
        </w:rPr>
        <w:t>,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Helvetica;sans-serif" w:hAnsi="Arial;Helvetica;sans-serif"/>
          <w:b w:val="false"/>
          <w:i/>
          <w:caps w:val="false"/>
          <w:smallCaps w:val="false"/>
          <w:color w:val="000000"/>
          <w:sz w:val="20"/>
        </w:rPr>
        <w:t>provided, however,</w:t>
      </w:r>
      <w:r>
        <w:rPr>
          <w:rFonts w:ascii="Arial;Helvetica;sans-serif" w:hAnsi="Arial;Helvetica;sans-serif"/>
          <w:b w:val="false"/>
          <w:i w:val="false"/>
          <w:caps w:val="false"/>
          <w:smallCaps w:val="false"/>
          <w:color w:val="000000"/>
          <w:spacing w:val="-2"/>
          <w:sz w:val="20"/>
        </w:rPr>
        <w:t xml:space="preserve"> that nothing contained herein shall be deemed to incorporate information furnished to, but not filed with, the SEC, including under Item 2.02 or Item 7.01 of any Current Report on Form 8-K: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pPr>
      <w:hyperlink r:id="rId8">
        <w:r>
          <w:rPr>
            <w:rStyle w:val="InternetLink"/>
            <w:rFonts w:ascii="Arial;Helvetica;sans-serif" w:hAnsi="Arial;Helvetica;sans-serif"/>
            <w:b w:val="false"/>
            <w:i w:val="false"/>
            <w:caps w:val="false"/>
            <w:smallCaps w:val="false"/>
            <w:color w:val="000000"/>
            <w:spacing w:val="-2"/>
            <w:sz w:val="20"/>
          </w:rPr>
          <w:t>Our Annual Report on Form 10-K for the fiscal year ended August 29, 2024;</w:t>
        </w:r>
      </w:hyperlink>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Arial;Helvetica;sans-serif" w:hAnsi="Arial;Helvetica;sans-serif"/>
          <w:b w:val="false"/>
          <w:i w:val="false"/>
          <w:caps w:val="false"/>
          <w:smallCaps w:val="false"/>
          <w:color w:val="000000"/>
          <w:spacing w:val="-2"/>
          <w:sz w:val="20"/>
        </w:rPr>
        <w:t xml:space="preserve">Our Quarterly Reports on Form 10-Q for the fiscal quarters ended </w:t>
      </w:r>
      <w:hyperlink r:id="rId9">
        <w:r>
          <w:rPr>
            <w:rStyle w:val="InternetLink"/>
          </w:rPr>
          <w:t>November 28, 2024</w:t>
        </w:r>
      </w:hyperlink>
      <w:r>
        <w:rPr>
          <w:rFonts w:ascii="Arial;Helvetica;sans-serif" w:hAnsi="Arial;Helvetica;sans-serif"/>
          <w:b w:val="false"/>
          <w:i w:val="false"/>
          <w:caps w:val="false"/>
          <w:smallCaps w:val="false"/>
          <w:color w:val="000000"/>
          <w:spacing w:val="-2"/>
          <w:sz w:val="20"/>
        </w:rPr>
        <w:t xml:space="preserve"> and </w:t>
      </w:r>
      <w:hyperlink r:id="rId10">
        <w:r>
          <w:rPr>
            <w:rStyle w:val="InternetLink"/>
          </w:rPr>
          <w:t>February 27, 2025</w:t>
        </w:r>
      </w:hyperlink>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Arial;Helvetica;sans-serif" w:hAnsi="Arial;Helvetica;sans-serif"/>
          <w:b w:val="false"/>
          <w:i w:val="false"/>
          <w:caps w:val="false"/>
          <w:smallCaps w:val="false"/>
          <w:color w:val="000000"/>
          <w:spacing w:val="-2"/>
          <w:sz w:val="20"/>
        </w:rPr>
        <w:t xml:space="preserve">Information specifically incorporated by reference into our </w:t>
      </w:r>
      <w:hyperlink r:id="rId11">
        <w:r>
          <w:rPr>
            <w:rStyle w:val="InternetLink"/>
          </w:rPr>
          <w:t>Annual Report on Form 10-K for the fiscal year ended August 29, 2024</w:t>
        </w:r>
      </w:hyperlink>
      <w:r>
        <w:rPr>
          <w:rFonts w:ascii="Arial;Helvetica;sans-serif" w:hAnsi="Arial;Helvetica;sans-serif"/>
          <w:b w:val="false"/>
          <w:i w:val="false"/>
          <w:caps w:val="false"/>
          <w:smallCaps w:val="false"/>
          <w:color w:val="000000"/>
          <w:spacing w:val="-2"/>
          <w:sz w:val="20"/>
        </w:rPr>
        <w:t xml:space="preserve"> from our </w:t>
      </w:r>
      <w:hyperlink r:id="rId12">
        <w:r>
          <w:rPr>
            <w:rStyle w:val="InternetLink"/>
          </w:rPr>
          <w:t>Definitive Proxy Statement on Schedule 14A, filed with the SEC on November 26, 2024</w:t>
        </w:r>
      </w:hyperlink>
      <w:r>
        <w:rPr>
          <w:rFonts w:ascii="Arial;Helvetica;sans-serif" w:hAnsi="Arial;Helvetica;sans-serif"/>
          <w:b w:val="false"/>
          <w:i w:val="false"/>
          <w:caps w:val="false"/>
          <w:smallCaps w:val="false"/>
          <w:color w:val="000000"/>
          <w:spacing w:val="-2"/>
          <w:sz w:val="20"/>
        </w:rPr>
        <w: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Arial;Helvetica;sans-serif" w:hAnsi="Arial;Helvetica;sans-serif"/>
          <w:b w:val="false"/>
          <w:i w:val="false"/>
          <w:caps w:val="false"/>
          <w:smallCaps w:val="false"/>
          <w:color w:val="000000"/>
          <w:spacing w:val="-2"/>
          <w:sz w:val="20"/>
        </w:rPr>
        <w:t xml:space="preserve">Our Current Reports on Form 8-K, filed with the SEC on </w:t>
      </w:r>
      <w:hyperlink r:id="rId13">
        <w:r>
          <w:rPr>
            <w:rStyle w:val="InternetLink"/>
          </w:rPr>
          <w:t>October 30, 2024</w:t>
        </w:r>
      </w:hyperlink>
      <w:r>
        <w:rPr>
          <w:rFonts w:ascii="Arial;Helvetica;sans-serif" w:hAnsi="Arial;Helvetica;sans-serif"/>
          <w:b w:val="false"/>
          <w:i w:val="false"/>
          <w:caps w:val="false"/>
          <w:smallCaps w:val="false"/>
          <w:color w:val="000000"/>
          <w:spacing w:val="-2"/>
          <w:sz w:val="20"/>
        </w:rPr>
        <w:t xml:space="preserve">, </w:t>
      </w:r>
      <w:hyperlink r:id="rId14">
        <w:r>
          <w:rPr>
            <w:rStyle w:val="InternetLink"/>
          </w:rPr>
          <w:t>December 10, 2024</w:t>
        </w:r>
      </w:hyperlink>
      <w:r>
        <w:rPr>
          <w:rFonts w:ascii="Arial;Helvetica;sans-serif" w:hAnsi="Arial;Helvetica;sans-serif"/>
          <w:b w:val="false"/>
          <w:i w:val="false"/>
          <w:caps w:val="false"/>
          <w:smallCaps w:val="false"/>
          <w:color w:val="000000"/>
          <w:spacing w:val="-2"/>
          <w:sz w:val="20"/>
        </w:rPr>
        <w:t xml:space="preserve">, </w:t>
      </w:r>
      <w:hyperlink r:id="rId15">
        <w:r>
          <w:rPr>
            <w:rStyle w:val="InternetLink"/>
          </w:rPr>
          <w:t>January 16, 2025</w:t>
        </w:r>
      </w:hyperlink>
      <w:r>
        <w:rPr>
          <w:rFonts w:ascii="Arial;Helvetica;sans-serif" w:hAnsi="Arial;Helvetica;sans-serif"/>
          <w:b w:val="false"/>
          <w:i w:val="false"/>
          <w:caps w:val="false"/>
          <w:smallCaps w:val="false"/>
          <w:color w:val="000000"/>
          <w:spacing w:val="-2"/>
          <w:sz w:val="20"/>
        </w:rPr>
        <w:t xml:space="preserve">, </w:t>
      </w:r>
      <w:hyperlink r:id="rId16">
        <w:r>
          <w:rPr>
            <w:rStyle w:val="InternetLink"/>
          </w:rPr>
          <w:t>January 21, 2025</w:t>
        </w:r>
      </w:hyperlink>
      <w:r>
        <w:rPr>
          <w:rFonts w:ascii="Arial;Helvetica;sans-serif" w:hAnsi="Arial;Helvetica;sans-serif"/>
          <w:b w:val="false"/>
          <w:i w:val="false"/>
          <w:caps w:val="false"/>
          <w:smallCaps w:val="false"/>
          <w:color w:val="000000"/>
          <w:spacing w:val="-2"/>
          <w:sz w:val="20"/>
        </w:rPr>
        <w:t xml:space="preserve">, </w:t>
      </w:r>
      <w:hyperlink r:id="rId17">
        <w:r>
          <w:rPr>
            <w:rStyle w:val="InternetLink"/>
          </w:rPr>
          <w:t>March 5, 2025</w:t>
        </w:r>
      </w:hyperlink>
      <w:r>
        <w:rPr>
          <w:rFonts w:ascii="Arial;Helvetica;sans-serif" w:hAnsi="Arial;Helvetica;sans-serif"/>
          <w:b w:val="false"/>
          <w:i w:val="false"/>
          <w:caps w:val="false"/>
          <w:smallCaps w:val="false"/>
          <w:color w:val="000000"/>
          <w:spacing w:val="-2"/>
          <w:sz w:val="20"/>
        </w:rPr>
        <w:t xml:space="preserve"> and </w:t>
      </w:r>
      <w:hyperlink r:id="rId18">
        <w:r>
          <w:rPr>
            <w:rStyle w:val="InternetLink"/>
          </w:rPr>
          <w:t>March 12, 2025</w:t>
        </w:r>
      </w:hyperlink>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You may request a copy of these filings at no cost by contacting our Investor Relations department by visiting our Web site at </w:t>
      </w:r>
      <w:r>
        <w:rPr>
          <w:rFonts w:ascii="Arial;Helvetica;sans-serif" w:hAnsi="Arial;Helvetica;sans-serif"/>
          <w:b w:val="false"/>
          <w:i/>
          <w:caps w:val="false"/>
          <w:smallCaps w:val="false"/>
          <w:color w:val="000000"/>
          <w:sz w:val="20"/>
        </w:rPr>
        <w:t>www.micron.com</w:t>
      </w:r>
      <w:r>
        <w:rPr>
          <w:rFonts w:ascii="Arial;Helvetica;sans-serif" w:hAnsi="Arial;Helvetica;sans-serif"/>
          <w:b w:val="false"/>
          <w:i w:val="false"/>
          <w:caps w:val="false"/>
          <w:smallCaps w:val="false"/>
          <w:color w:val="000000"/>
          <w:spacing w:val="-2"/>
          <w:sz w:val="20"/>
        </w:rPr>
        <w:t>, by calling (208) 368-4000, by writing to Investor Relations, Micron Technology, Inc., 8000 South Federal Way, Boise, ID 83716. The information contained or incorporated in our website is not part of this prospectus supplement or the accompanying prospectus.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S-45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557" w:after="283"/>
        <w:ind w:left="1753"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3"/>
          <w:sz w:val="22"/>
        </w:rPr>
        <w:t>PROSPECTUS</w:t>
      </w:r>
      <w:r>
        <w:rPr>
          <w:rFonts w:ascii="Arial;Helvetica;sans-serif" w:hAnsi="Arial;Helvetica;sans-serif"/>
          <w:b/>
          <w:i w:val="false"/>
          <w:caps w:val="false"/>
          <w:smallCaps w:val="false"/>
          <w:color w:val="000000"/>
          <w:spacing w:val="4"/>
          <w:sz w:val="22"/>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895475" cy="523875"/>
            <wp:effectExtent l="0" t="0" r="0" b="0"/>
            <wp:docPr id="1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 descr=""/>
                    <pic:cNvPicPr>
                      <a:picLocks noChangeAspect="1" noChangeArrowheads="1"/>
                    </pic:cNvPicPr>
                  </pic:nvPicPr>
                  <pic:blipFill>
                    <a:blip r:embed="rId19"/>
                    <a:stretch>
                      <a:fillRect/>
                    </a:stretch>
                  </pic:blipFill>
                  <pic:spPr bwMode="auto">
                    <a:xfrm>
                      <a:off x="0" y="0"/>
                      <a:ext cx="1895475" cy="523875"/>
                    </a:xfrm>
                    <a:prstGeom prst="rect">
                      <a:avLst/>
                    </a:prstGeom>
                  </pic:spPr>
                </pic:pic>
              </a:graphicData>
            </a:graphic>
          </wp:inline>
        </w:drawing>
      </w:r>
      <w:r>
        <w:rPr>
          <w:caps w:val="false"/>
          <w:smallCaps w:val="false"/>
          <w:color w:val="000000"/>
        </w:rPr>
        <w:t xml:space="preserve"> </w:t>
      </w:r>
    </w:p>
    <w:p>
      <w:pPr>
        <w:pStyle w:val="TextBody"/>
        <w:bidi w:val="0"/>
        <w:spacing w:lineRule="atLeast" w:line="480" w:before="340" w:after="283"/>
        <w:jc w:val="center"/>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6"/>
          <w:sz w:val="44"/>
        </w:rPr>
        <w:t>MICRON TECHNOLOGY, INC.</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300" w:before="240" w:after="283"/>
        <w:jc w:val="center"/>
        <w:rPr>
          <w:rFonts w:ascii="Arial;Helvetica;sans-serif" w:hAnsi="Arial;Helvetica;sans-serif"/>
          <w:b/>
          <w:i w:val="false"/>
          <w:caps w:val="false"/>
          <w:smallCaps w:val="false"/>
          <w:color w:val="000000"/>
          <w:sz w:val="26"/>
        </w:rPr>
      </w:pPr>
      <w:r>
        <w:rPr>
          <w:rFonts w:ascii="Arial;Helvetica;sans-serif" w:hAnsi="Arial;Helvetica;sans-serif"/>
          <w:b/>
          <w:i w:val="false"/>
          <w:caps w:val="false"/>
          <w:smallCaps w:val="false"/>
          <w:color w:val="000000"/>
          <w:spacing w:val="-1"/>
          <w:sz w:val="26"/>
        </w:rPr>
        <w:t>Common Stock</w:t>
      </w:r>
      <w:r>
        <w:rPr>
          <w:rFonts w:ascii="Arial;Helvetica;sans-serif" w:hAnsi="Arial;Helvetica;sans-serif"/>
          <w:b/>
          <w:i w:val="false"/>
          <w:caps w:val="false"/>
          <w:smallCaps w:val="false"/>
          <w:color w:val="000000"/>
          <w:sz w:val="26"/>
        </w:rPr>
        <w:t xml:space="preserve"> </w:t>
        <w:br/>
      </w:r>
      <w:r>
        <w:rPr>
          <w:rFonts w:ascii="Arial;Helvetica;sans-serif" w:hAnsi="Arial;Helvetica;sans-serif"/>
          <w:b/>
          <w:i w:val="false"/>
          <w:caps w:val="false"/>
          <w:smallCaps w:val="false"/>
          <w:color w:val="000000"/>
          <w:spacing w:val="-1"/>
          <w:sz w:val="26"/>
        </w:rPr>
        <w:t>Debt Securities</w:t>
      </w:r>
      <w:r>
        <w:rPr>
          <w:rFonts w:ascii="Arial;Helvetica;sans-serif" w:hAnsi="Arial;Helvetica;sans-serif"/>
          <w:b/>
          <w:i w:val="false"/>
          <w:caps w:val="false"/>
          <w:smallCaps w:val="false"/>
          <w:color w:val="000000"/>
          <w:sz w:val="26"/>
        </w:rPr>
        <w:t xml:space="preserve"> </w:t>
        <w:br/>
      </w:r>
      <w:r>
        <w:rPr>
          <w:rFonts w:ascii="Arial;Helvetica;sans-serif" w:hAnsi="Arial;Helvetica;sans-serif"/>
          <w:b/>
          <w:i w:val="false"/>
          <w:caps w:val="false"/>
          <w:smallCaps w:val="false"/>
          <w:color w:val="000000"/>
          <w:spacing w:val="-1"/>
          <w:sz w:val="26"/>
        </w:rPr>
        <w:t>Warrants</w:t>
      </w:r>
      <w:r>
        <w:rPr>
          <w:rFonts w:ascii="Arial;Helvetica;sans-serif" w:hAnsi="Arial;Helvetica;sans-serif"/>
          <w:b/>
          <w:i w:val="false"/>
          <w:caps w:val="false"/>
          <w:smallCaps w:val="false"/>
          <w:color w:val="000000"/>
          <w:sz w:val="26"/>
        </w:rPr>
        <w:t xml:space="preserve"> </w:t>
        <w:br/>
      </w:r>
      <w:r>
        <w:rPr>
          <w:rFonts w:ascii="Arial;Helvetica;sans-serif" w:hAnsi="Arial;Helvetica;sans-serif"/>
          <w:b/>
          <w:i w:val="false"/>
          <w:caps w:val="false"/>
          <w:smallCaps w:val="false"/>
          <w:color w:val="000000"/>
          <w:spacing w:val="-1"/>
          <w:sz w:val="26"/>
        </w:rPr>
        <w:t>Purchase Contracts</w:t>
      </w:r>
      <w:r>
        <w:rPr>
          <w:rFonts w:ascii="Arial;Helvetica;sans-serif" w:hAnsi="Arial;Helvetica;sans-serif"/>
          <w:b/>
          <w:i w:val="false"/>
          <w:caps w:val="false"/>
          <w:smallCaps w:val="false"/>
          <w:color w:val="000000"/>
          <w:sz w:val="26"/>
        </w:rPr>
        <w:t xml:space="preserve"> </w:t>
        <w:br/>
      </w:r>
      <w:r>
        <w:rPr>
          <w:rFonts w:ascii="Arial;Helvetica;sans-serif" w:hAnsi="Arial;Helvetica;sans-serif"/>
          <w:b/>
          <w:i w:val="false"/>
          <w:caps w:val="false"/>
          <w:smallCaps w:val="false"/>
          <w:color w:val="000000"/>
          <w:spacing w:val="-1"/>
          <w:sz w:val="26"/>
        </w:rPr>
        <w:t>Units</w:t>
      </w:r>
      <w:r>
        <w:rPr>
          <w:rFonts w:ascii="Arial;Helvetica;sans-serif" w:hAnsi="Arial;Helvetica;sans-serif"/>
          <w:b/>
          <w:i w:val="false"/>
          <w:caps w:val="false"/>
          <w:smallCaps w:val="false"/>
          <w:color w:val="000000"/>
          <w:spacing w:val="5"/>
          <w:sz w:val="26"/>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offer and sell the securities identified above from time to time in one or more offerings. This prospectus provides you with a general description of the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pPr>
      <w:r>
        <w:rPr>
          <w:rFonts w:ascii="Arial;Helvetica;sans-serif" w:hAnsi="Arial;Helvetica;sans-serif"/>
          <w:b/>
          <w:i w:val="false"/>
          <w:caps w:val="false"/>
          <w:smallCaps w:val="false"/>
          <w:color w:val="000000"/>
          <w:spacing w:val="-3"/>
          <w:sz w:val="20"/>
        </w:rPr>
        <w:t xml:space="preserve">INVESTING IN OUR SECURITIES INVOLVES RISKS. SEE “RISK FACTORS” ON PAGE </w:t>
      </w:r>
      <w:hyperlink w:anchor="tRIFA">
        <w:r>
          <w:rPr>
            <w:rStyle w:val="InternetLink"/>
          </w:rPr>
          <w:t>5</w:t>
        </w:r>
      </w:hyperlink>
      <w:r>
        <w:rPr>
          <w:rFonts w:ascii="Arial;Helvetica;sans-serif" w:hAnsi="Arial;Helvetica;sans-serif"/>
          <w:b/>
          <w:i w:val="false"/>
          <w:caps w:val="false"/>
          <w:smallCaps w:val="false"/>
          <w:color w:val="000000"/>
          <w:spacing w:val="-3"/>
          <w:sz w:val="20"/>
        </w:rPr>
        <w:t xml:space="preserve"> AND ANY SIMILAR SECTION CONTAINED IN OR INCORPORATED BY REFERENCE IN THE APPLICABLE PROSPECTUS SUPPLEMENT CONCERNING FACTORS YOU SHOULD CONSIDER BEFORE INVESTING IN OUR SECURITIES.</w:t>
      </w:r>
      <w:r>
        <w:rPr>
          <w:rFonts w:ascii="Arial;Helvetica;sans-serif" w:hAnsi="Arial;Helvetica;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common stock is listed on The Nasdaq Global Select Market (“Nasdaq”) under the symbol “MU.” On November 1, 2023, the last reported sale price of our common stock on Nasdaq was $69.40 per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date of this prospectus is November 2, 2023.</w:t>
      </w:r>
      <w:r>
        <w:rPr>
          <w:rFonts w:ascii="Arial;Helvetica;sans-serif" w:hAnsi="Arial;Helvetica;sans-serif"/>
          <w:b/>
          <w:i w:val="false"/>
          <w:caps w:val="false"/>
          <w:smallCaps w:val="false"/>
          <w:color w:val="000000"/>
          <w:sz w:val="20"/>
        </w:rPr>
        <w:t xml:space="preserve"> </w:t>
      </w:r>
    </w:p>
    <w:p>
      <w:pPr>
        <w:pStyle w:val="TextBody"/>
        <w:bidi w:val="0"/>
        <w:spacing w:lineRule="atLeast" w:line="190" w:before="0" w:after="0"/>
        <w:ind w:left="1033" w:right="0" w:hanging="0"/>
        <w:jc w:val="left"/>
        <w:rPr>
          <w:caps w:val="false"/>
          <w:smallCaps w:val="false"/>
          <w:color w:val="FC0014"/>
        </w:rPr>
      </w:pPr>
      <w:r>
        <w:rPr>
          <w:caps w:val="false"/>
          <w:smallCaps w:val="false"/>
          <w:color w:val="FC0014"/>
          <w:spacing w:val="-2"/>
        </w:rPr>
        <w:t> </w:t>
      </w:r>
      <w:r>
        <w:rPr>
          <w:caps w:val="false"/>
          <w:smallCaps w:val="false"/>
          <w:color w:val="FC001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898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TABLE OF CONTENTS</w:t>
      </w:r>
      <w:r>
        <w:rPr>
          <w:rFonts w:ascii="Arial Narrow;Helvetica;sans-serif" w:hAnsi="Arial Narrow;Helvetica;sans-serif"/>
          <w:b/>
          <w:i w:val="false"/>
          <w:caps w:val="false"/>
          <w:smallCaps w:val="false"/>
          <w:color w:val="000000"/>
          <w:spacing w:val="9"/>
          <w:sz w:val="44"/>
        </w:rPr>
        <w:t xml:space="preserve"> </w:t>
      </w:r>
    </w:p>
    <w:tbl>
      <w:tblPr>
        <w:tblW w:w="7693" w:type="dxa"/>
        <w:jc w:val="left"/>
        <w:tblInd w:w="1393" w:type="dxa"/>
        <w:tblLayout w:type="fixed"/>
        <w:tblCellMar>
          <w:top w:w="0" w:type="dxa"/>
          <w:left w:w="0" w:type="dxa"/>
          <w:bottom w:w="0" w:type="dxa"/>
          <w:right w:w="0" w:type="dxa"/>
        </w:tblCellMar>
      </w:tblPr>
      <w:tblGrid>
        <w:gridCol w:w="124"/>
        <w:gridCol w:w="6584"/>
        <w:gridCol w:w="109"/>
        <w:gridCol w:w="109"/>
        <w:gridCol w:w="109"/>
        <w:gridCol w:w="109"/>
        <w:gridCol w:w="2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584" w:type="dxa"/>
            <w:tcBorders/>
            <w:shd w:fill="CCEEFF" w:val="clear"/>
            <w:vAlign w:val="center"/>
          </w:tcPr>
          <w:p>
            <w:pPr>
              <w:pStyle w:val="TableContents"/>
              <w:bidi w:val="0"/>
              <w:spacing w:before="0" w:after="0"/>
              <w:jc w:val="left"/>
              <w:rPr/>
            </w:pPr>
            <w:hyperlink w:anchor="tATP">
              <w:r>
                <w:rPr>
                  <w:rStyle w:val="InternetLink"/>
                  <w:spacing w:val="-2"/>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tATP">
              <w:r>
                <w:rPr>
                  <w:rStyle w:val="InternetLink"/>
                  <w:spacing w:val="-2"/>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584" w:type="dxa"/>
            <w:tcBorders/>
            <w:vAlign w:val="center"/>
          </w:tcPr>
          <w:p>
            <w:pPr>
              <w:pStyle w:val="TableContents"/>
              <w:bidi w:val="0"/>
              <w:spacing w:before="0" w:after="0"/>
              <w:jc w:val="left"/>
              <w:rPr/>
            </w:pPr>
            <w:hyperlink w:anchor="tWYCF">
              <w:r>
                <w:rPr>
                  <w:rStyle w:val="InternetLink"/>
                  <w:spacing w:val="-2"/>
                </w:rPr>
                <w:t xml:space="preserve">Where You Can Find More Information; Incorporation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tWYCF">
              <w:r>
                <w:rPr>
                  <w:rStyle w:val="InternetLink"/>
                  <w:spacing w:val="-2"/>
                </w:rPr>
                <w:t>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584" w:type="dxa"/>
            <w:tcBorders/>
            <w:shd w:fill="CCEEFF" w:val="clear"/>
            <w:vAlign w:val="center"/>
          </w:tcPr>
          <w:p>
            <w:pPr>
              <w:pStyle w:val="TableContents"/>
              <w:bidi w:val="0"/>
              <w:spacing w:before="0" w:after="0"/>
              <w:jc w:val="left"/>
              <w:rPr/>
            </w:pPr>
            <w:hyperlink w:anchor="tTHCO">
              <w:r>
                <w:rPr>
                  <w:rStyle w:val="InternetLink"/>
                  <w:spacing w:val="-2"/>
                </w:rPr>
                <w:t xml:space="preserve">The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tTHCO">
              <w:r>
                <w:rPr>
                  <w:rStyle w:val="InternetLink"/>
                  <w:spacing w:val="-2"/>
                </w:rPr>
                <w:t>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584" w:type="dxa"/>
            <w:tcBorders/>
            <w:vAlign w:val="center"/>
          </w:tcPr>
          <w:p>
            <w:pPr>
              <w:pStyle w:val="TableContents"/>
              <w:bidi w:val="0"/>
              <w:spacing w:before="0" w:after="0"/>
              <w:jc w:val="left"/>
              <w:rPr/>
            </w:pPr>
            <w:hyperlink w:anchor="tRIFA">
              <w:r>
                <w:rPr>
                  <w:rStyle w:val="InternetLink"/>
                  <w:spacing w:val="-2"/>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tRIFA">
              <w:r>
                <w:rPr>
                  <w:rStyle w:val="InternetLink"/>
                  <w:spacing w:val="-2"/>
                </w:rPr>
                <w:t>5</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584" w:type="dxa"/>
            <w:tcBorders/>
            <w:shd w:fill="CCEEFF" w:val="clear"/>
            <w:vAlign w:val="center"/>
          </w:tcPr>
          <w:p>
            <w:pPr>
              <w:pStyle w:val="TableContents"/>
              <w:bidi w:val="0"/>
              <w:spacing w:before="0" w:after="0"/>
              <w:jc w:val="left"/>
              <w:rPr/>
            </w:pPr>
            <w:hyperlink w:anchor="tUOP">
              <w:r>
                <w:rPr>
                  <w:rStyle w:val="InternetLink"/>
                  <w:spacing w:val="-2"/>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tUOP">
              <w:r>
                <w:rPr>
                  <w:rStyle w:val="InternetLink"/>
                  <w:spacing w:val="-2"/>
                </w:rPr>
                <w:t>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584" w:type="dxa"/>
            <w:tcBorders/>
            <w:vAlign w:val="center"/>
          </w:tcPr>
          <w:p>
            <w:pPr>
              <w:pStyle w:val="TableContents"/>
              <w:bidi w:val="0"/>
              <w:spacing w:before="0" w:after="0"/>
              <w:jc w:val="left"/>
              <w:rPr/>
            </w:pPr>
            <w:hyperlink w:anchor="tDOS">
              <w:r>
                <w:rPr>
                  <w:rStyle w:val="InternetLink"/>
                  <w:spacing w:val="-2"/>
                </w:rPr>
                <w:t xml:space="preserve">Description of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tDOS">
              <w:r>
                <w:rPr>
                  <w:rStyle w:val="InternetLink"/>
                  <w:spacing w:val="-2"/>
                </w:rPr>
                <w:t>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584" w:type="dxa"/>
            <w:tcBorders/>
            <w:shd w:fill="CCEEFF" w:val="clear"/>
            <w:vAlign w:val="center"/>
          </w:tcPr>
          <w:p>
            <w:pPr>
              <w:pStyle w:val="TableContents"/>
              <w:bidi w:val="0"/>
              <w:spacing w:before="0" w:after="0"/>
              <w:jc w:val="left"/>
              <w:rPr/>
            </w:pPr>
            <w:hyperlink w:anchor="tPOD">
              <w:r>
                <w:rPr>
                  <w:rStyle w:val="InternetLink"/>
                  <w:spacing w:val="-2"/>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tPOD">
              <w:r>
                <w:rPr>
                  <w:rStyle w:val="InternetLink"/>
                  <w:spacing w:val="-2"/>
                </w:rPr>
                <w:t>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584" w:type="dxa"/>
            <w:tcBorders/>
            <w:vAlign w:val="center"/>
          </w:tcPr>
          <w:p>
            <w:pPr>
              <w:pStyle w:val="TableContents"/>
              <w:bidi w:val="0"/>
              <w:spacing w:before="0" w:after="0"/>
              <w:jc w:val="left"/>
              <w:rPr/>
            </w:pPr>
            <w:hyperlink w:anchor="tLEMA">
              <w:r>
                <w:rPr>
                  <w:rStyle w:val="InternetLink"/>
                  <w:spacing w:val="-2"/>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tLEMA">
              <w:r>
                <w:rPr>
                  <w:rStyle w:val="InternetLink"/>
                  <w:spacing w:val="-2"/>
                </w:rPr>
                <w:t>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584" w:type="dxa"/>
            <w:tcBorders/>
            <w:shd w:fill="CCEEFF" w:val="clear"/>
            <w:vAlign w:val="center"/>
          </w:tcPr>
          <w:p>
            <w:pPr>
              <w:pStyle w:val="TableContents"/>
              <w:bidi w:val="0"/>
              <w:spacing w:before="0" w:after="0"/>
              <w:jc w:val="left"/>
              <w:rPr/>
            </w:pPr>
            <w:hyperlink w:anchor="tEXP">
              <w:r>
                <w:rPr>
                  <w:rStyle w:val="InternetLink"/>
                  <w:spacing w:val="-2"/>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tEXP">
              <w:r>
                <w:rPr>
                  <w:rStyle w:val="InternetLink"/>
                  <w:spacing w:val="-2"/>
                </w:rPr>
                <w:t>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248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ABOUT THIS PROSPECTUS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WYC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283"/>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WHERE YOU CAN FIND MORE INFORMATION;</w:t>
      </w:r>
      <w:r>
        <w:rPr>
          <w:rFonts w:ascii="Arial Narrow;Helvetica;sans-serif" w:hAnsi="Arial Narrow;Helvetica;sans-serif"/>
          <w:b/>
          <w:i w:val="false"/>
          <w:caps w:val="false"/>
          <w:smallCaps w:val="false"/>
          <w:color w:val="000000"/>
          <w:sz w:val="44"/>
        </w:rPr>
        <w:t xml:space="preserve"> </w:t>
        <w:br/>
      </w:r>
      <w:r>
        <w:rPr>
          <w:rFonts w:ascii="Arial Narrow;Helvetica;sans-serif" w:hAnsi="Arial Narrow;Helvetica;sans-serif"/>
          <w:b/>
          <w:i w:val="false"/>
          <w:caps w:val="false"/>
          <w:smallCaps w:val="false"/>
          <w:color w:val="000000"/>
          <w:spacing w:val="-10"/>
          <w:sz w:val="44"/>
        </w:rPr>
        <w:t>INCORPORATION BY REFERENCE</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Available Information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We file reports, proxy statements, and other information with the SEC. The SEC maintains a website at </w:t>
      </w:r>
      <w:r>
        <w:rPr>
          <w:rFonts w:ascii="Arial;Helvetica;sans-serif" w:hAnsi="Arial;Helvetica;sans-serif"/>
          <w:b w:val="false"/>
          <w:i/>
          <w:caps w:val="false"/>
          <w:smallCaps w:val="false"/>
          <w:color w:val="000000"/>
          <w:sz w:val="20"/>
        </w:rPr>
        <w:t>www.sec.gov</w:t>
      </w:r>
      <w:r>
        <w:rPr>
          <w:rFonts w:ascii="Arial;Helvetica;sans-serif" w:hAnsi="Arial;Helvetica;sans-serif"/>
          <w:b w:val="false"/>
          <w:i w:val="false"/>
          <w:caps w:val="false"/>
          <w:smallCaps w:val="false"/>
          <w:color w:val="000000"/>
          <w:spacing w:val="-2"/>
          <w:sz w:val="20"/>
        </w:rPr>
        <w:t>, from which interested persons can electronically access any document we file electronically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Our website address is </w:t>
      </w:r>
      <w:r>
        <w:rPr>
          <w:rFonts w:ascii="Arial;Helvetica;sans-serif" w:hAnsi="Arial;Helvetica;sans-serif"/>
          <w:b w:val="false"/>
          <w:i/>
          <w:caps w:val="false"/>
          <w:smallCaps w:val="false"/>
          <w:color w:val="000000"/>
          <w:sz w:val="20"/>
        </w:rPr>
        <w:t>www.micron.com</w:t>
      </w:r>
      <w:r>
        <w:rPr>
          <w:rFonts w:ascii="Arial;Helvetica;sans-serif" w:hAnsi="Arial;Helvetica;sans-serif"/>
          <w:b w:val="false"/>
          <w:i w:val="false"/>
          <w:caps w:val="false"/>
          <w:smallCaps w:val="false"/>
          <w:color w:val="000000"/>
          <w:spacing w:val="-2"/>
          <w:sz w:val="20"/>
        </w:rPr>
        <w:t>. The information on our website, however, is not, and should not be deemed to be, a part of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240" w:after="283"/>
        <w:jc w:val="left"/>
        <w:rPr>
          <w:rFonts w:ascii="Arial;Helvetica;sans-serif" w:hAnsi="Arial;Helvetica;sans-serif"/>
          <w:b/>
          <w:i w:val="false"/>
          <w:caps w:val="false"/>
          <w:smallCaps w:val="false"/>
          <w:color w:val="006CB7"/>
          <w:sz w:val="24"/>
        </w:rPr>
      </w:pPr>
      <w:r>
        <w:rPr>
          <w:rFonts w:ascii="Arial;Helvetica;sans-serif" w:hAnsi="Arial;Helvetica;sans-serif"/>
          <w:b/>
          <w:i w:val="false"/>
          <w:caps w:val="false"/>
          <w:smallCaps w:val="false"/>
          <w:color w:val="006CB7"/>
          <w:spacing w:val="-1"/>
          <w:sz w:val="24"/>
        </w:rPr>
        <w:t>Incorporation by Reference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and any accompanying prospectus supplement incorporate by reference the documents set forth below that have previously been filed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4" w:after="0"/>
        <w:ind w:left="1993" w:right="0" w:hanging="0"/>
        <w:jc w:val="left"/>
        <w:rPr/>
      </w:pPr>
      <w:hyperlink r:id="rId20">
        <w:r>
          <w:rPr>
            <w:rStyle w:val="InternetLink"/>
            <w:rFonts w:ascii="Arial;Helvetica;sans-serif" w:hAnsi="Arial;Helvetica;sans-serif"/>
            <w:b w:val="false"/>
            <w:i w:val="false"/>
            <w:caps w:val="false"/>
            <w:smallCaps w:val="false"/>
            <w:color w:val="000000"/>
            <w:spacing w:val="-2"/>
            <w:sz w:val="20"/>
          </w:rPr>
          <w:t>Our Annual Report on Form 10-K for the fiscal year ended August 31, 2023, filed with the SEC on October 6, 2023.</w:t>
        </w:r>
      </w:hyperlink>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2"/>
                              </w:rPr>
                            </w:pPr>
                            <w:r>
                              <w:rPr>
                                <w:spacing w:val="-2"/>
                              </w:rPr>
                              <w:t xml:space="preserve">• </w:t>
                            </w:r>
                            <w:r>
                              <w:rPr>
                                <w:spacing w:val="-2"/>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spacing w:val="-2"/>
                        </w:rPr>
                      </w:pPr>
                      <w:r>
                        <w:rPr>
                          <w:spacing w:val="-2"/>
                        </w:rPr>
                        <w:t xml:space="preserve">• </w:t>
                      </w:r>
                      <w:r>
                        <w:rPr>
                          <w:spacing w:val="-2"/>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Arial;Helvetica;sans-serif" w:hAnsi="Arial;Helvetica;sans-serif"/>
          <w:b w:val="false"/>
          <w:i w:val="false"/>
          <w:caps w:val="false"/>
          <w:smallCaps w:val="false"/>
          <w:color w:val="000000"/>
          <w:spacing w:val="-2"/>
          <w:sz w:val="20"/>
        </w:rPr>
        <w:t xml:space="preserve">Information specifically incorporated by reference into our </w:t>
      </w:r>
      <w:hyperlink r:id="rId21">
        <w:r>
          <w:rPr>
            <w:rStyle w:val="InternetLink"/>
          </w:rPr>
          <w:t>Annual Report on Form 10-K for the fiscal year ended September 1, 2022</w:t>
        </w:r>
      </w:hyperlink>
      <w:r>
        <w:rPr>
          <w:rFonts w:ascii="Arial;Helvetica;sans-serif" w:hAnsi="Arial;Helvetica;sans-serif"/>
          <w:b w:val="false"/>
          <w:i w:val="false"/>
          <w:caps w:val="false"/>
          <w:smallCaps w:val="false"/>
          <w:color w:val="000000"/>
          <w:spacing w:val="-2"/>
          <w:sz w:val="20"/>
        </w:rPr>
        <w:t xml:space="preserve"> from our </w:t>
      </w:r>
      <w:hyperlink r:id="rId22">
        <w:r>
          <w:rPr>
            <w:rStyle w:val="InternetLink"/>
          </w:rPr>
          <w:t>Definitive Proxy Statement on Schedule 14A, filed with the SEC on December 2, 2022.</w:t>
        </w:r>
      </w:hyperlink>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2"/>
                              </w:rPr>
                            </w:pPr>
                            <w:r>
                              <w:rPr>
                                <w:spacing w:val="-2"/>
                              </w:rPr>
                              <w:t xml:space="preserve">• </w:t>
                            </w:r>
                            <w:r>
                              <w:rPr>
                                <w:spacing w:val="-2"/>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spacing w:val="-2"/>
                        </w:rPr>
                      </w:pPr>
                      <w:r>
                        <w:rPr>
                          <w:spacing w:val="-2"/>
                        </w:rPr>
                        <w:t xml:space="preserve">• </w:t>
                      </w:r>
                      <w:r>
                        <w:rPr>
                          <w:spacing w:val="-2"/>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pPr>
      <w:r>
        <w:rPr>
          <w:rFonts w:ascii="Arial;Helvetica;sans-serif" w:hAnsi="Arial;Helvetica;sans-serif"/>
          <w:b w:val="false"/>
          <w:i w:val="false"/>
          <w:caps w:val="false"/>
          <w:smallCaps w:val="false"/>
          <w:color w:val="000000"/>
          <w:spacing w:val="-2"/>
          <w:sz w:val="20"/>
        </w:rPr>
        <w:t xml:space="preserve">The description of our common stock, par value $0.10 per share, contained in our registration statement on </w:t>
      </w:r>
      <w:hyperlink r:id="rId23">
        <w:r>
          <w:rPr>
            <w:rStyle w:val="InternetLink"/>
          </w:rPr>
          <w:t>Form 8-A, filed with the SEC on December 21, 2009</w:t>
        </w:r>
      </w:hyperlink>
      <w:r>
        <w:rPr>
          <w:rFonts w:ascii="Arial;Helvetica;sans-serif" w:hAnsi="Arial;Helvetica;sans-serif"/>
          <w:b w:val="false"/>
          <w:i w:val="false"/>
          <w:caps w:val="false"/>
          <w:smallCaps w:val="false"/>
          <w:color w:val="000000"/>
          <w:spacing w:val="-2"/>
          <w:sz w:val="20"/>
        </w:rPr>
        <w:t>, including any subsequently filed amendments and reports updating such description.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All reports and other documents we subsequently file pursuant to Section 13(a), 13(c), 14 or 15(d) of the Exchange Act prior to the termination of this offering but excluding any information furnished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80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rather than filed with, the SEC, will also be incorporated by reference into this prospectus and deemed to be part of this prospectus from the date of the filing of such reports and documents.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may request a free copy of any of the documents incorporated by reference in this prospectus (other than exhibits, unless they are specifically incorporated by reference in the documents) by writing or telephoning us at the following address: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Micron Technology, Inc.</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8000 South Federal Way</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Boise, Idaho 83716-9632</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(208) 368-4000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Exhibits to the filings will not be sent, however, unless those exhibits have specifically been incorporated by reference in this prospectus or any accompanying prospectus supplement.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information accessible through any website referred to in this prospectus or any document incorporated herein is not, and should not be deemed to be,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THCO"/>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608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THE COMPANY</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Arial;Helvetica;sans-serif" w:hAnsi="Arial;Helvetica;sans-serif"/>
          <w:b w:val="false"/>
          <w:i w:val="false"/>
          <w:caps w:val="false"/>
          <w:smallCaps w:val="false"/>
          <w:color w:val="000000"/>
          <w:spacing w:val="-1"/>
          <w:sz w:val="15"/>
        </w:rPr>
        <w:t>®</w:t>
      </w:r>
      <w:r>
        <w:rPr>
          <w:rFonts w:ascii="Arial;Helvetica;sans-serif" w:hAnsi="Arial;Helvetica;sans-serif"/>
          <w:b w:val="false"/>
          <w:i w:val="false"/>
          <w:caps w:val="false"/>
          <w:smallCaps w:val="false"/>
          <w:color w:val="000000"/>
          <w:spacing w:val="-2"/>
          <w:sz w:val="20"/>
        </w:rPr>
        <w:t xml:space="preserve"> and Crucial</w:t>
      </w:r>
      <w:r>
        <w:rPr>
          <w:rFonts w:ascii="Arial;Helvetica;sans-serif" w:hAnsi="Arial;Helvetica;sans-serif"/>
          <w:b w:val="false"/>
          <w:i w:val="false"/>
          <w:caps w:val="false"/>
          <w:smallCaps w:val="false"/>
          <w:color w:val="000000"/>
          <w:spacing w:val="-1"/>
          <w:sz w:val="15"/>
        </w:rPr>
        <w:t>®</w:t>
      </w:r>
      <w:r>
        <w:rPr>
          <w:rFonts w:ascii="Arial;Helvetica;sans-serif" w:hAnsi="Arial;Helvetica;sans-serif"/>
          <w:b w:val="false"/>
          <w:i w:val="false"/>
          <w:caps w:val="false"/>
          <w:smallCaps w:val="false"/>
          <w:color w:val="000000"/>
          <w:spacing w:val="-2"/>
          <w:sz w:val="20"/>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Micron Technology, Inc., a Delaware corporation, was originally incorporated in 1978. Our executive offices are located at 8000 South Federal Way, Boise, Idaho 83716-9632 and our telephone number is (208) 368-4000. Our common stock is listed on Nasdaq under the symbol “MU.”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RIFA"/>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976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RISK FACTORS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UO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1144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USE OF PROCEEDS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intend to use the net proceeds from the sale of the securities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O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740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DESCRIPTION OF SECURITIES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issue from time to time, in one or more offerings, the following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shares of common stock, par value $0.10 per share,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debt securities, which may be senior or subordinated, and which may be convertible into our common stock or be non-convertible;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warrants;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purchase contracts;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share of common stock of the Company registered hereunder will include the right to acquire additional common stock of the Company under any shareholder rights plan then in effect, if applicable under the terms of any such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OD"/>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960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PLAN OF DISTRIBUTION</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sell the offered securities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through underwriters or dealers;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through agents;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directly to one or more purchasers;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through a combination of any of these methods of sale.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will identify the specific plan of distribution, including any underwriters, dealers, agents, or direct purchasers and their compensation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LEMA"/>
      <w:bookmarkEnd w:id="24"/>
      <w:r>
        <w:rPr>
          <w:rFonts w:ascii="calibri;arial;sans-serif" w:hAnsi="calibri;arial;sans-serif"/>
          <w:b w:val="false"/>
          <w:i w:val="false"/>
          <w:caps w:val="false"/>
          <w:smallCaps w:val="false"/>
          <w:color w:val="000000"/>
          <w:sz w:val="16"/>
        </w:rPr>
        <w:t>​</w:t>
      </w:r>
      <w:bookmarkStart w:id="25" w:name="tEX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120" w:after="8640"/>
        <w:ind w:left="1393" w:right="0" w:hanging="0"/>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LEGAL MATTERS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80" w:before="240" w:after="283"/>
        <w:jc w:val="left"/>
        <w:rPr>
          <w:rFonts w:ascii="Arial Narrow;Helvetica;sans-serif" w:hAnsi="Arial Narrow;Helvetica;sans-serif"/>
          <w:b/>
          <w:i w:val="false"/>
          <w:caps w:val="false"/>
          <w:smallCaps w:val="false"/>
          <w:color w:val="000000"/>
          <w:sz w:val="44"/>
        </w:rPr>
      </w:pPr>
      <w:r>
        <w:rPr>
          <w:rFonts w:ascii="Arial Narrow;Helvetica;sans-serif" w:hAnsi="Arial Narrow;Helvetica;sans-serif"/>
          <w:b/>
          <w:i w:val="false"/>
          <w:caps w:val="false"/>
          <w:smallCaps w:val="false"/>
          <w:color w:val="000000"/>
          <w:spacing w:val="-10"/>
          <w:sz w:val="44"/>
        </w:rPr>
        <w:t>EXPERTS</w:t>
      </w:r>
      <w:r>
        <w:rPr>
          <w:rFonts w:ascii="Arial Narrow;Helvetica;sans-serif" w:hAnsi="Arial Narrow;Helvetica;sans-serif"/>
          <w:b/>
          <w:i w:val="false"/>
          <w:caps w:val="false"/>
          <w:smallCaps w:val="false"/>
          <w:color w:val="000000"/>
          <w:spacing w:val="9"/>
          <w:sz w:val="44"/>
        </w:rPr>
        <w:t xml:space="preserve"> </w:t>
      </w:r>
    </w:p>
    <w:p>
      <w:pPr>
        <w:pStyle w:val="TextBody"/>
        <w:bidi w:val="0"/>
        <w:spacing w:lineRule="atLeast" w:line="240" w:before="160" w:after="283"/>
        <w:jc w:val="left"/>
        <w:rPr/>
      </w:pPr>
      <w:r>
        <w:rPr>
          <w:rFonts w:ascii="Arial;Helvetica;sans-serif" w:hAnsi="Arial;Helvetica;sans-serif"/>
          <w:b w:val="false"/>
          <w:i w:val="false"/>
          <w:caps w:val="false"/>
          <w:smallCaps w:val="false"/>
          <w:color w:val="000000"/>
          <w:spacing w:val="-2"/>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24">
        <w:r>
          <w:rPr>
            <w:rStyle w:val="InternetLink"/>
          </w:rPr>
          <w:t>Annual Report on Form 10-K of Micron Technology, Inc. for the year ended August 31, 2023</w:t>
        </w:r>
      </w:hyperlink>
      <w:r>
        <w:rPr>
          <w:rFonts w:ascii="Arial;Helvetica;sans-serif" w:hAnsi="Arial;Helvetica;sans-serif"/>
          <w:b w:val="false"/>
          <w:i w:val="false"/>
          <w:caps w:val="false"/>
          <w:smallCaps w:val="false"/>
          <w:color w:val="000000"/>
          <w:spacing w:val="-2"/>
          <w:sz w:val="20"/>
        </w:rPr>
        <w:t xml:space="preserve"> have been so incorporated in reliance on the report of PricewaterhouseCoopers LLP, an independent registered public accounting firm, given on the authority of said firm as experts in auditing and accounting.</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540" w:right="0" w:hanging="0"/>
        <w:jc w:val="both"/>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277" w:after="283"/>
        <w:jc w:val="center"/>
        <w:rPr>
          <w:caps w:val="false"/>
          <w:smallCaps w:val="false"/>
          <w:color w:val="000000"/>
        </w:rPr>
      </w:pPr>
      <w:r>
        <w:rPr>
          <w:caps w:val="false"/>
          <w:smallCaps w:val="false"/>
          <w:color w:val="000000"/>
        </w:rPr>
        <w:drawing>
          <wp:inline distT="0" distB="0" distL="0" distR="0">
            <wp:extent cx="2857500" cy="600075"/>
            <wp:effectExtent l="0" t="0" r="0" b="0"/>
            <wp:docPr id="1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 descr=""/>
                    <pic:cNvPicPr>
                      <a:picLocks noChangeAspect="1" noChangeArrowheads="1"/>
                    </pic:cNvPicPr>
                  </pic:nvPicPr>
                  <pic:blipFill>
                    <a:blip r:embed="rId25"/>
                    <a:stretch>
                      <a:fillRect/>
                    </a:stretch>
                  </pic:blipFill>
                  <pic:spPr bwMode="auto">
                    <a:xfrm>
                      <a:off x="0" y="0"/>
                      <a:ext cx="2857500" cy="600075"/>
                    </a:xfrm>
                    <a:prstGeom prst="rect">
                      <a:avLst/>
                    </a:prstGeom>
                  </pic:spPr>
                </pic:pic>
              </a:graphicData>
            </a:graphic>
          </wp:inline>
        </w:drawing>
      </w:r>
      <w:r>
        <w:rPr>
          <w:caps w:val="false"/>
          <w:smallCaps w:val="false"/>
          <w:color w:val="000000"/>
        </w:rPr>
        <w:t xml:space="preserve"> </w:t>
      </w:r>
    </w:p>
    <w:p>
      <w:pPr>
        <w:pStyle w:val="TextBody"/>
        <w:bidi w:val="0"/>
        <w:spacing w:lineRule="atLeast" w:line="480" w:before="905" w:after="283"/>
        <w:jc w:val="center"/>
        <w:rPr>
          <w:rFonts w:ascii="Arial;Helvetica;sans-serif" w:hAnsi="Arial;Helvetica;sans-serif"/>
          <w:b/>
          <w:i w:val="false"/>
          <w:caps w:val="false"/>
          <w:smallCaps w:val="false"/>
          <w:color w:val="000000"/>
          <w:sz w:val="44"/>
        </w:rPr>
      </w:pPr>
      <w:r>
        <w:rPr>
          <w:rFonts w:ascii="Arial;Helvetica;sans-serif" w:hAnsi="Arial;Helvetica;sans-serif"/>
          <w:b/>
          <w:i w:val="false"/>
          <w:caps w:val="false"/>
          <w:smallCaps w:val="false"/>
          <w:color w:val="000000"/>
          <w:spacing w:val="-1"/>
          <w:sz w:val="44"/>
        </w:rPr>
        <w:t>Micron Technology, Inc.</w:t>
      </w:r>
      <w:r>
        <w:rPr>
          <w:rFonts w:ascii="Arial;Helvetica;sans-serif" w:hAnsi="Arial;Helvetica;sans-serif"/>
          <w:b/>
          <w:i w:val="false"/>
          <w:caps w:val="false"/>
          <w:smallCaps w:val="false"/>
          <w:color w:val="000000"/>
          <w:spacing w:val="9"/>
          <w:sz w:val="44"/>
        </w:rPr>
        <w:t xml:space="preserve"> </w:t>
      </w:r>
    </w:p>
    <w:p>
      <w:pPr>
        <w:pStyle w:val="TextBody"/>
        <w:bidi w:val="0"/>
        <w:spacing w:lineRule="atLeast" w:line="290" w:before="960" w:after="283"/>
        <w:jc w:val="center"/>
        <w:rPr>
          <w:rFonts w:ascii="Arial;Helvetica;sans-serif" w:hAnsi="Arial;Helvetica;sans-serif"/>
          <w:b/>
          <w:i w:val="false"/>
          <w:caps w:val="false"/>
          <w:smallCaps w:val="false"/>
          <w:color w:val="000000"/>
          <w:sz w:val="26"/>
        </w:rPr>
      </w:pPr>
      <w:r>
        <w:rPr>
          <w:rFonts w:ascii="Arial;Helvetica;sans-serif" w:hAnsi="Arial;Helvetica;sans-serif"/>
          <w:b/>
          <w:i w:val="false"/>
          <w:caps w:val="false"/>
          <w:smallCaps w:val="false"/>
          <w:color w:val="000000"/>
          <w:spacing w:val="-3"/>
          <w:sz w:val="26"/>
        </w:rPr>
        <w:t>$500,000,000 5.65</w:t>
      </w:r>
      <w:r>
        <w:rPr>
          <w:rFonts w:ascii="Arial;Helvetica;sans-serif" w:hAnsi="Arial;Helvetica;sans-serif"/>
          <w:b/>
          <w:i w:val="false"/>
          <w:caps w:val="false"/>
          <w:smallCaps w:val="false"/>
          <w:color w:val="000000"/>
          <w:spacing w:val="-1"/>
          <w:sz w:val="26"/>
        </w:rPr>
        <w:t>% Senior Notes due 20</w:t>
      </w:r>
      <w:r>
        <w:rPr>
          <w:rFonts w:ascii="Arial;Helvetica;sans-serif" w:hAnsi="Arial;Helvetica;sans-serif"/>
          <w:b/>
          <w:i w:val="false"/>
          <w:caps w:val="false"/>
          <w:smallCaps w:val="false"/>
          <w:color w:val="000000"/>
          <w:spacing w:val="-3"/>
          <w:sz w:val="26"/>
        </w:rPr>
        <w:t xml:space="preserve">32 </w:t>
      </w:r>
      <w:r>
        <w:rPr>
          <w:rFonts w:ascii="Arial;Helvetica;sans-serif" w:hAnsi="Arial;Helvetica;sans-serif"/>
          <w:b/>
          <w:i w:val="false"/>
          <w:caps w:val="false"/>
          <w:smallCaps w:val="false"/>
          <w:color w:val="000000"/>
          <w:sz w:val="26"/>
        </w:rPr>
        <w:br/>
      </w:r>
      <w:r>
        <w:rPr>
          <w:rFonts w:ascii="Arial;Helvetica;sans-serif" w:hAnsi="Arial;Helvetica;sans-serif"/>
          <w:b/>
          <w:i w:val="false"/>
          <w:caps w:val="false"/>
          <w:smallCaps w:val="false"/>
          <w:color w:val="000000"/>
          <w:spacing w:val="-3"/>
          <w:sz w:val="26"/>
        </w:rPr>
        <w:t>$1,250,000,000 6.05</w:t>
      </w:r>
      <w:r>
        <w:rPr>
          <w:rFonts w:ascii="Arial;Helvetica;sans-serif" w:hAnsi="Arial;Helvetica;sans-serif"/>
          <w:b/>
          <w:i w:val="false"/>
          <w:caps w:val="false"/>
          <w:smallCaps w:val="false"/>
          <w:color w:val="000000"/>
          <w:spacing w:val="-1"/>
          <w:sz w:val="26"/>
        </w:rPr>
        <w:t>% Senior Notes due 20</w:t>
      </w:r>
      <w:r>
        <w:rPr>
          <w:rFonts w:ascii="Arial;Helvetica;sans-serif" w:hAnsi="Arial;Helvetica;sans-serif"/>
          <w:b/>
          <w:i w:val="false"/>
          <w:caps w:val="false"/>
          <w:smallCaps w:val="false"/>
          <w:color w:val="000000"/>
          <w:spacing w:val="-3"/>
          <w:sz w:val="26"/>
        </w:rPr>
        <w:t xml:space="preserve">35 </w:t>
      </w:r>
    </w:p>
    <w:p>
      <w:pPr>
        <w:pStyle w:val="TextBody"/>
        <w:bidi w:val="0"/>
        <w:spacing w:before="17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8"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3"/>
          <w:sz w:val="24"/>
        </w:rPr>
        <w:t>PROSPECTUS SUPPLEMENT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April 24</w:t>
      </w:r>
      <w:r>
        <w:rPr>
          <w:rFonts w:ascii="Arial;Helvetica;sans-serif" w:hAnsi="Arial;Helvetica;sans-serif"/>
          <w:b/>
          <w:i w:val="false"/>
          <w:caps w:val="false"/>
          <w:smallCaps w:val="false"/>
          <w:color w:val="000000"/>
          <w:spacing w:val="-3"/>
          <w:sz w:val="20"/>
        </w:rPr>
        <w:t>, 2025</w:t>
      </w:r>
      <w:r>
        <w:rPr>
          <w:rFonts w:ascii="Arial;Helvetica;sans-serif" w:hAnsi="Arial;Helvetica;sans-serif"/>
          <w:b/>
          <w:i w:val="false"/>
          <w:caps w:val="false"/>
          <w:smallCaps w:val="false"/>
          <w:color w:val="000000"/>
          <w:spacing w:val="4"/>
          <w:sz w:val="20"/>
        </w:rPr>
        <w:t xml:space="preserve"> </w:t>
      </w:r>
    </w:p>
    <w:p>
      <w:pPr>
        <w:pStyle w:val="TextBody"/>
        <w:bidi w:val="0"/>
        <w:spacing w:before="33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4" w:after="283"/>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Joint Book-Running Managers</w:t>
      </w:r>
      <w:r>
        <w:rPr>
          <w:rFonts w:ascii="Arial;Helvetica;sans-serif" w:hAnsi="Arial;Helvetica;sans-serif"/>
          <w:b w:val="false"/>
          <w:i/>
          <w:caps w:val="false"/>
          <w:smallCaps w:val="false"/>
          <w:color w:val="000000"/>
          <w:spacing w:val="4"/>
          <w:sz w:val="20"/>
        </w:rPr>
        <w:t xml:space="preserve"> </w:t>
      </w:r>
    </w:p>
    <w:tbl>
      <w:tblPr>
        <w:tblW w:w="9665" w:type="dxa"/>
        <w:jc w:val="left"/>
        <w:tblInd w:w="540" w:type="dxa"/>
        <w:tblLayout w:type="fixed"/>
        <w:tblCellMar>
          <w:top w:w="0" w:type="dxa"/>
          <w:left w:w="0" w:type="dxa"/>
          <w:bottom w:w="0" w:type="dxa"/>
          <w:right w:w="0" w:type="dxa"/>
        </w:tblCellMar>
      </w:tblPr>
      <w:tblGrid>
        <w:gridCol w:w="124"/>
        <w:gridCol w:w="1684"/>
        <w:gridCol w:w="109"/>
        <w:gridCol w:w="109"/>
        <w:gridCol w:w="2213"/>
        <w:gridCol w:w="109"/>
        <w:gridCol w:w="109"/>
        <w:gridCol w:w="2617"/>
        <w:gridCol w:w="109"/>
        <w:gridCol w:w="109"/>
        <w:gridCol w:w="2217"/>
        <w:gridCol w:w="156"/>
      </w:tblGrid>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0"/>
              <w:jc w:val="center"/>
              <w:rPr/>
            </w:pPr>
            <w:r>
              <w:rPr>
                <w:spacing w:val="-1"/>
              </w:rPr>
              <w:t>Morgan Stanley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3" w:type="dxa"/>
            <w:tcBorders/>
            <w:vAlign w:val="center"/>
          </w:tcPr>
          <w:p>
            <w:pPr>
              <w:pStyle w:val="TableContents"/>
              <w:bidi w:val="0"/>
              <w:spacing w:before="0" w:after="0"/>
              <w:jc w:val="center"/>
              <w:rPr/>
            </w:pPr>
            <w:r>
              <w:rPr>
                <w:spacing w:val="-1"/>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17" w:type="dxa"/>
            <w:tcBorders/>
            <w:vAlign w:val="center"/>
          </w:tcPr>
          <w:p>
            <w:pPr>
              <w:pStyle w:val="TableContents"/>
              <w:bidi w:val="0"/>
              <w:spacing w:before="0" w:after="0"/>
              <w:jc w:val="center"/>
              <w:rPr/>
            </w:pPr>
            <w:r>
              <w:rPr>
                <w:spacing w:val="-3"/>
              </w:rPr>
              <w:t>HSBC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0"/>
              <w:jc w:val="center"/>
              <w:rPr/>
            </w:pPr>
            <w:r>
              <w:rPr>
                <w:spacing w:val="-1"/>
              </w:rPr>
              <w:t>Wells Fargo Securities</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0"/>
              <w:jc w:val="center"/>
              <w:rPr/>
            </w:pPr>
            <w:r>
              <w:rPr>
                <w:spacing w:val="-3"/>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3" w:type="dxa"/>
            <w:tcBorders/>
            <w:vAlign w:val="center"/>
          </w:tcPr>
          <w:p>
            <w:pPr>
              <w:pStyle w:val="TableContents"/>
              <w:bidi w:val="0"/>
              <w:spacing w:before="0" w:after="0"/>
              <w:jc w:val="center"/>
              <w:rPr/>
            </w:pPr>
            <w:r>
              <w:rPr>
                <w:spacing w:val="-1"/>
              </w:rPr>
              <w:t xml:space="preserve">CIBC Capital </w:t>
            </w:r>
            <w:r>
              <w:rPr>
                <w:spacing w:val="-3"/>
              </w:rPr>
              <w:t>M</w:t>
            </w:r>
            <w:r>
              <w:rPr>
                <w:spacing w:val="-1"/>
              </w:rPr>
              <w:t>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17" w:type="dxa"/>
            <w:tcBorders/>
            <w:vAlign w:val="center"/>
          </w:tcPr>
          <w:p>
            <w:pPr>
              <w:pStyle w:val="TableContents"/>
              <w:bidi w:val="0"/>
              <w:spacing w:before="0" w:after="0"/>
              <w:jc w:val="center"/>
              <w:rPr/>
            </w:pPr>
            <w:r>
              <w:rPr>
                <w:spacing w:val="-1"/>
              </w:rPr>
              <w:t>Credit Agricole CIB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0"/>
              <w:jc w:val="center"/>
              <w:rPr/>
            </w:pPr>
            <w:r>
              <w:rPr>
                <w:spacing w:val="-1"/>
              </w:rPr>
              <w:t>ICBC Standard Bank</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0"/>
              <w:jc w:val="center"/>
              <w:rPr/>
            </w:pPr>
            <w:r>
              <w:rPr>
                <w:spacing w:val="-1"/>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3" w:type="dxa"/>
            <w:tcBorders/>
            <w:vAlign w:val="center"/>
          </w:tcPr>
          <w:p>
            <w:pPr>
              <w:pStyle w:val="TableContents"/>
              <w:bidi w:val="0"/>
              <w:spacing w:before="0" w:after="0"/>
              <w:jc w:val="center"/>
              <w:rPr/>
            </w:pPr>
            <w:r>
              <w:rPr>
                <w:spacing w:val="-3"/>
              </w:rPr>
              <w:t>MUFG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17" w:type="dxa"/>
            <w:tcBorders/>
            <w:vAlign w:val="center"/>
          </w:tcPr>
          <w:p>
            <w:pPr>
              <w:pStyle w:val="TableContents"/>
              <w:bidi w:val="0"/>
              <w:spacing w:before="0" w:after="0"/>
              <w:jc w:val="both"/>
              <w:rPr/>
            </w:pPr>
            <w:r>
              <w:rPr>
                <w:spacing w:val="-1"/>
              </w:rPr>
              <w:t>PNC Capital 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0"/>
              <w:jc w:val="center"/>
              <w:rPr/>
            </w:pPr>
            <w:r>
              <w:rPr>
                <w:spacing w:val="-1"/>
              </w:rPr>
              <w:t>Scotiabank</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84" w:type="dxa"/>
            <w:tcBorders/>
            <w:vAlign w:val="center"/>
          </w:tcPr>
          <w:p>
            <w:pPr>
              <w:pStyle w:val="TableContents"/>
              <w:bidi w:val="0"/>
              <w:spacing w:before="0" w:after="0"/>
              <w:jc w:val="center"/>
              <w:rPr/>
            </w:pPr>
            <w:r>
              <w:rPr>
                <w:spacing w:val="-1"/>
              </w:rPr>
              <w:t>SMBC Nikko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48" w:type="dxa"/>
            <w:gridSpan w:val="4"/>
            <w:tcBorders/>
            <w:vAlign w:val="center"/>
          </w:tcPr>
          <w:p>
            <w:pPr>
              <w:pStyle w:val="TableContents"/>
              <w:bidi w:val="0"/>
              <w:spacing w:before="0" w:after="0"/>
              <w:jc w:val="center"/>
              <w:rPr/>
            </w:pPr>
            <w:r>
              <w:rPr>
                <w:spacing w:val="-1"/>
              </w:rPr>
              <w:t>TD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0"/>
              <w:jc w:val="center"/>
              <w:rPr/>
            </w:pPr>
            <w:r>
              <w:rPr>
                <w:spacing w:val="-1"/>
              </w:rPr>
              <w:t>Truist Securities</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82" w:after="283"/>
        <w:ind w:left="540" w:right="0" w:hanging="0"/>
        <w:jc w:val="center"/>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Co-Managers</w:t>
      </w:r>
    </w:p>
    <w:tbl>
      <w:tblPr>
        <w:tblW w:w="4938" w:type="dxa"/>
        <w:jc w:val="left"/>
        <w:tblInd w:w="540" w:type="dxa"/>
        <w:tblLayout w:type="fixed"/>
        <w:tblCellMar>
          <w:top w:w="0" w:type="dxa"/>
          <w:left w:w="0" w:type="dxa"/>
          <w:bottom w:w="0" w:type="dxa"/>
          <w:right w:w="0" w:type="dxa"/>
        </w:tblCellMar>
      </w:tblPr>
      <w:tblGrid>
        <w:gridCol w:w="124"/>
        <w:gridCol w:w="2056"/>
        <w:gridCol w:w="109"/>
        <w:gridCol w:w="109"/>
        <w:gridCol w:w="2386"/>
        <w:gridCol w:w="154"/>
      </w:tblGrid>
      <w:tr>
        <w:trPr/>
        <w:tc>
          <w:tcPr>
            <w:tcW w:w="124" w:type="dxa"/>
            <w:tcBorders/>
            <w:vAlign w:val="center"/>
          </w:tcPr>
          <w:p>
            <w:pPr>
              <w:pStyle w:val="TableContents"/>
              <w:bidi w:val="0"/>
              <w:spacing w:before="0" w:after="283"/>
              <w:jc w:val="left"/>
              <w:rPr/>
            </w:pPr>
            <w:r>
              <w:rPr/>
              <w:t>​</w:t>
            </w:r>
          </w:p>
        </w:tc>
        <w:tc>
          <w:tcPr>
            <w:tcW w:w="2056" w:type="dxa"/>
            <w:tcBorders/>
            <w:vAlign w:val="center"/>
          </w:tcPr>
          <w:p>
            <w:pPr>
              <w:pStyle w:val="TableContents"/>
              <w:bidi w:val="0"/>
              <w:spacing w:before="0" w:after="283"/>
              <w:jc w:val="left"/>
              <w:rPr/>
            </w:pPr>
            <w:r>
              <w:rPr>
                <w:spacing w:val="0"/>
              </w:rPr>
              <w:t>Academy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6" w:type="dxa"/>
            <w:tcBorders/>
            <w:vAlign w:val="center"/>
          </w:tcPr>
          <w:p>
            <w:pPr>
              <w:pStyle w:val="TableContents"/>
              <w:bidi w:val="0"/>
              <w:spacing w:before="0" w:after="0"/>
              <w:jc w:val="right"/>
              <w:rPr/>
            </w:pPr>
            <w:r>
              <w:rPr>
                <w:spacing w:val="0"/>
              </w:rPr>
              <w:t>Siebert Williams</w:t>
            </w:r>
            <w:r>
              <w:rPr>
                <w:spacing w:val="-3"/>
              </w:rPr>
              <w:t xml:space="preserve"> </w:t>
            </w:r>
            <w:r>
              <w:rPr>
                <w:spacing w:val="0"/>
              </w:rPr>
              <w:t>Shank</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6" w:name="tm2511594d4_ex-filingfees.htm"/>
      <w:bookmarkStart w:id="27" w:name="kstm2511594d4_exfilingfees"/>
      <w:bookmarkStart w:id="28" w:name="tm2511594d4_ex-filingfees.htm"/>
      <w:bookmarkStart w:id="29" w:name="kstm2511594d4_exfilingfees"/>
      <w:bookmarkEnd w:id="28"/>
      <w:bookmarkEnd w:id="29"/>
      <w:r>
        <w:br w:type="page"/>
      </w:r>
    </w:p>
    <w:tbl>
      <w:tblPr>
        <w:tblW w:w="3695" w:type="dxa"/>
        <w:jc w:val="left"/>
        <w:tblInd w:w="0" w:type="dxa"/>
        <w:tblLayout w:type="fixed"/>
        <w:tblCellMar>
          <w:top w:w="28" w:type="dxa"/>
          <w:left w:w="28" w:type="dxa"/>
          <w:bottom w:w="28" w:type="dxa"/>
          <w:right w:w="28" w:type="dxa"/>
        </w:tblCellMar>
      </w:tblPr>
      <w:tblGrid>
        <w:gridCol w:w="3541"/>
        <w:gridCol w:w="154"/>
      </w:tblGrid>
      <w:tr>
        <w:trPr/>
        <w:tc>
          <w:tcPr>
            <w:tcW w:w="369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54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b/>
              </w:rPr>
            </w:pPr>
            <w:r>
              <w:rPr>
                <w:b/>
              </w:rPr>
              <w:t xml:space="preserve">MICRON TECHNOLOGY INC </w:t>
            </w:r>
          </w:p>
        </w:tc>
        <w:tc>
          <w:tcPr>
            <w:tcW w:w="154" w:type="dxa"/>
            <w:tcBorders/>
          </w:tcPr>
          <w:p>
            <w:pPr>
              <w:pStyle w:val="TableContents"/>
              <w:bidi w:val="0"/>
              <w:spacing w:before="0" w:after="283"/>
              <w:jc w:val="left"/>
              <w:rPr>
                <w:sz w:val="4"/>
                <w:szCs w:val="4"/>
              </w:rPr>
            </w:pPr>
            <w:r>
              <w:rPr>
                <w:sz w:val="4"/>
                <w:szCs w:val="4"/>
              </w:rPr>
            </w:r>
          </w:p>
        </w:tc>
      </w:tr>
    </w:tbl>
    <w:tbl>
      <w:tblPr>
        <w:tblW w:w="6061" w:type="dxa"/>
        <w:jc w:val="left"/>
        <w:tblInd w:w="0" w:type="dxa"/>
        <w:tblLayout w:type="fixed"/>
        <w:tblCellMar>
          <w:top w:w="28" w:type="dxa"/>
          <w:left w:w="28" w:type="dxa"/>
          <w:bottom w:w="28" w:type="dxa"/>
          <w:right w:w="28" w:type="dxa"/>
        </w:tblCellMar>
      </w:tblPr>
      <w:tblGrid>
        <w:gridCol w:w="6061"/>
      </w:tblGrid>
      <w:tr>
        <w:trPr/>
        <w:tc>
          <w:tcPr>
            <w:tcW w:w="6061" w:type="dxa"/>
            <w:tcBorders/>
            <w:vAlign w:val="center"/>
          </w:tcPr>
          <w:p>
            <w:pPr>
              <w:pStyle w:val="TableHeading"/>
              <w:bidi w:val="0"/>
              <w:spacing w:before="0" w:after="0"/>
              <w:ind w:left="0" w:right="0" w:hanging="0"/>
              <w:jc w:val="center"/>
              <w:rPr/>
            </w:pPr>
            <w:r>
              <w:rPr>
                <w:b/>
              </w:rPr>
              <w:t>Table 1: Newly Registered and Carry Forward Securities</w:t>
            </w:r>
            <w:r>
              <w:rPr/>
              <w:t xml:space="preserve"> </w:t>
            </w:r>
          </w:p>
        </w:tc>
      </w:tr>
    </w:tbl>
    <w:tbl>
      <w:tblPr>
        <w:tblW w:w="15704"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5.65% Senior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500,000 </w:t>
            </w:r>
          </w:p>
        </w:tc>
        <w:tc>
          <w:tcPr>
            <w:tcW w:w="1156" w:type="dxa"/>
            <w:tcBorders/>
            <w:shd w:fill="E7E7E2" w:val="clear"/>
            <w:vAlign w:val="center"/>
          </w:tcPr>
          <w:p>
            <w:pPr>
              <w:pStyle w:val="TableContents"/>
              <w:bidi w:val="0"/>
              <w:spacing w:before="0" w:after="283"/>
              <w:jc w:val="right"/>
              <w:rPr/>
            </w:pPr>
            <w:r>
              <w:rPr/>
              <w:t xml:space="preserve">$ 997.28 </w:t>
            </w:r>
          </w:p>
        </w:tc>
        <w:tc>
          <w:tcPr>
            <w:tcW w:w="1966" w:type="dxa"/>
            <w:tcBorders/>
            <w:shd w:fill="E7E7E2" w:val="clear"/>
            <w:vAlign w:val="center"/>
          </w:tcPr>
          <w:p>
            <w:pPr>
              <w:pStyle w:val="TableContents"/>
              <w:bidi w:val="0"/>
              <w:spacing w:before="0" w:after="283"/>
              <w:jc w:val="right"/>
              <w:rPr/>
            </w:pPr>
            <w:r>
              <w:rPr/>
              <w:t xml:space="preserve">$ 498,640,000.00 </w:t>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$ 76,341.78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6.05% Senior Notes due 2035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1,250,000 </w:t>
            </w:r>
          </w:p>
        </w:tc>
        <w:tc>
          <w:tcPr>
            <w:tcW w:w="1156" w:type="dxa"/>
            <w:tcBorders/>
            <w:shd w:fill="E7E7E2" w:val="clear"/>
            <w:vAlign w:val="center"/>
          </w:tcPr>
          <w:p>
            <w:pPr>
              <w:pStyle w:val="TableContents"/>
              <w:bidi w:val="0"/>
              <w:spacing w:before="0" w:after="283"/>
              <w:jc w:val="right"/>
              <w:rPr/>
            </w:pPr>
            <w:r>
              <w:rPr/>
              <w:t xml:space="preserve">$ 999.00 </w:t>
            </w:r>
          </w:p>
        </w:tc>
        <w:tc>
          <w:tcPr>
            <w:tcW w:w="1966" w:type="dxa"/>
            <w:tcBorders/>
            <w:shd w:fill="E7E7E2" w:val="clear"/>
            <w:vAlign w:val="center"/>
          </w:tcPr>
          <w:p>
            <w:pPr>
              <w:pStyle w:val="TableContents"/>
              <w:bidi w:val="0"/>
              <w:spacing w:before="0" w:after="283"/>
              <w:jc w:val="right"/>
              <w:rPr/>
            </w:pPr>
            <w:r>
              <w:rPr/>
              <w:t xml:space="preserve">$ 1,248,750,000.00 </w:t>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$ 191,183.63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0" w:name="MaxAggtOfferingPrice"/>
            <w:bookmarkEnd w:id="30"/>
            <w:r>
              <w:rPr/>
              <w:t xml:space="preserve">$ 1,747,390,000.00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1" w:name="TotalFeeAmt"/>
            <w:bookmarkEnd w:id="31"/>
            <w:r>
              <w:rPr/>
              <w:t xml:space="preserve">$ 267,525.41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2" w:name="TotalPreviouslyPaid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3" w:name="TotalOffset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4" w:name="NetFeeAmt"/>
            <w:bookmarkEnd w:id="34"/>
            <w:r>
              <w:rPr/>
              <w:t xml:space="preserve">$ 267,525.41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8"/>
        <w:gridCol w:w="9987"/>
      </w:tblGrid>
      <w:tr>
        <w:trPr/>
        <w:tc>
          <w:tcPr>
            <w:tcW w:w="21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7" w:type="dxa"/>
            <w:tcBorders/>
            <w:vAlign w:val="center"/>
          </w:tcPr>
          <w:p>
            <w:pPr>
              <w:pStyle w:val="TableContents"/>
              <w:bidi w:val="0"/>
              <w:spacing w:before="0" w:after="283"/>
              <w:jc w:val="left"/>
              <w:rPr/>
            </w:pPr>
            <w:r>
              <w:rPr/>
              <w:t xml:space="preserve">1 This registration fee table shall be deemed to update the "Calculation of Registration Fee" in the Company's Registration Statement on Form S-3 (File No. 333-275276) in accordance with Rules 456(b) and 457(r) under the Securities Act of 1933, as amended. </w:t>
            </w:r>
          </w:p>
        </w:tc>
      </w:tr>
      <w:tr>
        <w:trPr/>
        <w:tc>
          <w:tcPr>
            <w:tcW w:w="218" w:type="dxa"/>
            <w:tcBorders/>
            <w:vAlign w:val="center"/>
          </w:tcPr>
          <w:p>
            <w:pPr>
              <w:pStyle w:val="TableContents"/>
              <w:bidi w:val="0"/>
              <w:spacing w:before="0" w:after="283"/>
              <w:jc w:val="left"/>
              <w:rPr>
                <w:sz w:val="4"/>
                <w:szCs w:val="4"/>
              </w:rPr>
            </w:pPr>
            <w:r>
              <w:rPr>
                <w:sz w:val="4"/>
                <w:szCs w:val="4"/>
              </w:rPr>
            </w:r>
          </w:p>
        </w:tc>
        <w:tc>
          <w:tcPr>
            <w:tcW w:w="9987" w:type="dxa"/>
            <w:tcBorders/>
            <w:vAlign w:val="center"/>
          </w:tcPr>
          <w:p>
            <w:pPr>
              <w:pStyle w:val="HorizontalLine"/>
              <w:pBdr>
                <w:bottom w:val="double" w:sz="2" w:space="0" w:color="808080"/>
              </w:pBdr>
              <w:bidi w:val="0"/>
              <w:spacing w:before="0" w:after="283"/>
              <w:jc w:val="left"/>
              <w:rPr/>
            </w:pPr>
            <w:r>
              <w:rPr/>
            </w:r>
          </w:p>
        </w:tc>
      </w:tr>
      <w:tr>
        <w:trPr/>
        <w:tc>
          <w:tcPr>
            <w:tcW w:w="21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87" w:type="dxa"/>
            <w:tcBorders/>
            <w:vAlign w:val="center"/>
          </w:tcPr>
          <w:p>
            <w:pPr>
              <w:pStyle w:val="TableContents"/>
              <w:bidi w:val="0"/>
              <w:spacing w:before="0" w:after="283"/>
              <w:jc w:val="left"/>
              <w:rPr/>
            </w:pPr>
            <w:r>
              <w:rPr/>
              <w:t xml:space="preserve">See Offering Note 1. </w:t>
            </w:r>
          </w:p>
        </w:tc>
      </w:tr>
      <w:tr>
        <w:trPr/>
        <w:tc>
          <w:tcPr>
            <w:tcW w:w="218" w:type="dxa"/>
            <w:tcBorders/>
            <w:vAlign w:val="center"/>
          </w:tcPr>
          <w:p>
            <w:pPr>
              <w:pStyle w:val="TableContents"/>
              <w:bidi w:val="0"/>
              <w:spacing w:before="0" w:after="283"/>
              <w:jc w:val="left"/>
              <w:rPr>
                <w:sz w:val="4"/>
                <w:szCs w:val="4"/>
              </w:rPr>
            </w:pPr>
            <w:r>
              <w:rPr>
                <w:sz w:val="4"/>
                <w:szCs w:val="4"/>
              </w:rPr>
            </w:r>
          </w:p>
        </w:tc>
        <w:tc>
          <w:tcPr>
            <w:tcW w:w="9987" w:type="dxa"/>
            <w:tcBorders/>
            <w:vAlign w:val="center"/>
          </w:tcPr>
          <w:p>
            <w:pPr>
              <w:pStyle w:val="HorizontalLine"/>
              <w:pBdr>
                <w:bottom w:val="double" w:sz="2" w:space="0" w:color="808080"/>
              </w:pBdr>
              <w:bidi w:val="0"/>
              <w:spacing w:before="0" w:after="283"/>
              <w:jc w:val="left"/>
              <w:rPr/>
            </w:pPr>
            <w:r>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amount of the securities to which the prospectus relates is 1,750,000. The maximum aggregate offering price of the securities to which the prospectus relates is $1,747,390,000.00.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Arial Narrow">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723125/000072312524000027/mu-20240829.htm" TargetMode="External"/><Relationship Id="rId4" Type="http://schemas.openxmlformats.org/officeDocument/2006/relationships/hyperlink" Target="http://www.sec.gov/ix?doc=/Archives/edgar/data/723125/000072312525000009/mu-20250227.htm" TargetMode="External"/><Relationship Id="rId5" Type="http://schemas.openxmlformats.org/officeDocument/2006/relationships/hyperlink" Target="http://www.sec.gov/ix?doc=/Archives/edgar/data/723125/000072312525000009/mu-20250227.htm" TargetMode="External"/><Relationship Id="rId6" Type="http://schemas.openxmlformats.org/officeDocument/2006/relationships/hyperlink" Target="http://www.sec.gov/ix?doc=/Archives/edgar/data/723125/000072312525000009/mu-20250227.htm" TargetMode="External"/><Relationship Id="rId7" Type="http://schemas.openxmlformats.org/officeDocument/2006/relationships/hyperlink" Target="http://www.sec.gov/ix?doc=/Archives/edgar/data/723125/000072312524000027/mu-20240829.htm" TargetMode="External"/><Relationship Id="rId8" Type="http://schemas.openxmlformats.org/officeDocument/2006/relationships/hyperlink" Target="http://www.sec.gov/ix?doc=/Archives/edgar/data/723125/000072312524000027/mu-20240829.htm" TargetMode="External"/><Relationship Id="rId9" Type="http://schemas.openxmlformats.org/officeDocument/2006/relationships/hyperlink" Target="http://www.sec.gov/ix?doc=/Archives/edgar/data/723125/000072312524000047/mu-20241128.htm" TargetMode="External"/><Relationship Id="rId10" Type="http://schemas.openxmlformats.org/officeDocument/2006/relationships/hyperlink" Target="http://www.sec.gov/ix?doc=/Archives/edgar/data/723125/000072312525000009/mu-20250227.htm" TargetMode="External"/><Relationship Id="rId11" Type="http://schemas.openxmlformats.org/officeDocument/2006/relationships/hyperlink" Target="http://www.sec.gov/ix?doc=/Archives/edgar/data/723125/000072312524000027/mu-20240829.htm" TargetMode="External"/><Relationship Id="rId12" Type="http://schemas.openxmlformats.org/officeDocument/2006/relationships/hyperlink" Target="http://www.sec.gov/ix?doc=/Archives/edgar/data/723125/000072312524000039/mu-20241126.htm" TargetMode="External"/><Relationship Id="rId13" Type="http://schemas.openxmlformats.org/officeDocument/2006/relationships/hyperlink" Target="http://www.sec.gov/ix?doc=/Archives/edgar/data/723125/000110465924112626/tm2425615d2_8k.htm" TargetMode="External"/><Relationship Id="rId14" Type="http://schemas.openxmlformats.org/officeDocument/2006/relationships/hyperlink" Target="http://www.sec.gov/ix?doc=/Archives/edgar/data/723125/000110465924127174/tm2430615d1_8k.htm" TargetMode="External"/><Relationship Id="rId15" Type="http://schemas.openxmlformats.org/officeDocument/2006/relationships/hyperlink" Target="http://www.sec.gov/ix?doc=/Archives/edgar/data/723125/000110465925004100/tm2425615d5_8k.htm" TargetMode="External"/><Relationship Id="rId16" Type="http://schemas.openxmlformats.org/officeDocument/2006/relationships/hyperlink" Target="http://www.sec.gov/ix?doc=/Archives/edgar/data/723125/000110465925004879/tm253757d1_8k.htm" TargetMode="External"/><Relationship Id="rId17" Type="http://schemas.openxmlformats.org/officeDocument/2006/relationships/hyperlink" Target="http://www.sec.gov/ix?doc=/Archives/edgar/data/723125/000110465925020878/tm258327d1_8k.htm" TargetMode="External"/><Relationship Id="rId18" Type="http://schemas.openxmlformats.org/officeDocument/2006/relationships/hyperlink" Target="http://www.sec.gov/ix?doc=/Archives/edgar/data/723125/000110465925022973/tm258936d1_8k.htm" TargetMode="External"/><Relationship Id="rId19" Type="http://schemas.openxmlformats.org/officeDocument/2006/relationships/image" Target="media/image2.jpeg"/><Relationship Id="rId20" Type="http://schemas.openxmlformats.org/officeDocument/2006/relationships/hyperlink" Target="http://www.sec.gov/ix?doc=/Archives/edgar/data/723125/000072312523000054/mu-20230831.htm" TargetMode="External"/><Relationship Id="rId21" Type="http://schemas.openxmlformats.org/officeDocument/2006/relationships/hyperlink" Target="http://www.sec.gov/ix?doc=/Archives/edgar/data/723125/000072312522000048/mu-20220901.htm" TargetMode="External"/><Relationship Id="rId22" Type="http://schemas.openxmlformats.org/officeDocument/2006/relationships/hyperlink" Target="http://www.sec.gov/Archives/edgar/data/723125/000072312522000063/a2022definitiveproxy.htm" TargetMode="External"/><Relationship Id="rId23" Type="http://schemas.openxmlformats.org/officeDocument/2006/relationships/hyperlink" Target="http://www.sec.gov/Archives/edgar/data/723125/000072312509000145/form8a12b-nasdaq.htm" TargetMode="External"/><Relationship Id="rId24" Type="http://schemas.openxmlformats.org/officeDocument/2006/relationships/hyperlink" Target="https://www.sec.gov/ix?doc=/Archives/edgar/data/723125/000072312523000054/mu-20230831.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33592</Words>
  <Characters>174032</Characters>
  <CharactersWithSpaces>209033</CharactersWithSpaces>
  <Paragraphs>2341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