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SCHEDULE 14A</w:t>
      </w:r>
    </w:p>
    <w:p>
      <w:pPr>
        <w:spacing w:after="0" w:line="17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w:t>
      </w:r>
    </w:p>
    <w:p>
      <w:pPr>
        <w:spacing w:after="0" w:line="31" w:lineRule="exact"/>
        <w:rPr>
          <w:sz w:val="24"/>
          <w:szCs w:val="24"/>
          <w:color w:val="auto"/>
        </w:rPr>
      </w:pPr>
    </w:p>
    <w:p>
      <w:pPr>
        <w:jc w:val="center"/>
        <w:ind w:right="-239"/>
        <w:spacing w:after="0"/>
        <w:tabs>
          <w:tab w:leader="none" w:pos="18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 w:lineRule="exact"/>
        <w:rPr>
          <w:sz w:val="24"/>
          <w:szCs w:val="24"/>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1"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 w:lineRule="exact"/>
        <w:rPr>
          <w:sz w:val="24"/>
          <w:szCs w:val="24"/>
          <w:color w:val="auto"/>
        </w:rPr>
      </w:pPr>
    </w:p>
    <w:p>
      <w:pPr>
        <w:ind w:left="1080" w:hanging="1074"/>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6" w:lineRule="exact"/>
        <w:rPr>
          <w:rFonts w:ascii="MS PGothic" w:cs="MS PGothic" w:eastAsia="MS PGothic" w:hAnsi="MS PGothic"/>
          <w:sz w:val="18"/>
          <w:szCs w:val="18"/>
          <w:color w:val="auto"/>
        </w:rPr>
      </w:pPr>
    </w:p>
    <w:p>
      <w:pPr>
        <w:ind w:left="1080" w:hanging="1074"/>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74930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9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 w:lineRule="exact"/>
        <w:rPr>
          <w:sz w:val="24"/>
          <w:szCs w:val="24"/>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6" w:lineRule="exact"/>
        <w:rPr>
          <w:rFonts w:ascii="MS PGothic" w:cs="MS PGothic" w:eastAsia="MS PGothic" w:hAnsi="MS PGothic"/>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1260" w:hanging="263"/>
        <w:spacing w:after="0" w:line="242" w:lineRule="auto"/>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5" w:lineRule="exact"/>
        <w:rPr>
          <w:rFonts w:ascii="Arial" w:cs="Arial" w:eastAsia="Arial" w:hAnsi="Arial"/>
          <w:sz w:val="18"/>
          <w:szCs w:val="18"/>
          <w:color w:val="auto"/>
        </w:rPr>
      </w:pPr>
    </w:p>
    <w:p>
      <w:pPr>
        <w:ind w:left="600" w:hanging="59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1" w:lineRule="exact"/>
        <w:rPr>
          <w:rFonts w:ascii="MS PGothic" w:cs="MS PGothic" w:eastAsia="MS PGothic" w:hAnsi="MS PGothic"/>
          <w:sz w:val="18"/>
          <w:szCs w:val="18"/>
          <w:color w:val="auto"/>
        </w:rPr>
      </w:pPr>
    </w:p>
    <w:p>
      <w:pPr>
        <w:ind w:left="600" w:right="20" w:hanging="594"/>
        <w:spacing w:after="0" w:line="221" w:lineRule="auto"/>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 w:lineRule="exact"/>
        <w:rPr>
          <w:rFonts w:ascii="Arial" w:cs="Arial" w:eastAsia="Arial" w:hAnsi="Arial"/>
          <w:sz w:val="18"/>
          <w:szCs w:val="18"/>
          <w:color w:val="auto"/>
        </w:rPr>
      </w:pPr>
    </w:p>
    <w:p>
      <w:pPr>
        <w:ind w:left="1260" w:hanging="26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20320</wp:posOffset>
            </wp:positionV>
            <wp:extent cx="6334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-133350</wp:posOffset>
            </wp:positionV>
            <wp:extent cx="6334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-287655</wp:posOffset>
            </wp:positionV>
            <wp:extent cx="6334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-441960</wp:posOffset>
            </wp:positionV>
            <wp:extent cx="6334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-1102360</wp:posOffset>
            </wp:positionV>
            <wp:extent cx="6334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4760"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-1256665</wp:posOffset>
            </wp:positionV>
            <wp:extent cx="6334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-1410970</wp:posOffset>
            </wp:positionV>
            <wp:extent cx="6334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-1676400</wp:posOffset>
            </wp:positionV>
            <wp:extent cx="6334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-1830705</wp:posOffset>
            </wp:positionV>
            <wp:extent cx="6334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4760" cy="8890"/>
                    </a:xfrm>
                    <a:prstGeom prst="rect">
                      <a:avLst/>
                    </a:prstGeom>
                    <a:noFill/>
                  </pic:spPr>
                </pic:pic>
              </a:graphicData>
            </a:graphic>
          </wp:anchor>
        </w:drawing>
      </w:r>
    </w:p>
    <w:p>
      <w:pPr>
        <w:sectPr>
          <w:pgSz w:w="11900" w:h="16838" w:orient="portrait"/>
          <w:cols w:equalWidth="0" w:num="1">
            <w:col w:w="10960"/>
          </w:cols>
          <w:pgMar w:left="340" w:top="1177" w:right="5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243205</wp:posOffset>
            </wp:positionV>
            <wp:extent cx="6746240" cy="8786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8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243205</wp:posOffset>
            </wp:positionV>
            <wp:extent cx="6549390" cy="8786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549390" cy="878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243205</wp:posOffset>
            </wp:positionV>
            <wp:extent cx="6746240" cy="8786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8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243205</wp:posOffset>
            </wp:positionV>
            <wp:extent cx="6746240" cy="8786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8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243205</wp:posOffset>
            </wp:positionV>
            <wp:extent cx="6746240" cy="8786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8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706120</wp:posOffset>
            </wp:positionV>
            <wp:extent cx="149987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jc w:val="center"/>
        <w:ind w:left="340" w:right="560"/>
        <w:spacing w:after="0" w:line="256" w:lineRule="auto"/>
        <w:rPr>
          <w:sz w:val="20"/>
          <w:szCs w:val="20"/>
          <w:color w:val="auto"/>
        </w:rPr>
      </w:pPr>
      <w:r>
        <w:rPr>
          <w:rFonts w:ascii="Arial" w:cs="Arial" w:eastAsia="Arial" w:hAnsi="Arial"/>
          <w:sz w:val="40"/>
          <w:szCs w:val="40"/>
          <w:b w:val="1"/>
          <w:bCs w:val="1"/>
          <w:color w:val="auto"/>
        </w:rPr>
        <w:t>Notice of Fiscal 2020 Annual Meeting of Shareholders January 14, 2021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w:t>
      </w:r>
    </w:p>
    <w:p>
      <w:pPr>
        <w:spacing w:after="0" w:line="228"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NOTICE IS HEREBY GIVEN that the Fiscal 2020 Annual Meeting of Shareholders of Micron Technology, Inc., a Delaware corporation, will be held virtually on January 14, 2021, at 9:00 a.m., Pacific Standard Time, for the purposes listed below. As used herein, “we,” “our,” “us,” “the Company,” and similar terms refer to Micron Technology, Inc., unless the context indicates otherwise.</w:t>
      </w:r>
    </w:p>
    <w:p>
      <w:pPr>
        <w:spacing w:after="0" w:line="19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seven directors to serve for the ensuing year and until their successors are elected and qualified;</w:t>
      </w:r>
    </w:p>
    <w:p>
      <w:pPr>
        <w:spacing w:after="0" w:line="2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 non-binding basis the compensation of our Named Executive Officers;</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our Amended and Restated 2007 Equity Incentive Plan and increase the shares reserved for issuance thereunder by 35 million;</w:t>
      </w:r>
    </w:p>
    <w:p>
      <w:pPr>
        <w:spacing w:after="0" w:line="5" w:lineRule="exact"/>
        <w:rPr>
          <w:rFonts w:ascii="Arial" w:cs="Arial" w:eastAsia="Arial" w:hAnsi="Arial"/>
          <w:sz w:val="16"/>
          <w:szCs w:val="16"/>
          <w:color w:val="auto"/>
        </w:rPr>
      </w:pPr>
    </w:p>
    <w:p>
      <w:pPr>
        <w:ind w:left="660" w:right="980" w:hanging="652"/>
        <w:spacing w:after="0" w:line="246"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our Independent Registered Public Accounting Firm for the fiscal year ending September 2, 2021; and</w:t>
      </w: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Only shareholders of record at the close of business on November 18, 2020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for the ten-day period immediately preceding the date of the meeting, upon request to corporatesecretary@micron.com, including proof of stock ownership. The list will also be available during the meeting at www.virtualshareholdermeeting.com/MU2020.</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Securities and Exchange Commission permits proxy materials to be furnished over the Internet rather than in paper form. Accordingly, unless otherwise requested, we are sending our shareholders a notice regarding the availability of this Proxy Statement, our Annual Report on Form 10-K for fiscal 2020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Due to the public health impact of the coronavirus disease 2019 (“COVID-19”) pandemic and to support the health and well-being of our employees and shareholders, we are pleased to provide shareholders with the opportunity to participate in the annual meeting online via the Internet in a virtual-only meeting format to facilitate shareholder attendance and provide a consistent experience to all shareholders regardless of location. We will provide a live webcast of the annual meeting at www.virtualshareholdermeeting.com/MU2020, where you will also be able to submit questions and vote online. You will not be able to attend the meeting at a physical location.</w:t>
      </w:r>
    </w:p>
    <w:p>
      <w:pPr>
        <w:spacing w:after="0" w:line="203"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To ensure your representation at the meeting, you are urged to vote whether or not you attend the meeting.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on the virtual meeting platform even if they have already submitted their proxy, and any previous votes that were submitted by the shareholder, whether by Internet, telephone, or mail, will be superseded by the vote that such shareholder casts at the meeting.</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Boise, Idaho</w:t>
            </w:r>
          </w:p>
        </w:tc>
        <w:tc>
          <w:tcPr>
            <w:tcW w:w="8940" w:type="dxa"/>
            <w:vAlign w:val="bottom"/>
          </w:tcPr>
          <w:p>
            <w:pPr>
              <w:ind w:left="432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r>
        <w:trPr>
          <w:trHeight w:val="185"/>
        </w:trPr>
        <w:tc>
          <w:tcPr>
            <w:tcW w:w="2000" w:type="dxa"/>
            <w:vAlign w:val="bottom"/>
            <w:vMerge w:val="continue"/>
          </w:tcPr>
          <w:p>
            <w:pPr>
              <w:spacing w:after="0"/>
              <w:rPr>
                <w:sz w:val="16"/>
                <w:szCs w:val="16"/>
                <w:color w:val="auto"/>
              </w:rPr>
            </w:pPr>
          </w:p>
        </w:tc>
        <w:tc>
          <w:tcPr>
            <w:tcW w:w="8940" w:type="dxa"/>
            <w:vAlign w:val="bottom"/>
          </w:tcPr>
          <w:p>
            <w:pPr>
              <w:ind w:left="4320"/>
              <w:spacing w:after="0" w:line="185" w:lineRule="exact"/>
              <w:rPr>
                <w:sz w:val="20"/>
                <w:szCs w:val="20"/>
                <w:color w:val="auto"/>
              </w:rPr>
            </w:pPr>
            <w:r>
              <w:rPr>
                <w:rFonts w:ascii="Arial" w:cs="Arial" w:eastAsia="Arial" w:hAnsi="Arial"/>
                <w:sz w:val="18"/>
                <w:szCs w:val="18"/>
                <w:color w:val="auto"/>
              </w:rPr>
              <w:t>Joel L. Poppen</w:t>
            </w:r>
          </w:p>
        </w:tc>
        <w:tc>
          <w:tcPr>
            <w:tcW w:w="0" w:type="dxa"/>
            <w:vAlign w:val="bottom"/>
          </w:tcPr>
          <w:p>
            <w:pPr>
              <w:spacing w:after="0"/>
              <w:rPr>
                <w:sz w:val="1"/>
                <w:szCs w:val="1"/>
                <w:color w:val="auto"/>
              </w:rPr>
            </w:pPr>
          </w:p>
        </w:tc>
      </w:tr>
      <w:tr>
        <w:trPr>
          <w:trHeight w:val="175"/>
        </w:trPr>
        <w:tc>
          <w:tcPr>
            <w:tcW w:w="2000" w:type="dxa"/>
            <w:vAlign w:val="bottom"/>
          </w:tcPr>
          <w:p>
            <w:pPr>
              <w:spacing w:after="0" w:line="176" w:lineRule="exact"/>
              <w:rPr>
                <w:sz w:val="20"/>
                <w:szCs w:val="20"/>
                <w:color w:val="auto"/>
              </w:rPr>
            </w:pPr>
            <w:r>
              <w:rPr>
                <w:rFonts w:ascii="Arial" w:cs="Arial" w:eastAsia="Arial" w:hAnsi="Arial"/>
                <w:sz w:val="18"/>
                <w:szCs w:val="18"/>
                <w:b w:val="1"/>
                <w:bCs w:val="1"/>
                <w:color w:val="auto"/>
              </w:rPr>
              <w:t>December 1, 2020</w:t>
            </w:r>
          </w:p>
        </w:tc>
        <w:tc>
          <w:tcPr>
            <w:tcW w:w="8940" w:type="dxa"/>
            <w:vAlign w:val="bottom"/>
          </w:tcPr>
          <w:p>
            <w:pPr>
              <w:ind w:left="4320"/>
              <w:spacing w:after="0" w:line="176" w:lineRule="exact"/>
              <w:rPr>
                <w:sz w:val="20"/>
                <w:szCs w:val="20"/>
                <w:color w:val="auto"/>
              </w:rPr>
            </w:pPr>
            <w:r>
              <w:rPr>
                <w:rFonts w:ascii="Arial" w:cs="Arial" w:eastAsia="Arial" w:hAnsi="Arial"/>
                <w:sz w:val="18"/>
                <w:szCs w:val="18"/>
                <w:color w:val="auto"/>
                <w:w w:val="99"/>
              </w:rPr>
              <w:t>Senior Vice President, Legal Affairs, General Counsel and</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8940" w:type="dxa"/>
            <w:vAlign w:val="bottom"/>
          </w:tcPr>
          <w:p>
            <w:pPr>
              <w:ind w:left="432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323"/>
        </w:trPr>
        <w:tc>
          <w:tcPr>
            <w:tcW w:w="2000" w:type="dxa"/>
            <w:vAlign w:val="bottom"/>
          </w:tcPr>
          <w:p>
            <w:pPr>
              <w:spacing w:after="0"/>
              <w:rPr>
                <w:sz w:val="24"/>
                <w:szCs w:val="24"/>
                <w:color w:val="auto"/>
              </w:rPr>
            </w:pPr>
          </w:p>
        </w:tc>
        <w:tc>
          <w:tcPr>
            <w:tcW w:w="8940" w:type="dxa"/>
            <w:vAlign w:val="bottom"/>
          </w:tcPr>
          <w:p>
            <w:pPr>
              <w:ind w:left="480"/>
              <w:spacing w:after="0"/>
              <w:rPr>
                <w:sz w:val="20"/>
                <w:szCs w:val="20"/>
                <w:color w:val="auto"/>
              </w:rPr>
            </w:pPr>
            <w:r>
              <w:rPr>
                <w:rFonts w:ascii="Arial" w:cs="Arial" w:eastAsia="Arial" w:hAnsi="Arial"/>
                <w:sz w:val="18"/>
                <w:szCs w:val="18"/>
                <w:b w:val="1"/>
                <w:bCs w:val="1"/>
                <w:color w:val="auto"/>
              </w:rPr>
              <w:t>YOUR VOTE IS IMPORTANT. PLEASE SUBMIT YOUR PROXY PROMPTLY.</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40"/>
          <w:szCs w:val="40"/>
          <w:b w:val="1"/>
          <w:bCs w:val="1"/>
          <w:color w:val="auto"/>
        </w:rPr>
        <w:t>TABLE OF CONTENTS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80" w:type="dxa"/>
            <w:vAlign w:val="bottom"/>
          </w:tcPr>
          <w:p>
            <w:pPr>
              <w:ind w:left="1920"/>
              <w:spacing w:after="0"/>
              <w:rPr>
                <w:sz w:val="20"/>
                <w:szCs w:val="20"/>
                <w:color w:val="auto"/>
              </w:rPr>
            </w:pPr>
            <w:r>
              <w:rPr>
                <w:rFonts w:ascii="Arial" w:cs="Arial" w:eastAsia="Arial" w:hAnsi="Arial"/>
                <w:sz w:val="16"/>
                <w:szCs w:val="16"/>
                <w:b w:val="1"/>
                <w:bCs w:val="1"/>
                <w:color w:val="auto"/>
              </w:rPr>
              <w:t>Proxy Section</w:t>
            </w:r>
          </w:p>
        </w:tc>
        <w:tc>
          <w:tcPr>
            <w:tcW w:w="680" w:type="dxa"/>
            <w:vAlign w:val="bottom"/>
            <w:gridSpan w:val="2"/>
          </w:tcPr>
          <w:p>
            <w:pPr>
              <w:ind w:left="180"/>
              <w:spacing w:after="0"/>
              <w:rPr>
                <w:sz w:val="20"/>
                <w:szCs w:val="20"/>
                <w:color w:val="auto"/>
              </w:rPr>
            </w:pPr>
            <w:r>
              <w:rPr>
                <w:rFonts w:ascii="Arial" w:cs="Arial" w:eastAsia="Arial" w:hAnsi="Arial"/>
                <w:sz w:val="16"/>
                <w:szCs w:val="16"/>
                <w:b w:val="1"/>
                <w:bCs w:val="1"/>
                <w:color w:val="auto"/>
              </w:rPr>
              <w:t>Page</w:t>
            </w:r>
          </w:p>
        </w:tc>
        <w:tc>
          <w:tcPr>
            <w:tcW w:w="4480" w:type="dxa"/>
            <w:vAlign w:val="bottom"/>
          </w:tcPr>
          <w:p>
            <w:pPr>
              <w:ind w:left="1140"/>
              <w:spacing w:after="0"/>
              <w:rPr>
                <w:sz w:val="20"/>
                <w:szCs w:val="20"/>
                <w:color w:val="auto"/>
              </w:rPr>
            </w:pPr>
            <w:r>
              <w:rPr>
                <w:rFonts w:ascii="Arial" w:cs="Arial" w:eastAsia="Arial" w:hAnsi="Arial"/>
                <w:sz w:val="16"/>
                <w:szCs w:val="16"/>
                <w:b w:val="1"/>
                <w:bCs w:val="1"/>
                <w:color w:val="auto"/>
              </w:rPr>
              <w:t>Frequently Requested Information</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4"/>
        </w:trPr>
        <w:tc>
          <w:tcPr>
            <w:tcW w:w="4980" w:type="dxa"/>
            <w:vAlign w:val="bottom"/>
            <w:tcBorders>
              <w:top w:val="single" w:sz="8" w:color="0090DA"/>
            </w:tcBorders>
          </w:tcPr>
          <w:p>
            <w:pPr>
              <w:spacing w:after="0"/>
              <w:rPr>
                <w:sz w:val="2"/>
                <w:szCs w:val="2"/>
                <w:color w:val="auto"/>
              </w:rPr>
            </w:pPr>
          </w:p>
        </w:tc>
        <w:tc>
          <w:tcPr>
            <w:tcW w:w="58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Information Concerning Solicitation and Voting</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1</w:t>
              </w:r>
            </w:hyperlink>
          </w:p>
        </w:tc>
        <w:tc>
          <w:tcPr>
            <w:tcW w:w="100" w:type="dxa"/>
            <w:vAlign w:val="bottom"/>
            <w:shd w:val="clear" w:color="auto" w:fill="DDDDDD"/>
          </w:tcPr>
          <w:p>
            <w:pPr>
              <w:spacing w:after="0"/>
              <w:rPr>
                <w:sz w:val="21"/>
                <w:szCs w:val="21"/>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Auditor Fees</w:t>
            </w:r>
          </w:p>
        </w:tc>
        <w:tc>
          <w:tcPr>
            <w:tcW w:w="1100" w:type="dxa"/>
            <w:vAlign w:val="bottom"/>
            <w:shd w:val="clear" w:color="auto" w:fill="DDDDDD"/>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70</w:t>
              </w:r>
            </w:hyperlink>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Proposal 1 – Election of Directors</w:t>
            </w:r>
          </w:p>
        </w:tc>
        <w:tc>
          <w:tcPr>
            <w:tcW w:w="580" w:type="dxa"/>
            <w:vAlign w:val="bottom"/>
          </w:tcPr>
          <w:p>
            <w:pPr>
              <w:jc w:val="right"/>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4</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Beneficial Ownership Table</w:t>
            </w:r>
          </w:p>
        </w:tc>
        <w:tc>
          <w:tcPr>
            <w:tcW w:w="1100" w:type="dxa"/>
            <w:vAlign w:val="bottom"/>
          </w:tcPr>
          <w:p>
            <w:pPr>
              <w:jc w:val="right"/>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72</w:t>
              </w:r>
            </w:hyperlink>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Certain Relationships and Related Transactions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17</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Board Leadership</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Director Compensation</w:t>
            </w:r>
          </w:p>
        </w:tc>
        <w:tc>
          <w:tcPr>
            <w:tcW w:w="580" w:type="dxa"/>
            <w:vAlign w:val="bottom"/>
          </w:tcPr>
          <w:p>
            <w:pPr>
              <w:jc w:val="right"/>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19</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CEO Pay Ratio</w:t>
            </w:r>
          </w:p>
        </w:tc>
        <w:tc>
          <w:tcPr>
            <w:tcW w:w="1100" w:type="dxa"/>
            <w:vAlign w:val="bottom"/>
          </w:tcPr>
          <w:p>
            <w:pPr>
              <w:jc w:val="right"/>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53</w:t>
              </w:r>
            </w:hyperlink>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Executive Compensation and Related Information</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22</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Compensation Consultant</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Proposal 2 – Say on Pay</w:t>
            </w:r>
          </w:p>
        </w:tc>
        <w:tc>
          <w:tcPr>
            <w:tcW w:w="580" w:type="dxa"/>
            <w:vAlign w:val="bottom"/>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22</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Director Independence</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Compensation Discussion and Analysis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24</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Director Biographies</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Compensation Committee Report</w:t>
            </w:r>
          </w:p>
        </w:tc>
        <w:tc>
          <w:tcPr>
            <w:tcW w:w="580" w:type="dxa"/>
            <w:vAlign w:val="bottom"/>
          </w:tcPr>
          <w:p>
            <w:pPr>
              <w:jc w:val="right"/>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45</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Director Skills Matrix</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Summary Compensation Table</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46</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Director Stock Ownership Guidelines</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Grants of Plan-Based Awards</w:t>
            </w:r>
          </w:p>
        </w:tc>
        <w:tc>
          <w:tcPr>
            <w:tcW w:w="580" w:type="dxa"/>
            <w:vAlign w:val="bottom"/>
          </w:tcPr>
          <w:p>
            <w:pPr>
              <w:jc w:val="right"/>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48</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Director Tenure</w:t>
            </w: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Outstanding Equity Awards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50</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Diversity, Equality, and Inclusion</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Option Exercises and Stock Vested</w:t>
            </w:r>
          </w:p>
        </w:tc>
        <w:tc>
          <w:tcPr>
            <w:tcW w:w="580" w:type="dxa"/>
            <w:vAlign w:val="bottom"/>
          </w:tcPr>
          <w:p>
            <w:pPr>
              <w:jc w:val="right"/>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52</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Financial Performance</w:t>
            </w:r>
          </w:p>
        </w:tc>
        <w:tc>
          <w:tcPr>
            <w:tcW w:w="1100" w:type="dxa"/>
            <w:vAlign w:val="bottom"/>
          </w:tcPr>
          <w:p>
            <w:pPr>
              <w:jc w:val="right"/>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24</w:t>
              </w:r>
            </w:hyperlink>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Nonqualified Deferred Compensation</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52</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Pay-for-Performance</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Chief Executive Officer Pay Ratio</w:t>
            </w:r>
          </w:p>
        </w:tc>
        <w:tc>
          <w:tcPr>
            <w:tcW w:w="580" w:type="dxa"/>
            <w:vAlign w:val="bottom"/>
          </w:tcPr>
          <w:p>
            <w:pPr>
              <w:jc w:val="right"/>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53</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Peer Group</w:t>
            </w: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Potential Payments Upon Termination or Change In Control</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53</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6"/>
                <w:szCs w:val="16"/>
                <w:color w:val="auto"/>
              </w:rPr>
              <w:t>Perks</w:t>
            </w:r>
          </w:p>
        </w:tc>
        <w:tc>
          <w:tcPr>
            <w:tcW w:w="1100" w:type="dxa"/>
            <w:vAlign w:val="bottom"/>
            <w:shd w:val="clear" w:color="auto" w:fill="DDDDDD"/>
          </w:tcPr>
          <w:p>
            <w:pPr>
              <w:jc w:val="right"/>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Equity Compensation Plan Information</w:t>
            </w:r>
          </w:p>
        </w:tc>
        <w:tc>
          <w:tcPr>
            <w:tcW w:w="580" w:type="dxa"/>
            <w:vAlign w:val="bottom"/>
          </w:tcPr>
          <w:p>
            <w:pPr>
              <w:jc w:val="right"/>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56</w:t>
              </w:r>
            </w:hyperlink>
          </w:p>
        </w:tc>
        <w:tc>
          <w:tcPr>
            <w:tcW w:w="10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6"/>
                <w:szCs w:val="16"/>
                <w:color w:val="auto"/>
              </w:rPr>
              <w:t>Related Party Transactions</w:t>
            </w:r>
          </w:p>
        </w:tc>
        <w:tc>
          <w:tcPr>
            <w:tcW w:w="1100" w:type="dxa"/>
            <w:vAlign w:val="bottom"/>
          </w:tcPr>
          <w:p>
            <w:pPr>
              <w:jc w:val="right"/>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17</w:t>
              </w:r>
            </w:hyperlink>
          </w:p>
        </w:tc>
        <w:tc>
          <w:tcPr>
            <w:tcW w:w="0" w:type="dxa"/>
            <w:vAlign w:val="bottom"/>
          </w:tcPr>
          <w:p>
            <w:pPr>
              <w:spacing w:after="0"/>
              <w:rPr>
                <w:sz w:val="1"/>
                <w:szCs w:val="1"/>
                <w:color w:val="auto"/>
              </w:rPr>
            </w:pPr>
          </w:p>
        </w:tc>
      </w:tr>
      <w:tr>
        <w:trPr>
          <w:trHeight w:val="230"/>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Delinquent Section 16(A) Reports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57</w:t>
              </w:r>
            </w:hyperlink>
          </w:p>
        </w:tc>
        <w:tc>
          <w:tcPr>
            <w:tcW w:w="100" w:type="dxa"/>
            <w:vAlign w:val="bottom"/>
            <w:shd w:val="clear" w:color="auto" w:fill="DDDDDD"/>
          </w:tcPr>
          <w:p>
            <w:pPr>
              <w:spacing w:after="0"/>
              <w:rPr>
                <w:sz w:val="19"/>
                <w:szCs w:val="19"/>
                <w:color w:val="auto"/>
              </w:rPr>
            </w:pPr>
          </w:p>
        </w:tc>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Sustainability</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line="162" w:lineRule="exact"/>
              <w:rPr>
                <w:sz w:val="20"/>
                <w:szCs w:val="20"/>
                <w:color w:val="auto"/>
              </w:rPr>
            </w:pPr>
            <w:r>
              <w:rPr>
                <w:rFonts w:ascii="Arial" w:cs="Arial" w:eastAsia="Arial" w:hAnsi="Arial"/>
                <w:sz w:val="16"/>
                <w:szCs w:val="16"/>
                <w:color w:val="auto"/>
              </w:rPr>
              <w:t>Proposal 3 - Approval of Amended and Restated 2007 Equity</w:t>
            </w:r>
          </w:p>
        </w:tc>
        <w:tc>
          <w:tcPr>
            <w:tcW w:w="580" w:type="dxa"/>
            <w:vAlign w:val="bottom"/>
            <w:vMerge w:val="restart"/>
          </w:tcPr>
          <w:p>
            <w:pPr>
              <w:jc w:val="right"/>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59</w:t>
              </w:r>
            </w:hyperlink>
          </w:p>
        </w:tc>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Incentive Plan</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DDDDDD"/>
          </w:tcPr>
          <w:p>
            <w:pPr>
              <w:ind w:left="20"/>
              <w:spacing w:after="0" w:line="162" w:lineRule="exact"/>
              <w:rPr>
                <w:sz w:val="20"/>
                <w:szCs w:val="20"/>
                <w:color w:val="auto"/>
              </w:rPr>
            </w:pPr>
            <w:r>
              <w:rPr>
                <w:rFonts w:ascii="Arial" w:cs="Arial" w:eastAsia="Arial" w:hAnsi="Arial"/>
                <w:sz w:val="16"/>
                <w:szCs w:val="16"/>
                <w:color w:val="auto"/>
              </w:rPr>
              <w:t>Approval of 35 Million Additional Shares of Common Stock for</w:t>
            </w:r>
          </w:p>
        </w:tc>
        <w:tc>
          <w:tcPr>
            <w:tcW w:w="580" w:type="dxa"/>
            <w:vAlign w:val="bottom"/>
            <w:vMerge w:val="restart"/>
            <w:shd w:val="clear" w:color="auto" w:fill="DDDDDD"/>
          </w:tcPr>
          <w:p>
            <w:pPr>
              <w:jc w:val="right"/>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59</w:t>
              </w:r>
            </w:hyperlink>
          </w:p>
        </w:tc>
        <w:tc>
          <w:tcPr>
            <w:tcW w:w="100" w:type="dxa"/>
            <w:vAlign w:val="bottom"/>
            <w:shd w:val="clear" w:color="auto" w:fill="DDDDDD"/>
          </w:tcPr>
          <w:p>
            <w:pPr>
              <w:spacing w:after="0"/>
              <w:rPr>
                <w:sz w:val="14"/>
                <w:szCs w:val="14"/>
                <w:color w:val="auto"/>
              </w:rPr>
            </w:pPr>
          </w:p>
        </w:tc>
        <w:tc>
          <w:tcPr>
            <w:tcW w:w="4480" w:type="dxa"/>
            <w:vAlign w:val="bottom"/>
            <w:shd w:val="clear" w:color="auto" w:fill="DDDDDD"/>
          </w:tcPr>
          <w:p>
            <w:pPr>
              <w:spacing w:after="0"/>
              <w:rPr>
                <w:sz w:val="14"/>
                <w:szCs w:val="14"/>
                <w:color w:val="auto"/>
              </w:rPr>
            </w:pPr>
          </w:p>
        </w:tc>
        <w:tc>
          <w:tcPr>
            <w:tcW w:w="110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Issuance under the 2007 Plan</w:t>
            </w:r>
          </w:p>
        </w:tc>
        <w:tc>
          <w:tcPr>
            <w:tcW w:w="580" w:type="dxa"/>
            <w:vAlign w:val="bottom"/>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Important Provisions of the 2007 Plan</w:t>
            </w:r>
          </w:p>
        </w:tc>
        <w:tc>
          <w:tcPr>
            <w:tcW w:w="580" w:type="dxa"/>
            <w:vAlign w:val="bottom"/>
          </w:tcPr>
          <w:p>
            <w:pPr>
              <w:jc w:val="right"/>
              <w:spacing w:after="0"/>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61</w:t>
              </w:r>
            </w:hyperlink>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DDDDDD"/>
          </w:tcPr>
          <w:p>
            <w:pPr>
              <w:ind w:left="20"/>
              <w:spacing w:after="0" w:line="162" w:lineRule="exact"/>
              <w:rPr>
                <w:sz w:val="20"/>
                <w:szCs w:val="20"/>
                <w:color w:val="auto"/>
              </w:rPr>
            </w:pPr>
            <w:r>
              <w:rPr>
                <w:rFonts w:ascii="Arial" w:cs="Arial" w:eastAsia="Arial" w:hAnsi="Arial"/>
                <w:sz w:val="16"/>
                <w:szCs w:val="16"/>
                <w:color w:val="auto"/>
              </w:rPr>
              <w:t>Summary of the 2007 Plan as Proposed to be Amended and</w:t>
            </w:r>
          </w:p>
        </w:tc>
        <w:tc>
          <w:tcPr>
            <w:tcW w:w="580" w:type="dxa"/>
            <w:vAlign w:val="bottom"/>
            <w:vMerge w:val="restart"/>
            <w:shd w:val="clear" w:color="auto" w:fill="DDDDDD"/>
          </w:tcPr>
          <w:p>
            <w:pPr>
              <w:jc w:val="right"/>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62</w:t>
              </w:r>
            </w:hyperlink>
          </w:p>
        </w:tc>
        <w:tc>
          <w:tcPr>
            <w:tcW w:w="100" w:type="dxa"/>
            <w:vAlign w:val="bottom"/>
            <w:shd w:val="clear" w:color="auto" w:fill="DDDDDD"/>
          </w:tcPr>
          <w:p>
            <w:pPr>
              <w:spacing w:after="0"/>
              <w:rPr>
                <w:sz w:val="14"/>
                <w:szCs w:val="14"/>
                <w:color w:val="auto"/>
              </w:rPr>
            </w:pPr>
          </w:p>
        </w:tc>
        <w:tc>
          <w:tcPr>
            <w:tcW w:w="4480" w:type="dxa"/>
            <w:vAlign w:val="bottom"/>
            <w:shd w:val="clear" w:color="auto" w:fill="DDDDDD"/>
          </w:tcPr>
          <w:p>
            <w:pPr>
              <w:spacing w:after="0"/>
              <w:rPr>
                <w:sz w:val="14"/>
                <w:szCs w:val="14"/>
                <w:color w:val="auto"/>
              </w:rPr>
            </w:pPr>
          </w:p>
        </w:tc>
        <w:tc>
          <w:tcPr>
            <w:tcW w:w="110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Restated</w:t>
            </w:r>
          </w:p>
        </w:tc>
        <w:tc>
          <w:tcPr>
            <w:tcW w:w="580" w:type="dxa"/>
            <w:vAlign w:val="bottom"/>
            <w:vMerge w:val="continue"/>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Certain Federal Tax Effects</w:t>
            </w:r>
          </w:p>
        </w:tc>
        <w:tc>
          <w:tcPr>
            <w:tcW w:w="58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67</w:t>
              </w:r>
            </w:hyperlink>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Benefits to Named Executive Officers and Others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68</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Audit Committee Matters</w:t>
            </w:r>
          </w:p>
        </w:tc>
        <w:tc>
          <w:tcPr>
            <w:tcW w:w="580" w:type="dxa"/>
            <w:vAlign w:val="bottom"/>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70</w:t>
              </w:r>
            </w:hyperlink>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Proposal 4 – Ratification of PWC</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70</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Principal Shareholders</w:t>
            </w:r>
          </w:p>
        </w:tc>
        <w:tc>
          <w:tcPr>
            <w:tcW w:w="580" w:type="dxa"/>
            <w:vAlign w:val="bottom"/>
          </w:tcPr>
          <w:p>
            <w:pPr>
              <w:jc w:val="right"/>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72</w:t>
              </w:r>
            </w:hyperlink>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Notice of Electronic Availability of Proxy Materials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73</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Incorporation by Reference of Certain Financial Information</w:t>
            </w:r>
          </w:p>
        </w:tc>
        <w:tc>
          <w:tcPr>
            <w:tcW w:w="580" w:type="dxa"/>
            <w:vAlign w:val="bottom"/>
          </w:tcPr>
          <w:p>
            <w:pPr>
              <w:jc w:val="right"/>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73</w:t>
              </w:r>
            </w:hyperlink>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Householding of Proxy Statements and Annual Reports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73</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Cautionary Note on Forward Looking Statements</w:t>
            </w:r>
          </w:p>
        </w:tc>
        <w:tc>
          <w:tcPr>
            <w:tcW w:w="580" w:type="dxa"/>
            <w:vAlign w:val="bottom"/>
          </w:tcPr>
          <w:p>
            <w:pPr>
              <w:jc w:val="right"/>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74</w:t>
              </w:r>
            </w:hyperlink>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Deadline for Receipt of Shareholder Proposals</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74</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0"/>
              <w:spacing w:after="0" w:line="162" w:lineRule="exact"/>
              <w:rPr>
                <w:sz w:val="20"/>
                <w:szCs w:val="20"/>
                <w:color w:val="auto"/>
              </w:rPr>
            </w:pPr>
            <w:r>
              <w:rPr>
                <w:rFonts w:ascii="Arial" w:cs="Arial" w:eastAsia="Arial" w:hAnsi="Arial"/>
                <w:sz w:val="16"/>
                <w:szCs w:val="16"/>
                <w:color w:val="auto"/>
              </w:rPr>
              <w:t>Appendix A: Micron Technology, Inc. Amended and Restated 2007</w:t>
            </w:r>
          </w:p>
        </w:tc>
        <w:tc>
          <w:tcPr>
            <w:tcW w:w="580" w:type="dxa"/>
            <w:vAlign w:val="bottom"/>
            <w:vMerge w:val="restart"/>
          </w:tcPr>
          <w:p>
            <w:pPr>
              <w:jc w:val="right"/>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75</w:t>
              </w:r>
            </w:hyperlink>
          </w:p>
        </w:tc>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Equity Incentive Plan</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Ballot</w:t>
            </w:r>
          </w:p>
        </w:tc>
        <w:tc>
          <w:tcPr>
            <w:tcW w:w="580" w:type="dxa"/>
            <w:vAlign w:val="bottom"/>
            <w:shd w:val="clear" w:color="auto" w:fill="DDDDDD"/>
          </w:tcPr>
          <w:p>
            <w:pPr>
              <w:jc w:val="right"/>
              <w:spacing w:after="0"/>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95</w:t>
              </w:r>
            </w:hyperlink>
          </w:p>
        </w:tc>
        <w:tc>
          <w:tcPr>
            <w:tcW w:w="100" w:type="dxa"/>
            <w:vAlign w:val="bottom"/>
            <w:shd w:val="clear" w:color="auto" w:fill="DDDDDD"/>
          </w:tcPr>
          <w:p>
            <w:pPr>
              <w:spacing w:after="0"/>
              <w:rPr>
                <w:sz w:val="18"/>
                <w:szCs w:val="18"/>
                <w:color w:val="auto"/>
              </w:rPr>
            </w:pPr>
          </w:p>
        </w:tc>
        <w:tc>
          <w:tcPr>
            <w:tcW w:w="448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5"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800100</wp:posOffset>
            </wp:positionV>
            <wp:extent cx="149987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114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2020 ANNUAL MEETING OF SHAREHOLDERS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14, 2021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Pacific Standard Time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INFORMATION CONCERNING SOLICITATION AND VOTING</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General</w:t>
      </w:r>
    </w:p>
    <w:p>
      <w:pPr>
        <w:spacing w:after="0" w:line="24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proxy statement (the “Proxy Statement”) is furnished in connection with the solicitation of proxies on behalf of the Board of Directors of Micron Technology, Inc. (the “Board”), for use at the Fiscal 2020 Annual Meeting of Shareholders to be held on January 14, 2021, at</w:t>
      </w:r>
    </w:p>
    <w:p>
      <w:pPr>
        <w:ind w:right="20"/>
        <w:spacing w:after="0" w:line="254" w:lineRule="auto"/>
        <w:rPr>
          <w:sz w:val="20"/>
          <w:szCs w:val="20"/>
          <w:color w:val="auto"/>
        </w:rPr>
      </w:pPr>
      <w:r>
        <w:rPr>
          <w:rFonts w:ascii="Arial" w:cs="Arial" w:eastAsia="Arial" w:hAnsi="Arial"/>
          <w:sz w:val="18"/>
          <w:szCs w:val="18"/>
          <w:color w:val="auto"/>
        </w:rPr>
        <w:t>9:00 a.m., Pacific Standard Time, or at any adjournment or postponement thereof (the “Annual Meeting”). The purpose of the Annual Meeting is set forth herein and in the accompanying Notice of Fiscal 2020 Annual Meeting of Shareholders. The Annual Meeting will be held via a live webcast, and there will not be a physical meeting location. You will be able to attend the annual meeting online and to vote your shares electronically on the virtual meeting platform by visiting www.virtualshareholdermeeting.com/MU2020 and entering the 16-digit control number included in our Notice, on your proxy card, or in the instructions that accompanied your proxy materials.</w:t>
      </w: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15 minutes before the Annual Meeting on January 14, 2021. If you have difficulty accessing the meeting, please call the technical support number that will be posted on the virtual Annual Meeting login page. We will have technicians available to assist you.</w:t>
      </w:r>
    </w:p>
    <w:p>
      <w:pPr>
        <w:spacing w:after="0" w:line="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This Proxy Statement and related proxy card are first being distributed on or about December 1, 2020, to all shareholders entitled to vote at the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52" w:lineRule="exact"/>
        <w:rPr>
          <w:sz w:val="20"/>
          <w:szCs w:val="20"/>
          <w:color w:val="auto"/>
        </w:rPr>
      </w:pPr>
    </w:p>
    <w:p>
      <w:pPr>
        <w:ind w:left="660" w:right="380" w:hanging="328"/>
        <w:spacing w:after="0" w:line="29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using the instructions included in the notice regarding the Internet availability of proxy materials, the proxy card or voting instruction card;</w:t>
      </w:r>
    </w:p>
    <w:p>
      <w:pPr>
        <w:spacing w:after="0" w:line="171" w:lineRule="exact"/>
        <w:rPr>
          <w:rFonts w:ascii="Arial" w:cs="Arial" w:eastAsia="Arial" w:hAnsi="Arial"/>
          <w:sz w:val="18"/>
          <w:szCs w:val="18"/>
          <w:color w:val="auto"/>
        </w:rPr>
      </w:pPr>
    </w:p>
    <w:p>
      <w:pPr>
        <w:ind w:left="660" w:right="660" w:hanging="328"/>
        <w:spacing w:after="0" w:line="29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by telephone using the instructions on the proxy card or voting instruction card if you received a paper copy of the proxy materials;</w:t>
      </w:r>
    </w:p>
    <w:p>
      <w:pPr>
        <w:spacing w:after="0" w:line="171" w:lineRule="exact"/>
        <w:rPr>
          <w:rFonts w:ascii="Arial" w:cs="Arial" w:eastAsia="Arial" w:hAnsi="Arial"/>
          <w:sz w:val="18"/>
          <w:szCs w:val="18"/>
          <w:color w:val="auto"/>
        </w:rPr>
      </w:pPr>
    </w:p>
    <w:p>
      <w:pPr>
        <w:ind w:left="660" w:right="160" w:hanging="328"/>
        <w:spacing w:after="0" w:line="29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meeting and vote electronically on the virtual meeting platform.</w:t>
      </w:r>
    </w:p>
    <w:p>
      <w:pPr>
        <w:spacing w:after="0" w:line="252"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13, 2021.</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Record Date</w:t>
      </w:r>
    </w:p>
    <w:p>
      <w:pPr>
        <w:spacing w:after="0" w:line="247" w:lineRule="exact"/>
        <w:rPr>
          <w:sz w:val="20"/>
          <w:szCs w:val="20"/>
          <w:color w:val="auto"/>
        </w:rPr>
      </w:pPr>
    </w:p>
    <w:p>
      <w:pPr>
        <w:jc w:val="both"/>
        <w:ind w:right="40"/>
        <w:spacing w:after="0" w:line="292" w:lineRule="auto"/>
        <w:rPr>
          <w:sz w:val="20"/>
          <w:szCs w:val="20"/>
          <w:color w:val="auto"/>
        </w:rPr>
      </w:pPr>
      <w:r>
        <w:rPr>
          <w:rFonts w:ascii="Arial" w:cs="Arial" w:eastAsia="Arial" w:hAnsi="Arial"/>
          <w:sz w:val="18"/>
          <w:szCs w:val="18"/>
          <w:color w:val="auto"/>
        </w:rPr>
        <w:t>Shareholders of record at the close of business on November 18, 2020 (the “Record Date”) are entitled to receive notice of and to vote at the meeting.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80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1</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0090DA"/>
        </w:rPr>
        <w:t>Revocability of Proxy</w:t>
      </w:r>
    </w:p>
    <w:p>
      <w:pPr>
        <w:spacing w:after="0" w:line="2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online or by delivering to us a written notice of revocation at Micron Technology, Inc., Attn.: Corporate Secretary, 8000 South Federal Way, Boise, Idaho 83716-9632 or corporatesecretary@micron.com or another duly executed proxy bearing a date later than the earlier given proxy but prior to the date of the Annual Meeting.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Solicitation</w:t>
      </w:r>
    </w:p>
    <w:p>
      <w:pPr>
        <w:spacing w:after="0" w:line="24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Outstanding Shares</w:t>
      </w:r>
    </w:p>
    <w:p>
      <w:pPr>
        <w:spacing w:after="0" w:line="247"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We have one class of stock outstanding, common stock, $0.10 par value per share (the “Common Stock”). As of the Record Date, 1,116,908,701 shares of Common Stock were issued and outstanding and entitled to vote.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Voting Rights and Required Vote</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Delaware General Corporation Law, our Restated Certificate of Incorporation, and our Amended and Restated Bylaws (“Bylaws”), each shareholder will be entitled to one vote for each share of Common Stock held at the Record Date for all matters. The required quorum for the transaction of business at the Annual Meeting is a majority in voting power of shares of our Common Stock issued and outstanding on the Record Date and entitled to vote thereat, present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 but such non-votes will not be included in the tabulation of the voting results with respect to voting results for the election of directors and other non-routine matters.</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the election of directors or other non-routine matters unless the broker or nominee receives specific voting instructions from the beneficial owner of the shares. As a result, absent specific instructions, brokers or nominees may not vote a beneficial owner’s shares on Proposals 1, 2, and 3 and such shares will be considered “broker non-votes” for such proposals. Brokers or nominees may vote a beneficial owner’s shares on Proposal 4.</w:t>
      </w:r>
    </w:p>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Directors will be elected if the number of votes “FOR” a particular director exceeds the number of votes “AGAINST” that same director, with abstentions and broker-non votes not counted as a vote “FOR” or “AGAINST” that director’s election. With respect to all other items of business, the “FOR” vote of the holders of a majority of the voting power of the shares of Common Stock attending online in person or represented by proxy is required in order for such matter to be considered approved by the shareholders. For such non-routine matters, abstentions will have the same effect as voting against such items of business, but broker non-votes will not be counted in the tabulation of results. For routine matters, abstentions will have the same effect as voting against such items of business, and broker non-votes will be counted in the tabulation of results.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Voting of Proxies</w:t>
      </w:r>
    </w:p>
    <w:p>
      <w:pPr>
        <w:spacing w:after="0" w:line="247"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color w:val="auto"/>
        </w:rPr>
        <w:t xml:space="preserve">The shares of Common Stock represented by all properly executed proxies received by 11:59 P.M. Eastern Standard Time, on January 13, 2021 will be voted in accordance with the directions given by the shareholders. </w:t>
      </w:r>
      <w:r>
        <w:rPr>
          <w:rFonts w:ascii="Arial" w:cs="Arial" w:eastAsia="Arial" w:hAnsi="Arial"/>
          <w:sz w:val="18"/>
          <w:szCs w:val="18"/>
          <w:b w:val="1"/>
          <w:bCs w:val="1"/>
          <w:color w:val="auto"/>
        </w:rPr>
        <w:t>If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 instructions are given with respect to a properly executed proxy timely received by us, the shares of Common</w:t>
      </w:r>
    </w:p>
    <w:p>
      <w:pPr>
        <w:spacing w:after="0" w:line="3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 substitutes as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 non-binding resolution to approve the compensation of our Named Executive Officers as described in this Proxy Statement,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our Amended and Restated 2007 Equity Incentive Plan and an increase in the shares reserved thereunder by 35 million, (iv)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September 2, 2021, and (v) in the discretion of the proxy holders for such other business which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3</w:t>
      </w:r>
    </w:p>
    <w:p>
      <w:pPr>
        <w:sectPr>
          <w:pgSz w:w="11900" w:h="16838" w:orient="portrait"/>
          <w:cols w:equalWidth="0" w:num="1">
            <w:col w:w="11240"/>
          </w:cols>
          <w:pgMar w:left="320" w:top="1087"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36"/>
          <w:szCs w:val="36"/>
          <w:b w:val="1"/>
          <w:bCs w:val="1"/>
          <w:color w:val="FFFFFF"/>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9" w:lineRule="exact"/>
        <w:rPr>
          <w:sz w:val="20"/>
          <w:szCs w:val="20"/>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All directors elected annually by a simple majority of votes cast</w:t>
      </w:r>
    </w:p>
    <w:p>
      <w:pPr>
        <w:spacing w:after="0" w:line="33" w:lineRule="exact"/>
        <w:rPr>
          <w:rFonts w:ascii="Arial" w:cs="Arial" w:eastAsia="Arial" w:hAnsi="Arial"/>
          <w:sz w:val="18"/>
          <w:szCs w:val="18"/>
          <w:b w:val="1"/>
          <w:bCs w:val="1"/>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Board Chairman</w:t>
      </w:r>
    </w:p>
    <w:p>
      <w:pPr>
        <w:spacing w:after="0" w:line="9" w:lineRule="exact"/>
        <w:rPr>
          <w:rFonts w:ascii="Arial" w:cs="Arial" w:eastAsia="Arial" w:hAnsi="Arial"/>
          <w:sz w:val="18"/>
          <w:szCs w:val="18"/>
          <w:b w:val="1"/>
          <w:bCs w:val="1"/>
          <w:color w:val="auto"/>
        </w:rPr>
      </w:pPr>
    </w:p>
    <w:p>
      <w:pPr>
        <w:ind w:left="680" w:hanging="330"/>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Six of seven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4911725"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Board of Directors is presenting seven nominees for election as directors at the Annual Meeting. Each of the nominees is currently a member of our Board and, other than Ms. Dugle (who joined our Board in August 2020), was elected to our Board at the 2019 annual meeting of shareholders. Each director elected at the Annual Meeting will serve until our 2021 annual meeting of shareholders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4911725"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Each director nominee will be elected as a director if such nominee receives the affirmative vote of a majority of the votes cast with respect to his or her election (in other words, the number of shares voted “FOR” a director must exceed the number of votes cast “AGAINST” that director).</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The Governance and Sustainability Committee will then make a recommendation to our Board on whether to accept or reject the resignation or whether other action should be taken. Our Board will act on the Governance and Sustainability Committee’s recommendation and publicly disclose its decision and the rationale behind it within 90 days from the date the election results are certified. Any director who tenders his or her resignation will not participate in the Board’s or the Governance and Sustainability Committee’s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4911725"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DIRECTOR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Robert L. Bailey has indicated that he has decided not to stand for re-election to the Board. As a result, he will resign from the Board immediately prior to the upcoming Annual Meeting, and we will reduce the size of the Board to seven members. Mr. Bailey is currently a member of the Audit and Finance Committees. Existing directors may be appointed to fill the vacancies on these committees upon Mr. Bailey’s resignation from the Board. Mr. Bailey’s decision to resign was not the result of any disagreement with the Company or the Board on any matter relating to our operations, policies, or practices. We appreciate Mr. Bailey’s contributions to the Company and wish him success in his future endeavors.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087"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0090DA"/>
        </w:rPr>
        <w:t>Nominees For Election</w:t>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Richard M.</w:t>
      </w:r>
    </w:p>
    <w:p>
      <w:pPr>
        <w:ind w:left="20"/>
        <w:spacing w:after="0"/>
        <w:rPr>
          <w:sz w:val="20"/>
          <w:szCs w:val="20"/>
          <w:color w:val="auto"/>
        </w:rPr>
      </w:pPr>
      <w:r>
        <w:rPr>
          <w:rFonts w:ascii="Arial" w:cs="Arial" w:eastAsia="Arial" w:hAnsi="Arial"/>
          <w:sz w:val="36"/>
          <w:szCs w:val="36"/>
          <w:b w:val="1"/>
          <w:bCs w:val="1"/>
          <w:color w:val="auto"/>
        </w:rPr>
        <w:t>Beyer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8" w:lineRule="exact"/>
        <w:rPr>
          <w:sz w:val="20"/>
          <w:szCs w:val="20"/>
          <w:color w:val="auto"/>
        </w:rPr>
      </w:pPr>
    </w:p>
    <w:p>
      <w:pPr>
        <w:ind w:left="340" w:right="300" w:hanging="228"/>
        <w:spacing w:after="0" w:line="222" w:lineRule="auto"/>
        <w:tabs>
          <w:tab w:leader="none" w:pos="34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Chairman and Chief Executive Officer of Freescale Semiconductor, Inc. from 2008 through June 2012; director from 2008 to 2013.</w:t>
      </w:r>
    </w:p>
    <w:p>
      <w:pPr>
        <w:spacing w:after="0" w:line="28" w:lineRule="exact"/>
        <w:rPr>
          <w:rFonts w:ascii="Arial" w:cs="Arial" w:eastAsia="Arial" w:hAnsi="Arial"/>
          <w:sz w:val="25"/>
          <w:szCs w:val="25"/>
          <w:b w:val="1"/>
          <w:bCs w:val="1"/>
          <w:color w:val="00A3E1"/>
        </w:rPr>
      </w:pPr>
    </w:p>
    <w:p>
      <w:pPr>
        <w:ind w:left="340" w:right="120" w:hanging="228"/>
        <w:spacing w:after="0" w:line="216" w:lineRule="auto"/>
        <w:tabs>
          <w:tab w:leader="none" w:pos="34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Prior to Freescale, Mr. Beyer was President, Chief Executive Officer and a director of Intersil Corporation from 2002 to 2008.</w:t>
      </w:r>
    </w:p>
    <w:p>
      <w:pPr>
        <w:spacing w:after="0" w:line="27" w:lineRule="exact"/>
        <w:rPr>
          <w:rFonts w:ascii="Arial" w:cs="Arial" w:eastAsia="Arial" w:hAnsi="Arial"/>
          <w:sz w:val="25"/>
          <w:szCs w:val="25"/>
          <w:b w:val="1"/>
          <w:bCs w:val="1"/>
          <w:color w:val="00A3E1"/>
        </w:rPr>
      </w:pPr>
    </w:p>
    <w:p>
      <w:pPr>
        <w:ind w:left="340" w:right="120" w:hanging="228"/>
        <w:spacing w:after="0" w:line="226" w:lineRule="auto"/>
        <w:tabs>
          <w:tab w:leader="none" w:pos="340" w:val="left"/>
        </w:tabs>
        <w:numPr>
          <w:ilvl w:val="0"/>
          <w:numId w:val="9"/>
        </w:numPr>
        <w:rPr>
          <w:rFonts w:ascii="Arial" w:cs="Arial" w:eastAsia="Arial" w:hAnsi="Arial"/>
          <w:sz w:val="24"/>
          <w:szCs w:val="24"/>
          <w:b w:val="1"/>
          <w:bCs w:val="1"/>
          <w:color w:val="00A3E1"/>
        </w:rPr>
      </w:pPr>
      <w:r>
        <w:rPr>
          <w:rFonts w:ascii="Arial" w:cs="Arial" w:eastAsia="Arial" w:hAnsi="Arial"/>
          <w:sz w:val="17"/>
          <w:szCs w:val="17"/>
          <w:color w:val="auto"/>
        </w:rPr>
        <w:t>Mr. Beyer previously served in executive management roles at FVC.com, VLSI Technology, and National Semiconductor Corporation, and served three years as an officer in the United States Marine Corps.</w:t>
      </w:r>
    </w:p>
    <w:p>
      <w:pPr>
        <w:spacing w:after="0" w:line="15" w:lineRule="exact"/>
        <w:rPr>
          <w:rFonts w:ascii="Arial" w:cs="Arial" w:eastAsia="Arial" w:hAnsi="Arial"/>
          <w:sz w:val="24"/>
          <w:szCs w:val="24"/>
          <w:b w:val="1"/>
          <w:bCs w:val="1"/>
          <w:color w:val="00A3E1"/>
        </w:rPr>
      </w:pPr>
    </w:p>
    <w:p>
      <w:pPr>
        <w:ind w:left="340" w:right="500" w:hanging="228"/>
        <w:spacing w:after="0" w:line="216" w:lineRule="auto"/>
        <w:tabs>
          <w:tab w:leader="none" w:pos="340" w:val="left"/>
        </w:tabs>
        <w:numPr>
          <w:ilvl w:val="0"/>
          <w:numId w:val="9"/>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Beyer served on the Board of Directors of Microsemi Corporation and Analog Devices, Inc.</w:t>
      </w:r>
    </w:p>
    <w:p>
      <w:pPr>
        <w:spacing w:after="0" w:line="1" w:lineRule="exact"/>
        <w:rPr>
          <w:sz w:val="20"/>
          <w:szCs w:val="20"/>
          <w:color w:val="auto"/>
        </w:rPr>
      </w:pPr>
    </w:p>
    <w:p>
      <w:pPr>
        <w:sectPr>
          <w:pgSz w:w="11900" w:h="16838" w:orient="portrait"/>
          <w:cols w:equalWidth="0" w:num="2">
            <w:col w:w="1860" w:space="600"/>
            <w:col w:w="8780"/>
          </w:cols>
          <w:pgMar w:left="320" w:top="1089" w:right="33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6" w:lineRule="exact"/>
        <w:rPr>
          <w:sz w:val="20"/>
          <w:szCs w:val="20"/>
          <w:color w:val="auto"/>
        </w:rPr>
      </w:pPr>
    </w:p>
    <w:p>
      <w:pPr>
        <w:ind w:left="2800" w:hanging="228"/>
        <w:spacing w:after="0"/>
        <w:tabs>
          <w:tab w:leader="none" w:pos="2800" w:val="left"/>
        </w:tabs>
        <w:numPr>
          <w:ilvl w:val="0"/>
          <w:numId w:val="10"/>
        </w:numPr>
        <w:rPr>
          <w:rFonts w:ascii="Arial" w:cs="Arial" w:eastAsia="Arial" w:hAnsi="Arial"/>
          <w:sz w:val="25"/>
          <w:szCs w:val="25"/>
          <w:b w:val="1"/>
          <w:bCs w:val="1"/>
          <w:color w:val="00A3E1"/>
        </w:rPr>
      </w:pPr>
      <w:r>
        <w:rPr>
          <w:rFonts w:ascii="Arial" w:cs="Arial" w:eastAsia="Arial" w:hAnsi="Arial"/>
          <w:sz w:val="18"/>
          <w:szCs w:val="18"/>
          <w:color w:val="auto"/>
        </w:rPr>
        <w:t>Chairman, Dialog Semiconductor</w:t>
      </w:r>
    </w:p>
    <w:p>
      <w:pPr>
        <w:spacing w:after="0" w:line="22" w:lineRule="exact"/>
        <w:rPr>
          <w:rFonts w:ascii="Arial" w:cs="Arial" w:eastAsia="Arial" w:hAnsi="Arial"/>
          <w:sz w:val="25"/>
          <w:szCs w:val="25"/>
          <w:b w:val="1"/>
          <w:bCs w:val="1"/>
          <w:color w:val="00A3E1"/>
        </w:rPr>
      </w:pPr>
    </w:p>
    <w:p>
      <w:pPr>
        <w:ind w:left="2460"/>
        <w:spacing w:after="0"/>
        <w:rPr>
          <w:rFonts w:ascii="Arial" w:cs="Arial" w:eastAsia="Arial" w:hAnsi="Arial"/>
          <w:sz w:val="25"/>
          <w:szCs w:val="25"/>
          <w:b w:val="1"/>
          <w:bCs w:val="1"/>
          <w:color w:val="00A3E1"/>
        </w:rPr>
      </w:pPr>
      <w:r>
        <w:rPr>
          <w:rFonts w:ascii="Arial" w:cs="Arial" w:eastAsia="Arial" w:hAnsi="Arial"/>
          <w:sz w:val="18"/>
          <w:szCs w:val="18"/>
          <w:b w:val="1"/>
          <w:bCs w:val="1"/>
          <w:color w:val="00A3E1"/>
        </w:rPr>
        <w:t>Board Skills, Qualifications, and Expertise</w:t>
      </w:r>
    </w:p>
    <w:p>
      <w:pPr>
        <w:spacing w:after="0" w:line="41" w:lineRule="exact"/>
        <w:rPr>
          <w:sz w:val="20"/>
          <w:szCs w:val="20"/>
          <w:color w:val="auto"/>
        </w:rPr>
      </w:pPr>
    </w:p>
    <w:p>
      <w:pPr>
        <w:ind w:left="2460" w:right="80"/>
        <w:spacing w:after="0" w:line="244"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Beyer to serve as a member of our Board of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72</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2013</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Governance and Sustainability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Lynn A.</w:t>
      </w:r>
    </w:p>
    <w:p>
      <w:pPr>
        <w:ind w:left="20"/>
        <w:spacing w:after="0"/>
        <w:rPr>
          <w:sz w:val="20"/>
          <w:szCs w:val="20"/>
          <w:color w:val="auto"/>
        </w:rPr>
      </w:pPr>
      <w:r>
        <w:rPr>
          <w:rFonts w:ascii="Arial" w:cs="Arial" w:eastAsia="Arial" w:hAnsi="Arial"/>
          <w:sz w:val="36"/>
          <w:szCs w:val="36"/>
          <w:b w:val="1"/>
          <w:bCs w:val="1"/>
          <w:color w:val="auto"/>
        </w:rPr>
        <w:t>Dugle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8" w:lineRule="exact"/>
        <w:rPr>
          <w:sz w:val="20"/>
          <w:szCs w:val="20"/>
          <w:color w:val="auto"/>
        </w:rPr>
      </w:pPr>
    </w:p>
    <w:p>
      <w:pPr>
        <w:ind w:left="340" w:right="300" w:hanging="228"/>
        <w:spacing w:after="0" w:line="216"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Chairman, Chief Executive Officer, and President of Engility Holdings Inc., an NYSE-listed engineering services firm, from 2016 to 2019.</w:t>
      </w:r>
    </w:p>
    <w:p>
      <w:pPr>
        <w:spacing w:after="0" w:line="40" w:lineRule="exact"/>
        <w:rPr>
          <w:rFonts w:ascii="Arial" w:cs="Arial" w:eastAsia="Arial" w:hAnsi="Arial"/>
          <w:sz w:val="25"/>
          <w:szCs w:val="25"/>
          <w:b w:val="1"/>
          <w:bCs w:val="1"/>
          <w:color w:val="00A3E1"/>
        </w:rPr>
      </w:pPr>
    </w:p>
    <w:p>
      <w:pPr>
        <w:ind w:left="340" w:right="480" w:hanging="228"/>
        <w:spacing w:after="0" w:line="216" w:lineRule="auto"/>
        <w:tabs>
          <w:tab w:leader="none" w:pos="340" w:val="left"/>
        </w:tabs>
        <w:numPr>
          <w:ilvl w:val="0"/>
          <w:numId w:val="11"/>
        </w:numPr>
        <w:rPr>
          <w:rFonts w:ascii="Arial" w:cs="Arial" w:eastAsia="Arial" w:hAnsi="Arial"/>
          <w:sz w:val="25"/>
          <w:szCs w:val="25"/>
          <w:b w:val="1"/>
          <w:bCs w:val="1"/>
          <w:color w:val="00A3E1"/>
        </w:rPr>
      </w:pPr>
      <w:r>
        <w:rPr>
          <w:rFonts w:ascii="Arial" w:cs="Arial" w:eastAsia="Arial" w:hAnsi="Arial"/>
          <w:sz w:val="18"/>
          <w:szCs w:val="18"/>
          <w:color w:val="auto"/>
        </w:rPr>
        <w:t>Prior to Engility, Ms. Dugle was Vice President, President of Intelligence and Information Systems of Raytheon Company from 2009 to 2015.</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34" w:lineRule="exact"/>
        <w:rPr>
          <w:sz w:val="20"/>
          <w:szCs w:val="20"/>
          <w:color w:val="auto"/>
        </w:rPr>
      </w:pPr>
    </w:p>
    <w:p>
      <w:pPr>
        <w:ind w:left="340" w:hanging="228"/>
        <w:spacing w:after="0"/>
        <w:tabs>
          <w:tab w:leader="none" w:pos="340" w:val="left"/>
        </w:tabs>
        <w:numPr>
          <w:ilvl w:val="0"/>
          <w:numId w:val="12"/>
        </w:numPr>
        <w:rPr>
          <w:rFonts w:ascii="Arial" w:cs="Arial" w:eastAsia="Arial" w:hAnsi="Arial"/>
          <w:sz w:val="25"/>
          <w:szCs w:val="25"/>
          <w:b w:val="1"/>
          <w:bCs w:val="1"/>
          <w:color w:val="00A3E1"/>
        </w:rPr>
      </w:pPr>
      <w:r>
        <w:rPr>
          <w:rFonts w:ascii="Arial" w:cs="Arial" w:eastAsia="Arial" w:hAnsi="Arial"/>
          <w:sz w:val="18"/>
          <w:szCs w:val="18"/>
          <w:color w:val="auto"/>
        </w:rPr>
        <w:t>State Street Corporation</w:t>
      </w:r>
    </w:p>
    <w:p>
      <w:pPr>
        <w:spacing w:after="0" w:line="36" w:lineRule="exact"/>
        <w:rPr>
          <w:rFonts w:ascii="Arial" w:cs="Arial" w:eastAsia="Arial" w:hAnsi="Arial"/>
          <w:sz w:val="25"/>
          <w:szCs w:val="25"/>
          <w:b w:val="1"/>
          <w:bCs w:val="1"/>
          <w:color w:val="00A3E1"/>
        </w:rPr>
      </w:pPr>
    </w:p>
    <w:p>
      <w:pPr>
        <w:ind w:left="340" w:hanging="228"/>
        <w:spacing w:after="0" w:line="217" w:lineRule="auto"/>
        <w:tabs>
          <w:tab w:leader="none" w:pos="340" w:val="left"/>
        </w:tabs>
        <w:numPr>
          <w:ilvl w:val="0"/>
          <w:numId w:val="12"/>
        </w:numPr>
        <w:rPr>
          <w:rFonts w:ascii="Arial" w:cs="Arial" w:eastAsia="Arial" w:hAnsi="Arial"/>
          <w:sz w:val="25"/>
          <w:szCs w:val="25"/>
          <w:b w:val="1"/>
          <w:bCs w:val="1"/>
          <w:color w:val="00A3E1"/>
        </w:rPr>
      </w:pPr>
      <w:r>
        <w:rPr>
          <w:rFonts w:ascii="Arial" w:cs="Arial" w:eastAsia="Arial" w:hAnsi="Arial"/>
          <w:sz w:val="18"/>
          <w:szCs w:val="18"/>
          <w:color w:val="auto"/>
        </w:rPr>
        <w:t>TE Connectivity Ltd.</w:t>
      </w:r>
    </w:p>
    <w:p>
      <w:pPr>
        <w:spacing w:after="0" w:line="37" w:lineRule="exact"/>
        <w:rPr>
          <w:rFonts w:ascii="Arial" w:cs="Arial" w:eastAsia="Arial" w:hAnsi="Arial"/>
          <w:sz w:val="25"/>
          <w:szCs w:val="25"/>
          <w:b w:val="1"/>
          <w:bCs w:val="1"/>
          <w:color w:val="00A3E1"/>
        </w:rPr>
      </w:pPr>
    </w:p>
    <w:p>
      <w:pPr>
        <w:ind w:left="340" w:hanging="228"/>
        <w:spacing w:after="0" w:line="217" w:lineRule="auto"/>
        <w:tabs>
          <w:tab w:leader="none" w:pos="340" w:val="left"/>
        </w:tabs>
        <w:numPr>
          <w:ilvl w:val="0"/>
          <w:numId w:val="12"/>
        </w:numPr>
        <w:rPr>
          <w:rFonts w:ascii="Arial" w:cs="Arial" w:eastAsia="Arial" w:hAnsi="Arial"/>
          <w:sz w:val="25"/>
          <w:szCs w:val="25"/>
          <w:b w:val="1"/>
          <w:bCs w:val="1"/>
          <w:color w:val="00A3E1"/>
        </w:rPr>
      </w:pPr>
      <w:r>
        <w:rPr>
          <w:rFonts w:ascii="Arial" w:cs="Arial" w:eastAsia="Arial" w:hAnsi="Arial"/>
          <w:sz w:val="18"/>
          <w:szCs w:val="18"/>
          <w:color w:val="auto"/>
        </w:rPr>
        <w:t>KBR, Inc.</w:t>
      </w:r>
    </w:p>
    <w:p>
      <w:pPr>
        <w:spacing w:after="0" w:line="37" w:lineRule="exact"/>
        <w:rPr>
          <w:sz w:val="20"/>
          <w:szCs w:val="20"/>
          <w:color w:val="auto"/>
        </w:rPr>
      </w:pPr>
    </w:p>
    <w:p>
      <w:pPr>
        <w:sectPr>
          <w:pgSz w:w="11900" w:h="16838" w:orient="portrait"/>
          <w:cols w:equalWidth="0" w:num="2">
            <w:col w:w="1740" w:space="720"/>
            <w:col w:w="8780"/>
          </w:cols>
          <w:pgMar w:left="320" w:top="1089" w:right="33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41" w:lineRule="exact"/>
        <w:rPr>
          <w:sz w:val="20"/>
          <w:szCs w:val="20"/>
          <w:color w:val="auto"/>
        </w:rPr>
      </w:pPr>
    </w:p>
    <w:p>
      <w:pPr>
        <w:ind w:left="2460" w:right="60"/>
        <w:spacing w:after="0" w:line="244" w:lineRule="auto"/>
        <w:rPr>
          <w:sz w:val="20"/>
          <w:szCs w:val="20"/>
          <w:color w:val="auto"/>
        </w:rPr>
      </w:pPr>
      <w:r>
        <w:rPr>
          <w:rFonts w:ascii="Arial" w:cs="Arial" w:eastAsia="Arial" w:hAnsi="Arial"/>
          <w:sz w:val="18"/>
          <w:szCs w:val="18"/>
          <w:color w:val="auto"/>
        </w:rPr>
        <w:t>Ms. Dugle’s experience as chairman and chief executive officer of a public engineering services firm and senior officer of a leading public technology company provides our Board expertise in information, technology, cyber security, corporate strategy, operations, and research and development, all of which are critical to achieving our strategic objectives. We believe these experiences, qualifications, attributes, and skills qualify Ms. Dugle to serve as a member of our Board of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FFFFFF"/>
        </w:rPr>
        <w:t xml:space="preserve">Age </w:t>
      </w:r>
      <w:r>
        <w:rPr>
          <w:rFonts w:ascii="Arial" w:cs="Arial" w:eastAsia="Arial" w:hAnsi="Arial"/>
          <w:sz w:val="21"/>
          <w:szCs w:val="21"/>
          <w:b w:val="1"/>
          <w:bCs w:val="1"/>
          <w:color w:val="FFFFFF"/>
        </w:rPr>
        <w:t>61</w:t>
      </w:r>
      <w:r>
        <w:rPr>
          <w:rFonts w:ascii="Arial" w:cs="Arial" w:eastAsia="Arial" w:hAnsi="Arial"/>
          <w:sz w:val="20"/>
          <w:szCs w:val="20"/>
          <w:color w:val="FFFFFF"/>
        </w:rPr>
        <w:t xml:space="preserve"> | Director Since </w:t>
      </w:r>
      <w:r>
        <w:rPr>
          <w:rFonts w:ascii="Arial" w:cs="Arial" w:eastAsia="Arial" w:hAnsi="Arial"/>
          <w:sz w:val="21"/>
          <w:szCs w:val="21"/>
          <w:b w:val="1"/>
          <w:bCs w:val="1"/>
          <w:color w:val="FFFFFF"/>
        </w:rPr>
        <w:t>2020</w:t>
      </w:r>
      <w:r>
        <w:rPr>
          <w:rFonts w:ascii="Arial" w:cs="Arial" w:eastAsia="Arial" w:hAnsi="Arial"/>
          <w:sz w:val="20"/>
          <w:szCs w:val="20"/>
          <w:color w:val="FFFFFF"/>
        </w:rPr>
        <w:t xml:space="preserve"> | Committee </w:t>
      </w:r>
      <w:r>
        <w:rPr>
          <w:rFonts w:ascii="Arial" w:cs="Arial" w:eastAsia="Arial" w:hAnsi="Arial"/>
          <w:sz w:val="21"/>
          <w:szCs w:val="21"/>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5</w:t>
      </w:r>
    </w:p>
    <w:p>
      <w:pPr>
        <w:sectPr>
          <w:pgSz w:w="11900" w:h="16838" w:orient="portrait"/>
          <w:cols w:equalWidth="0" w:num="1">
            <w:col w:w="11240"/>
          </w:cols>
          <w:pgMar w:left="320" w:top="1089"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Steven J.</w:t>
      </w:r>
    </w:p>
    <w:p>
      <w:pPr>
        <w:ind w:left="20"/>
        <w:spacing w:after="0"/>
        <w:rPr>
          <w:sz w:val="20"/>
          <w:szCs w:val="20"/>
          <w:color w:val="auto"/>
        </w:rPr>
      </w:pPr>
      <w:r>
        <w:rPr>
          <w:rFonts w:ascii="Arial" w:cs="Arial" w:eastAsia="Arial" w:hAnsi="Arial"/>
          <w:sz w:val="36"/>
          <w:szCs w:val="36"/>
          <w:b w:val="1"/>
          <w:bCs w:val="1"/>
          <w:color w:val="auto"/>
        </w:rPr>
        <w:t>Gomo</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-182880</wp:posOffset>
            </wp:positionV>
            <wp:extent cx="71323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8" w:lineRule="exact"/>
        <w:rPr>
          <w:sz w:val="20"/>
          <w:szCs w:val="20"/>
          <w:color w:val="auto"/>
        </w:rPr>
      </w:pPr>
    </w:p>
    <w:p>
      <w:pPr>
        <w:ind w:left="340" w:right="260" w:hanging="228"/>
        <w:spacing w:after="0" w:line="221" w:lineRule="auto"/>
        <w:tabs>
          <w:tab w:leader="none" w:pos="340" w:val="left"/>
        </w:tabs>
        <w:numPr>
          <w:ilvl w:val="0"/>
          <w:numId w:val="13"/>
        </w:numPr>
        <w:rPr>
          <w:rFonts w:ascii="Arial" w:cs="Arial" w:eastAsia="Arial" w:hAnsi="Arial"/>
          <w:sz w:val="25"/>
          <w:szCs w:val="25"/>
          <w:b w:val="1"/>
          <w:bCs w:val="1"/>
          <w:color w:val="00A3E1"/>
        </w:rPr>
      </w:pPr>
      <w:r>
        <w:rPr>
          <w:rFonts w:ascii="Arial" w:cs="Arial" w:eastAsia="Arial" w:hAnsi="Arial"/>
          <w:sz w:val="18"/>
          <w:szCs w:val="18"/>
          <w:color w:val="auto"/>
        </w:rPr>
        <w:t>Executive Vice President, Finance and Chief Financial Officer from October 2004 until his retirement in December 2011, and Senior Vice President, Finance and Chief Financial Officer from August 2002 to September 2004 at NetApp, Inc., a storage and data management company.</w:t>
      </w:r>
    </w:p>
    <w:p>
      <w:pPr>
        <w:spacing w:after="0" w:line="258" w:lineRule="exact"/>
        <w:rPr>
          <w:rFonts w:ascii="Arial" w:cs="Arial" w:eastAsia="Arial" w:hAnsi="Arial"/>
          <w:sz w:val="25"/>
          <w:szCs w:val="25"/>
          <w:b w:val="1"/>
          <w:bCs w:val="1"/>
          <w:color w:val="00A3E1"/>
        </w:rPr>
      </w:pPr>
    </w:p>
    <w:p>
      <w:pPr>
        <w:ind w:left="340" w:right="620" w:hanging="228"/>
        <w:spacing w:after="0" w:line="216" w:lineRule="auto"/>
        <w:tabs>
          <w:tab w:leader="none" w:pos="340" w:val="left"/>
        </w:tabs>
        <w:numPr>
          <w:ilvl w:val="0"/>
          <w:numId w:val="13"/>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Gomo served on the Board of Directors of SanDisk Corporation and NetSuite,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34" w:lineRule="exact"/>
        <w:rPr>
          <w:sz w:val="20"/>
          <w:szCs w:val="20"/>
          <w:color w:val="auto"/>
        </w:rPr>
      </w:pPr>
    </w:p>
    <w:p>
      <w:pPr>
        <w:ind w:left="340" w:hanging="228"/>
        <w:spacing w:after="0"/>
        <w:tabs>
          <w:tab w:leader="none" w:pos="340" w:val="left"/>
        </w:tabs>
        <w:numPr>
          <w:ilvl w:val="0"/>
          <w:numId w:val="14"/>
        </w:numPr>
        <w:rPr>
          <w:rFonts w:ascii="Arial" w:cs="Arial" w:eastAsia="Arial" w:hAnsi="Arial"/>
          <w:sz w:val="25"/>
          <w:szCs w:val="25"/>
          <w:b w:val="1"/>
          <w:bCs w:val="1"/>
          <w:color w:val="00A3E1"/>
        </w:rPr>
      </w:pPr>
      <w:r>
        <w:rPr>
          <w:rFonts w:ascii="Arial" w:cs="Arial" w:eastAsia="Arial" w:hAnsi="Arial"/>
          <w:sz w:val="18"/>
          <w:szCs w:val="18"/>
          <w:color w:val="auto"/>
        </w:rPr>
        <w:t>Nutanix, Inc.</w:t>
      </w:r>
    </w:p>
    <w:p>
      <w:pPr>
        <w:spacing w:after="0" w:line="35" w:lineRule="exact"/>
        <w:rPr>
          <w:rFonts w:ascii="Arial" w:cs="Arial" w:eastAsia="Arial" w:hAnsi="Arial"/>
          <w:sz w:val="25"/>
          <w:szCs w:val="25"/>
          <w:b w:val="1"/>
          <w:bCs w:val="1"/>
          <w:color w:val="00A3E1"/>
        </w:rPr>
      </w:pPr>
    </w:p>
    <w:p>
      <w:pPr>
        <w:ind w:left="340" w:hanging="228"/>
        <w:spacing w:after="0" w:line="217" w:lineRule="auto"/>
        <w:tabs>
          <w:tab w:leader="none" w:pos="340" w:val="left"/>
        </w:tabs>
        <w:numPr>
          <w:ilvl w:val="0"/>
          <w:numId w:val="14"/>
        </w:numPr>
        <w:rPr>
          <w:rFonts w:ascii="Arial" w:cs="Arial" w:eastAsia="Arial" w:hAnsi="Arial"/>
          <w:sz w:val="25"/>
          <w:szCs w:val="25"/>
          <w:b w:val="1"/>
          <w:bCs w:val="1"/>
          <w:color w:val="00A3E1"/>
        </w:rPr>
      </w:pPr>
      <w:r>
        <w:rPr>
          <w:rFonts w:ascii="Arial" w:cs="Arial" w:eastAsia="Arial" w:hAnsi="Arial"/>
          <w:sz w:val="18"/>
          <w:szCs w:val="18"/>
          <w:color w:val="auto"/>
        </w:rPr>
        <w:t>Enphase Energy, Inc.</w:t>
      </w:r>
    </w:p>
    <w:p>
      <w:pPr>
        <w:spacing w:after="0" w:line="37" w:lineRule="exact"/>
        <w:rPr>
          <w:sz w:val="20"/>
          <w:szCs w:val="20"/>
          <w:color w:val="auto"/>
        </w:rPr>
      </w:pPr>
    </w:p>
    <w:p>
      <w:pPr>
        <w:sectPr>
          <w:pgSz w:w="11900" w:h="16838" w:orient="portrait"/>
          <w:cols w:equalWidth="0" w:num="2">
            <w:col w:w="1740" w:space="720"/>
            <w:col w:w="8760"/>
          </w:cols>
          <w:pgMar w:left="320" w:top="1337" w:right="359" w:bottom="1440" w:gutter="0" w:footer="0" w:header="0"/>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41" w:lineRule="exact"/>
        <w:rPr>
          <w:sz w:val="20"/>
          <w:szCs w:val="20"/>
          <w:color w:val="auto"/>
        </w:rPr>
      </w:pPr>
    </w:p>
    <w:p>
      <w:pPr>
        <w:ind w:left="2460" w:right="120"/>
        <w:spacing w:after="0" w:line="244" w:lineRule="auto"/>
        <w:rPr>
          <w:sz w:val="20"/>
          <w:szCs w:val="20"/>
          <w:color w:val="auto"/>
        </w:rPr>
      </w:pPr>
      <w:r>
        <w:rPr>
          <w:rFonts w:ascii="Arial" w:cs="Arial" w:eastAsia="Arial" w:hAnsi="Arial"/>
          <w:sz w:val="18"/>
          <w:szCs w:val="18"/>
          <w:color w:val="auto"/>
        </w:rPr>
        <w:t>Mr. Gomo’s experience as the chief financial officer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 of Directors.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68</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2018</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(Chair),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337" w:right="359" w:bottom="1440" w:gutter="0" w:footer="0" w:header="0"/>
          <w:type w:val="continuous"/>
        </w:sectPr>
      </w:pPr>
    </w:p>
    <w:p>
      <w:pPr>
        <w:spacing w:after="0" w:line="364" w:lineRule="exact"/>
        <w:rPr>
          <w:sz w:val="20"/>
          <w:szCs w:val="20"/>
          <w:color w:val="auto"/>
        </w:rPr>
      </w:pPr>
    </w:p>
    <w:p>
      <w:pPr>
        <w:ind w:left="20" w:right="80"/>
        <w:spacing w:after="0" w:line="256" w:lineRule="auto"/>
        <w:rPr>
          <w:sz w:val="20"/>
          <w:szCs w:val="20"/>
          <w:color w:val="auto"/>
        </w:rPr>
      </w:pPr>
      <w:r>
        <w:rPr>
          <w:rFonts w:ascii="Arial" w:cs="Arial" w:eastAsia="Arial" w:hAnsi="Arial"/>
          <w:sz w:val="35"/>
          <w:szCs w:val="35"/>
          <w:b w:val="1"/>
          <w:bCs w:val="1"/>
          <w:color w:val="auto"/>
        </w:rPr>
        <w:t>Mary Pat McCarthy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8" w:lineRule="exact"/>
        <w:rPr>
          <w:sz w:val="20"/>
          <w:szCs w:val="20"/>
          <w:color w:val="auto"/>
        </w:rPr>
      </w:pPr>
    </w:p>
    <w:p>
      <w:pPr>
        <w:ind w:left="340" w:right="120" w:hanging="228"/>
        <w:spacing w:after="0" w:line="221" w:lineRule="auto"/>
        <w:tabs>
          <w:tab w:leader="none" w:pos="340" w:val="left"/>
        </w:tabs>
        <w:numPr>
          <w:ilvl w:val="0"/>
          <w:numId w:val="15"/>
        </w:numPr>
        <w:rPr>
          <w:rFonts w:ascii="Arial" w:cs="Arial" w:eastAsia="Arial" w:hAnsi="Arial"/>
          <w:sz w:val="25"/>
          <w:szCs w:val="25"/>
          <w:b w:val="1"/>
          <w:bCs w:val="1"/>
          <w:color w:val="00A3E1"/>
        </w:rPr>
      </w:pPr>
      <w:r>
        <w:rPr>
          <w:rFonts w:ascii="Arial" w:cs="Arial" w:eastAsia="Arial" w:hAnsi="Arial"/>
          <w:sz w:val="18"/>
          <w:szCs w:val="18"/>
          <w:color w:val="auto"/>
        </w:rPr>
        <w:t>Vice Chair of KPMG LLP, the U.S. member firm of the global audit, tax, and advisory services firm, from July 1998 until her retirement in December 2011. Ms. McCarthy joined KMPG in 1977, became a partner in 1987, and held numerous senior leadership positions with the firm during her tenure.</w:t>
      </w:r>
    </w:p>
    <w:p>
      <w:pPr>
        <w:spacing w:after="0" w:line="258" w:lineRule="exact"/>
        <w:rPr>
          <w:rFonts w:ascii="Arial" w:cs="Arial" w:eastAsia="Arial" w:hAnsi="Arial"/>
          <w:sz w:val="25"/>
          <w:szCs w:val="25"/>
          <w:b w:val="1"/>
          <w:bCs w:val="1"/>
          <w:color w:val="00A3E1"/>
        </w:rPr>
      </w:pPr>
    </w:p>
    <w:p>
      <w:pPr>
        <w:ind w:left="340" w:right="200" w:hanging="228"/>
        <w:spacing w:after="0" w:line="216" w:lineRule="auto"/>
        <w:tabs>
          <w:tab w:leader="none" w:pos="340" w:val="left"/>
        </w:tabs>
        <w:numPr>
          <w:ilvl w:val="0"/>
          <w:numId w:val="15"/>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McCarthy served on the Board of Directors of Andeavor Corporation and Mutual of Omaha.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34" w:lineRule="exact"/>
        <w:rPr>
          <w:sz w:val="20"/>
          <w:szCs w:val="20"/>
          <w:color w:val="auto"/>
        </w:rPr>
      </w:pPr>
    </w:p>
    <w:p>
      <w:pPr>
        <w:ind w:left="340" w:hanging="228"/>
        <w:spacing w:after="0"/>
        <w:tabs>
          <w:tab w:leader="none" w:pos="340" w:val="left"/>
        </w:tabs>
        <w:numPr>
          <w:ilvl w:val="0"/>
          <w:numId w:val="16"/>
        </w:numPr>
        <w:rPr>
          <w:rFonts w:ascii="Arial" w:cs="Arial" w:eastAsia="Arial" w:hAnsi="Arial"/>
          <w:sz w:val="25"/>
          <w:szCs w:val="25"/>
          <w:b w:val="1"/>
          <w:bCs w:val="1"/>
          <w:color w:val="00A3E1"/>
        </w:rPr>
      </w:pPr>
      <w:r>
        <w:rPr>
          <w:rFonts w:ascii="Arial" w:cs="Arial" w:eastAsia="Arial" w:hAnsi="Arial"/>
          <w:sz w:val="18"/>
          <w:szCs w:val="18"/>
          <w:color w:val="auto"/>
        </w:rPr>
        <w:t>Palo Alto Networks, Inc.</w:t>
      </w:r>
    </w:p>
    <w:p>
      <w:pPr>
        <w:spacing w:after="0" w:line="36" w:lineRule="exact"/>
        <w:rPr>
          <w:sz w:val="20"/>
          <w:szCs w:val="20"/>
          <w:color w:val="auto"/>
        </w:rPr>
      </w:pPr>
    </w:p>
    <w:p>
      <w:pPr>
        <w:sectPr>
          <w:pgSz w:w="11900" w:h="16838" w:orient="portrait"/>
          <w:cols w:equalWidth="0" w:num="2">
            <w:col w:w="1740" w:space="720"/>
            <w:col w:w="8760"/>
          </w:cols>
          <w:pgMar w:left="320" w:top="1337" w:right="35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41" w:lineRule="exact"/>
        <w:rPr>
          <w:sz w:val="20"/>
          <w:szCs w:val="20"/>
          <w:color w:val="auto"/>
        </w:rPr>
      </w:pPr>
    </w:p>
    <w:p>
      <w:pPr>
        <w:jc w:val="both"/>
        <w:ind w:left="2460" w:right="40"/>
        <w:spacing w:after="0" w:line="261" w:lineRule="auto"/>
        <w:rPr>
          <w:sz w:val="20"/>
          <w:szCs w:val="20"/>
          <w:color w:val="auto"/>
        </w:rPr>
      </w:pPr>
      <w:r>
        <w:rPr>
          <w:rFonts w:ascii="Arial" w:cs="Arial" w:eastAsia="Arial" w:hAnsi="Arial"/>
          <w:sz w:val="17"/>
          <w:szCs w:val="17"/>
          <w:color w:val="auto"/>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We believe these experiences, qualifications, attributes, and skills qualify Ms. McCarthy to serve as a member of our Board of Directors.</w:t>
      </w: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65</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2018</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Audit, 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337" w:right="359" w:bottom="1440" w:gutter="0" w:footer="0" w:header="0"/>
          <w:type w:val="continuous"/>
        </w:sectPr>
      </w:pPr>
    </w:p>
    <w:bookmarkStart w:id="14" w:name="page15"/>
    <w:bookmarkEnd w:id="14"/>
    <w:p>
      <w:pPr>
        <w:spacing w:after="0" w:line="200" w:lineRule="exact"/>
        <w:rPr>
          <w:sz w:val="20"/>
          <w:szCs w:val="20"/>
          <w:color w:val="auto"/>
        </w:rPr>
      </w:pPr>
    </w:p>
    <w:p>
      <w:pPr>
        <w:spacing w:after="0" w:line="400" w:lineRule="exact"/>
        <w:rPr>
          <w:sz w:val="20"/>
          <w:szCs w:val="20"/>
          <w:color w:val="auto"/>
        </w:rPr>
      </w:pPr>
    </w:p>
    <w:p>
      <w:pPr>
        <w:ind w:right="180"/>
        <w:spacing w:after="0" w:line="256" w:lineRule="auto"/>
        <w:rPr>
          <w:sz w:val="20"/>
          <w:szCs w:val="20"/>
          <w:color w:val="auto"/>
        </w:rPr>
      </w:pPr>
      <w:r>
        <w:rPr>
          <w:rFonts w:ascii="Arial" w:cs="Arial" w:eastAsia="Arial" w:hAnsi="Arial"/>
          <w:sz w:val="35"/>
          <w:szCs w:val="35"/>
          <w:b w:val="1"/>
          <w:bCs w:val="1"/>
          <w:color w:val="auto"/>
        </w:rPr>
        <w:t>Sanjay Mehrotra</w:t>
      </w:r>
    </w:p>
    <w:p>
      <w:pPr>
        <w:spacing w:after="0" w:line="2" w:lineRule="exact"/>
        <w:rPr>
          <w:sz w:val="20"/>
          <w:szCs w:val="20"/>
          <w:color w:val="auto"/>
        </w:rPr>
      </w:pPr>
    </w:p>
    <w:p>
      <w:pPr>
        <w:ind w:right="100"/>
        <w:spacing w:after="0" w:line="256" w:lineRule="auto"/>
        <w:rPr>
          <w:sz w:val="20"/>
          <w:szCs w:val="20"/>
          <w:color w:val="auto"/>
        </w:rPr>
      </w:pPr>
      <w:r>
        <w:rPr>
          <w:rFonts w:ascii="Arial" w:cs="Arial" w:eastAsia="Arial" w:hAnsi="Arial"/>
          <w:sz w:val="21"/>
          <w:szCs w:val="21"/>
          <w:b w:val="1"/>
          <w:bCs w:val="1"/>
          <w:color w:val="00A3E1"/>
        </w:rPr>
        <w:t>Chief Executive Officer</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-182880</wp:posOffset>
            </wp:positionV>
            <wp:extent cx="71323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ind w:left="340" w:hanging="228"/>
        <w:spacing w:after="0" w:line="234" w:lineRule="auto"/>
        <w:tabs>
          <w:tab w:leader="none" w:pos="34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Mr. Mehrotra has served as Micron’s President, Chief Executive Officer, and Director since May 2017.</w:t>
      </w:r>
    </w:p>
    <w:p>
      <w:pPr>
        <w:spacing w:after="0" w:line="230" w:lineRule="exact"/>
        <w:rPr>
          <w:rFonts w:ascii="Arial" w:cs="Arial" w:eastAsia="Arial" w:hAnsi="Arial"/>
          <w:sz w:val="25"/>
          <w:szCs w:val="25"/>
          <w:b w:val="1"/>
          <w:bCs w:val="1"/>
          <w:color w:val="00A3E1"/>
        </w:rPr>
      </w:pPr>
    </w:p>
    <w:p>
      <w:pPr>
        <w:ind w:left="340" w:right="60" w:hanging="228"/>
        <w:spacing w:after="0" w:line="221" w:lineRule="auto"/>
        <w:tabs>
          <w:tab w:leader="none" w:pos="34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Prior to that, Mr. Mehrotra co-founded and led SanDisk Corporation as a start-up in 1988 until its eventual sale in May 2016, serving as its President and Chief Executive Officer from January 2011 to May 2016 and as a member of its Board of Directors from July 2010 to May 2016.</w:t>
      </w:r>
    </w:p>
    <w:p>
      <w:pPr>
        <w:spacing w:after="0" w:line="258" w:lineRule="exact"/>
        <w:rPr>
          <w:rFonts w:ascii="Arial" w:cs="Arial" w:eastAsia="Arial" w:hAnsi="Arial"/>
          <w:sz w:val="25"/>
          <w:szCs w:val="25"/>
          <w:b w:val="1"/>
          <w:bCs w:val="1"/>
          <w:color w:val="00A3E1"/>
        </w:rPr>
      </w:pPr>
    </w:p>
    <w:p>
      <w:pPr>
        <w:ind w:left="340" w:right="340" w:hanging="228"/>
        <w:spacing w:after="0" w:line="216" w:lineRule="auto"/>
        <w:tabs>
          <w:tab w:leader="none" w:pos="340" w:val="left"/>
        </w:tabs>
        <w:numPr>
          <w:ilvl w:val="0"/>
          <w:numId w:val="17"/>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Mehrotra served on the Board of Directors of Cavium, Inc. and Western Digital Corp.</w:t>
      </w: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6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Mr. Mehrotra has 40 years of experience in the semiconductor memory industry, and as a co-founder of SanDisk, he offers a unique perspective on the industry and has significant senior leadership and technological expertise. In addition, 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 of Directors.</w:t>
      </w:r>
    </w:p>
    <w:p>
      <w:pPr>
        <w:spacing w:after="0" w:line="3" w:lineRule="exact"/>
        <w:rPr>
          <w:sz w:val="20"/>
          <w:szCs w:val="20"/>
          <w:color w:val="auto"/>
        </w:rPr>
      </w:pPr>
    </w:p>
    <w:p>
      <w:pPr>
        <w:sectPr>
          <w:pgSz w:w="11900" w:h="16838" w:orient="portrait"/>
          <w:cols w:equalWidth="0" w:num="2">
            <w:col w:w="1720" w:space="720"/>
            <w:col w:w="8780"/>
          </w:cols>
          <w:pgMar w:left="340" w:top="1337" w:right="339" w:bottom="1440" w:gutter="0" w:footer="0" w:header="0"/>
        </w:sect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62</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2017</w:t>
      </w:r>
      <w:r>
        <w:rPr>
          <w:rFonts w:ascii="Arial" w:cs="Arial" w:eastAsia="Arial" w:hAnsi="Arial"/>
          <w:sz w:val="18"/>
          <w:szCs w:val="18"/>
          <w:color w:val="FFFFFF"/>
        </w:rPr>
        <w:t xml:space="preserve"> | Committee </w:t>
      </w:r>
      <w:r>
        <w:rPr>
          <w:rFonts w:ascii="Arial" w:cs="Arial" w:eastAsia="Arial" w:hAnsi="Arial"/>
          <w:sz w:val="21"/>
          <w:szCs w:val="21"/>
          <w:b w:val="1"/>
          <w:bCs w:val="1"/>
          <w:color w:val="FFFF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40" w:top="1337" w:right="339"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Robert E.</w:t>
      </w:r>
    </w:p>
    <w:p>
      <w:pPr>
        <w:spacing w:after="0"/>
        <w:rPr>
          <w:sz w:val="20"/>
          <w:szCs w:val="20"/>
          <w:color w:val="auto"/>
        </w:rPr>
      </w:pPr>
      <w:r>
        <w:rPr>
          <w:rFonts w:ascii="Arial" w:cs="Arial" w:eastAsia="Arial" w:hAnsi="Arial"/>
          <w:sz w:val="36"/>
          <w:szCs w:val="36"/>
          <w:b w:val="1"/>
          <w:bCs w:val="1"/>
          <w:color w:val="auto"/>
        </w:rPr>
        <w:t>Switz</w:t>
      </w:r>
    </w:p>
    <w:p>
      <w:pPr>
        <w:spacing w:after="0" w:line="46" w:lineRule="exact"/>
        <w:rPr>
          <w:sz w:val="20"/>
          <w:szCs w:val="20"/>
          <w:color w:val="auto"/>
        </w:rPr>
      </w:pPr>
    </w:p>
    <w:p>
      <w:pPr>
        <w:ind w:right="60"/>
        <w:spacing w:after="0" w:line="226" w:lineRule="auto"/>
        <w:rPr>
          <w:sz w:val="20"/>
          <w:szCs w:val="20"/>
          <w:color w:val="auto"/>
        </w:rPr>
      </w:pPr>
      <w:r>
        <w:rPr>
          <w:rFonts w:ascii="Arial" w:cs="Arial" w:eastAsia="Arial" w:hAnsi="Arial"/>
          <w:sz w:val="22"/>
          <w:szCs w:val="22"/>
          <w:b w:val="1"/>
          <w:bCs w:val="1"/>
          <w:color w:val="00A3E1"/>
        </w:rPr>
        <w:t>Independent,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8" w:lineRule="exact"/>
        <w:rPr>
          <w:sz w:val="20"/>
          <w:szCs w:val="20"/>
          <w:color w:val="auto"/>
        </w:rPr>
      </w:pPr>
    </w:p>
    <w:p>
      <w:pPr>
        <w:ind w:left="340" w:right="320" w:hanging="228"/>
        <w:spacing w:after="0" w:line="224" w:lineRule="auto"/>
        <w:tabs>
          <w:tab w:leader="none" w:pos="340" w:val="left"/>
        </w:tabs>
        <w:numPr>
          <w:ilvl w:val="0"/>
          <w:numId w:val="18"/>
        </w:numPr>
        <w:rPr>
          <w:rFonts w:ascii="Arial" w:cs="Arial" w:eastAsia="Arial" w:hAnsi="Arial"/>
          <w:sz w:val="25"/>
          <w:szCs w:val="25"/>
          <w:b w:val="1"/>
          <w:bCs w:val="1"/>
          <w:color w:val="00A3E1"/>
        </w:rPr>
      </w:pPr>
      <w:r>
        <w:rPr>
          <w:rFonts w:ascii="Arial" w:cs="Arial" w:eastAsia="Arial" w:hAnsi="Arial"/>
          <w:sz w:val="18"/>
          <w:szCs w:val="18"/>
          <w:color w:val="auto"/>
        </w:rPr>
        <w:t>President and Chief Executive Officer of ADC Telecommunications, Inc., a supplier of network infrastructure products and services, from August 2003 until December 2010 and Chairman from 2008 until December 2010, when Tyco Electronics Ltd. acquired ADC. Mr. Switz joined ADC in 1994 and throughout his career there held numerous leadership positions.</w:t>
      </w:r>
    </w:p>
    <w:p>
      <w:pPr>
        <w:spacing w:after="0" w:line="272" w:lineRule="exact"/>
        <w:rPr>
          <w:rFonts w:ascii="Arial" w:cs="Arial" w:eastAsia="Arial" w:hAnsi="Arial"/>
          <w:sz w:val="25"/>
          <w:szCs w:val="25"/>
          <w:b w:val="1"/>
          <w:bCs w:val="1"/>
          <w:color w:val="00A3E1"/>
        </w:rPr>
      </w:pPr>
    </w:p>
    <w:p>
      <w:pPr>
        <w:ind w:left="340" w:right="120" w:hanging="228"/>
        <w:spacing w:after="0" w:line="216" w:lineRule="auto"/>
        <w:tabs>
          <w:tab w:leader="none" w:pos="340" w:val="left"/>
        </w:tabs>
        <w:numPr>
          <w:ilvl w:val="0"/>
          <w:numId w:val="18"/>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Mr. Switz served on the Board of Directors of GT Advanced Technologies Inc., Broadcom Corporation, and Gigamon,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Other Current Public Company Directorships</w:t>
      </w:r>
    </w:p>
    <w:p>
      <w:pPr>
        <w:spacing w:after="0" w:line="34" w:lineRule="exact"/>
        <w:rPr>
          <w:sz w:val="20"/>
          <w:szCs w:val="20"/>
          <w:color w:val="auto"/>
        </w:rPr>
      </w:pPr>
    </w:p>
    <w:p>
      <w:pPr>
        <w:ind w:left="340" w:hanging="228"/>
        <w:spacing w:after="0"/>
        <w:tabs>
          <w:tab w:leader="none" w:pos="340" w:val="left"/>
        </w:tabs>
        <w:numPr>
          <w:ilvl w:val="0"/>
          <w:numId w:val="19"/>
        </w:numPr>
        <w:rPr>
          <w:rFonts w:ascii="Arial" w:cs="Arial" w:eastAsia="Arial" w:hAnsi="Arial"/>
          <w:sz w:val="25"/>
          <w:szCs w:val="25"/>
          <w:b w:val="1"/>
          <w:bCs w:val="1"/>
          <w:color w:val="00A3E1"/>
        </w:rPr>
      </w:pPr>
      <w:r>
        <w:rPr>
          <w:rFonts w:ascii="Arial" w:cs="Arial" w:eastAsia="Arial" w:hAnsi="Arial"/>
          <w:sz w:val="18"/>
          <w:szCs w:val="18"/>
          <w:color w:val="auto"/>
        </w:rPr>
        <w:t>Marvell Technology Group Ltd.</w:t>
      </w:r>
    </w:p>
    <w:p>
      <w:pPr>
        <w:spacing w:after="0" w:line="36" w:lineRule="exact"/>
        <w:rPr>
          <w:rFonts w:ascii="Arial" w:cs="Arial" w:eastAsia="Arial" w:hAnsi="Arial"/>
          <w:sz w:val="25"/>
          <w:szCs w:val="25"/>
          <w:b w:val="1"/>
          <w:bCs w:val="1"/>
          <w:color w:val="00A3E1"/>
        </w:rPr>
      </w:pPr>
    </w:p>
    <w:p>
      <w:pPr>
        <w:ind w:left="340" w:hanging="228"/>
        <w:spacing w:after="0" w:line="217" w:lineRule="auto"/>
        <w:tabs>
          <w:tab w:leader="none" w:pos="340" w:val="left"/>
        </w:tabs>
        <w:numPr>
          <w:ilvl w:val="0"/>
          <w:numId w:val="19"/>
        </w:numPr>
        <w:rPr>
          <w:rFonts w:ascii="Arial" w:cs="Arial" w:eastAsia="Arial" w:hAnsi="Arial"/>
          <w:sz w:val="25"/>
          <w:szCs w:val="25"/>
          <w:b w:val="1"/>
          <w:bCs w:val="1"/>
          <w:color w:val="00A3E1"/>
        </w:rPr>
      </w:pPr>
      <w:r>
        <w:rPr>
          <w:rFonts w:ascii="Arial" w:cs="Arial" w:eastAsia="Arial" w:hAnsi="Arial"/>
          <w:sz w:val="18"/>
          <w:szCs w:val="18"/>
          <w:color w:val="auto"/>
        </w:rPr>
        <w:t>FireEye, Inc.</w:t>
      </w:r>
    </w:p>
    <w:p>
      <w:pPr>
        <w:spacing w:after="0" w:line="37" w:lineRule="exact"/>
        <w:rPr>
          <w:sz w:val="20"/>
          <w:szCs w:val="20"/>
          <w:color w:val="auto"/>
        </w:rPr>
      </w:pPr>
    </w:p>
    <w:p>
      <w:pPr>
        <w:sectPr>
          <w:pgSz w:w="11900" w:h="16838" w:orient="portrait"/>
          <w:cols w:equalWidth="0" w:num="2">
            <w:col w:w="1720" w:space="720"/>
            <w:col w:w="8780"/>
          </w:cols>
          <w:pgMar w:left="340" w:top="1337" w:right="339" w:bottom="1440" w:gutter="0" w:footer="0" w:header="0"/>
          <w:type w:val="continuous"/>
        </w:sectPr>
      </w:pPr>
    </w:p>
    <w:p>
      <w:pPr>
        <w:ind w:left="244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41" w:lineRule="exact"/>
        <w:rPr>
          <w:sz w:val="20"/>
          <w:szCs w:val="20"/>
          <w:color w:val="auto"/>
        </w:rPr>
      </w:pPr>
    </w:p>
    <w:p>
      <w:pPr>
        <w:ind w:left="2440" w:right="80"/>
        <w:spacing w:after="0" w:line="242" w:lineRule="auto"/>
        <w:rPr>
          <w:sz w:val="20"/>
          <w:szCs w:val="20"/>
          <w:color w:val="auto"/>
        </w:rPr>
      </w:pPr>
      <w:r>
        <w:rPr>
          <w:rFonts w:ascii="Arial" w:cs="Arial" w:eastAsia="Arial" w:hAnsi="Arial"/>
          <w:sz w:val="18"/>
          <w:szCs w:val="18"/>
          <w:color w:val="auto"/>
        </w:rPr>
        <w:t>Appointed Chairman of Micron’s Board of Directors in 2012, Mr. Switz’s experience as Chief Executive Officer and Chairman of a leading technology company and history and leadership on Micron’s Board provide the Board expertise in the technology industry as well as international business operations, finance, corporate development, corporate governance, and management, all of which are critical to achieving our strategic objectives. We believe these experiences, qualifications, attributes, and skills qualify Mr. Switz to serve as a member of our Board of Directors.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74</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2006</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(Chair), 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7</w:t>
      </w:r>
    </w:p>
    <w:p>
      <w:pPr>
        <w:sectPr>
          <w:pgSz w:w="11900" w:h="16838" w:orient="portrait"/>
          <w:cols w:equalWidth="0" w:num="1">
            <w:col w:w="11220"/>
          </w:cols>
          <w:pgMar w:left="340" w:top="1337" w:right="3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right="180"/>
        <w:spacing w:after="0" w:line="256" w:lineRule="auto"/>
        <w:rPr>
          <w:sz w:val="20"/>
          <w:szCs w:val="20"/>
          <w:color w:val="auto"/>
        </w:rPr>
      </w:pPr>
      <w:r>
        <w:rPr>
          <w:rFonts w:ascii="Arial" w:cs="Arial" w:eastAsia="Arial" w:hAnsi="Arial"/>
          <w:sz w:val="35"/>
          <w:szCs w:val="35"/>
          <w:b w:val="1"/>
          <w:bCs w:val="1"/>
          <w:color w:val="auto"/>
        </w:rPr>
        <w:t>MaryAnn Wright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A3E1"/>
        </w:rPr>
        <w:t>Independent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9"/>
          <w:szCs w:val="29"/>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-182880</wp:posOffset>
            </wp:positionV>
            <wp:extent cx="71323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A3E1"/>
        </w:rPr>
        <w:t>Professional Experience</w:t>
      </w:r>
    </w:p>
    <w:p>
      <w:pPr>
        <w:spacing w:after="0" w:line="38" w:lineRule="exact"/>
        <w:rPr>
          <w:sz w:val="20"/>
          <w:szCs w:val="20"/>
          <w:color w:val="auto"/>
        </w:rPr>
      </w:pPr>
    </w:p>
    <w:p>
      <w:pPr>
        <w:ind w:left="340" w:right="20" w:hanging="228"/>
        <w:spacing w:after="0" w:line="221" w:lineRule="auto"/>
        <w:tabs>
          <w:tab w:leader="none" w:pos="340" w:val="left"/>
        </w:tabs>
        <w:numPr>
          <w:ilvl w:val="0"/>
          <w:numId w:val="20"/>
        </w:numPr>
        <w:rPr>
          <w:rFonts w:ascii="Arial" w:cs="Arial" w:eastAsia="Arial" w:hAnsi="Arial"/>
          <w:sz w:val="25"/>
          <w:szCs w:val="25"/>
          <w:b w:val="1"/>
          <w:bCs w:val="1"/>
          <w:color w:val="00A3E1"/>
        </w:rPr>
      </w:pPr>
      <w:r>
        <w:rPr>
          <w:rFonts w:ascii="Arial" w:cs="Arial" w:eastAsia="Arial" w:hAnsi="Arial"/>
          <w:sz w:val="18"/>
          <w:szCs w:val="18"/>
          <w:color w:val="auto"/>
        </w:rPr>
        <w:t>Group Vice President of Engineering and Product Development of Johnson Controls International (“JCI”) from 2013 to 2017. Ms. Wright also served as Vice President and General Manager for Johnson Controls’ Hybrid Systems business and as CEO of Johnson Controls-Saft from 2007 to 2009.</w:t>
      </w:r>
    </w:p>
    <w:p>
      <w:pPr>
        <w:spacing w:after="0" w:line="258" w:lineRule="exact"/>
        <w:rPr>
          <w:rFonts w:ascii="Arial" w:cs="Arial" w:eastAsia="Arial" w:hAnsi="Arial"/>
          <w:sz w:val="25"/>
          <w:szCs w:val="25"/>
          <w:b w:val="1"/>
          <w:bCs w:val="1"/>
          <w:color w:val="00A3E1"/>
        </w:rPr>
      </w:pPr>
    </w:p>
    <w:p>
      <w:pPr>
        <w:ind w:left="340" w:right="360" w:hanging="228"/>
        <w:spacing w:after="0" w:line="216" w:lineRule="auto"/>
        <w:tabs>
          <w:tab w:leader="none" w:pos="340" w:val="left"/>
        </w:tabs>
        <w:numPr>
          <w:ilvl w:val="0"/>
          <w:numId w:val="20"/>
        </w:numPr>
        <w:rPr>
          <w:rFonts w:ascii="Arial" w:cs="Arial" w:eastAsia="Arial" w:hAnsi="Arial"/>
          <w:sz w:val="25"/>
          <w:szCs w:val="25"/>
          <w:b w:val="1"/>
          <w:bCs w:val="1"/>
          <w:color w:val="00A3E1"/>
        </w:rPr>
      </w:pPr>
      <w:r>
        <w:rPr>
          <w:rFonts w:ascii="Arial" w:cs="Arial" w:eastAsia="Arial" w:hAnsi="Arial"/>
          <w:sz w:val="18"/>
          <w:szCs w:val="18"/>
          <w:color w:val="auto"/>
        </w:rPr>
        <w:t>Prior to joining JCI, Ms. Wright served in the Office of the Chair and was EVP Engineering, Sales and Program Management at Collins &amp; Aikman from 2006 to 2007.</w:t>
      </w:r>
    </w:p>
    <w:p>
      <w:pPr>
        <w:spacing w:after="0" w:line="200" w:lineRule="exact"/>
        <w:rPr>
          <w:sz w:val="20"/>
          <w:szCs w:val="20"/>
          <w:color w:val="auto"/>
        </w:rPr>
      </w:pPr>
    </w:p>
    <w:p>
      <w:pPr>
        <w:sectPr>
          <w:pgSz w:w="11900" w:h="16838" w:orient="portrait"/>
          <w:cols w:equalWidth="0" w:num="2">
            <w:col w:w="1740" w:space="720"/>
            <w:col w:w="8760"/>
          </w:cols>
          <w:pgMar w:left="320" w:top="1337" w:right="359" w:bottom="1440" w:gutter="0" w:footer="0" w:header="0"/>
        </w:sectPr>
      </w:pPr>
    </w:p>
    <w:p>
      <w:pPr>
        <w:spacing w:after="0" w:line="43" w:lineRule="exact"/>
        <w:rPr>
          <w:sz w:val="20"/>
          <w:szCs w:val="20"/>
          <w:color w:val="auto"/>
        </w:rPr>
      </w:pPr>
    </w:p>
    <w:p>
      <w:pPr>
        <w:ind w:left="2800" w:right="80" w:hanging="228"/>
        <w:spacing w:after="0" w:line="221" w:lineRule="auto"/>
        <w:tabs>
          <w:tab w:leader="none" w:pos="280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Prior to that, Ms. Wright held several executive positions at Ford Motor Company, including Chief Engineer, from 2003 to 2005, and Director of Sustainable Mobility Technologies and Hybrid and Fuel Cell Vehicle Programs from 2004 to 2005.</w:t>
      </w:r>
    </w:p>
    <w:p>
      <w:pPr>
        <w:spacing w:after="0" w:line="1" w:lineRule="exact"/>
        <w:rPr>
          <w:rFonts w:ascii="Arial" w:cs="Arial" w:eastAsia="Arial" w:hAnsi="Arial"/>
          <w:sz w:val="25"/>
          <w:szCs w:val="25"/>
          <w:b w:val="1"/>
          <w:bCs w:val="1"/>
          <w:color w:val="00A3E1"/>
        </w:rPr>
      </w:pPr>
    </w:p>
    <w:p>
      <w:pPr>
        <w:ind w:left="2800" w:hanging="228"/>
        <w:spacing w:after="0" w:line="236" w:lineRule="auto"/>
        <w:tabs>
          <w:tab w:leader="none" w:pos="2800" w:val="left"/>
        </w:tabs>
        <w:numPr>
          <w:ilvl w:val="0"/>
          <w:numId w:val="21"/>
        </w:numPr>
        <w:rPr>
          <w:rFonts w:ascii="Arial" w:cs="Arial" w:eastAsia="Arial" w:hAnsi="Arial"/>
          <w:sz w:val="25"/>
          <w:szCs w:val="25"/>
          <w:b w:val="1"/>
          <w:bCs w:val="1"/>
          <w:color w:val="00A3E1"/>
        </w:rPr>
      </w:pPr>
      <w:r>
        <w:rPr>
          <w:rFonts w:ascii="Arial" w:cs="Arial" w:eastAsia="Arial" w:hAnsi="Arial"/>
          <w:sz w:val="18"/>
          <w:szCs w:val="18"/>
          <w:color w:val="auto"/>
        </w:rPr>
        <w:t>Within the past five years, Ms. Wright served on the Board of Directors of Delphi Technologies.</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00A3E1"/>
        </w:rPr>
        <w:t>Other Current Public Company Directorships</w:t>
      </w:r>
    </w:p>
    <w:p>
      <w:pPr>
        <w:sectPr>
          <w:pgSz w:w="11900" w:h="16838" w:orient="portrait"/>
          <w:cols w:equalWidth="0" w:num="1">
            <w:col w:w="11220"/>
          </w:cols>
          <w:pgMar w:left="320" w:top="1337" w:right="359" w:bottom="1440" w:gutter="0" w:footer="0" w:header="0"/>
          <w:type w:val="continuous"/>
        </w:sectPr>
      </w:pPr>
    </w:p>
    <w:p>
      <w:pPr>
        <w:spacing w:after="0" w:line="11" w:lineRule="exact"/>
        <w:rPr>
          <w:sz w:val="20"/>
          <w:szCs w:val="20"/>
          <w:color w:val="auto"/>
        </w:rPr>
      </w:pPr>
    </w:p>
    <w:p>
      <w:pPr>
        <w:ind w:left="2580"/>
        <w:spacing w:after="0"/>
        <w:rPr>
          <w:sz w:val="20"/>
          <w:szCs w:val="20"/>
          <w:color w:val="auto"/>
        </w:rPr>
      </w:pPr>
      <w:r>
        <w:rPr>
          <w:rFonts w:ascii="Arial" w:cs="Arial" w:eastAsia="Arial" w:hAnsi="Arial"/>
          <w:sz w:val="24"/>
          <w:szCs w:val="24"/>
          <w:b w:val="1"/>
          <w:bCs w:val="1"/>
          <w:color w:val="00A3E1"/>
        </w:rPr>
        <w:t>-</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4"/>
          <w:szCs w:val="24"/>
          <w:b w:val="1"/>
          <w:bCs w:val="1"/>
          <w:color w:val="00A3E1"/>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Group1 Automotive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Maxim Integrated Products, Inc.</w:t>
      </w:r>
    </w:p>
    <w:p>
      <w:pPr>
        <w:spacing w:after="0" w:line="83" w:lineRule="exact"/>
        <w:rPr>
          <w:sz w:val="20"/>
          <w:szCs w:val="20"/>
          <w:color w:val="auto"/>
        </w:rPr>
      </w:pPr>
    </w:p>
    <w:p>
      <w:pPr>
        <w:sectPr>
          <w:pgSz w:w="11900" w:h="16838" w:orient="portrait"/>
          <w:cols w:equalWidth="0" w:num="2">
            <w:col w:w="2660" w:space="140"/>
            <w:col w:w="8420"/>
          </w:cols>
          <w:pgMar w:left="320" w:top="1337" w:right="359" w:bottom="1440" w:gutter="0" w:footer="0" w:header="0"/>
          <w:type w:val="continuous"/>
        </w:sectPr>
      </w:pPr>
    </w:p>
    <w:p>
      <w:pPr>
        <w:ind w:left="2460"/>
        <w:spacing w:after="0"/>
        <w:rPr>
          <w:sz w:val="20"/>
          <w:szCs w:val="20"/>
          <w:color w:val="auto"/>
        </w:rPr>
      </w:pPr>
      <w:r>
        <w:rPr>
          <w:rFonts w:ascii="Arial" w:cs="Arial" w:eastAsia="Arial" w:hAnsi="Arial"/>
          <w:sz w:val="18"/>
          <w:szCs w:val="18"/>
          <w:b w:val="1"/>
          <w:bCs w:val="1"/>
          <w:color w:val="00A3E1"/>
        </w:rPr>
        <w:t>Board Skills, Qualifications, and Expertise</w:t>
      </w:r>
    </w:p>
    <w:p>
      <w:pPr>
        <w:spacing w:after="0" w:line="41" w:lineRule="exact"/>
        <w:rPr>
          <w:sz w:val="20"/>
          <w:szCs w:val="20"/>
          <w:color w:val="auto"/>
        </w:rPr>
      </w:pPr>
    </w:p>
    <w:p>
      <w:pPr>
        <w:ind w:left="2460" w:right="140"/>
        <w:spacing w:after="0" w:line="242" w:lineRule="auto"/>
        <w:rPr>
          <w:sz w:val="20"/>
          <w:szCs w:val="20"/>
          <w:color w:val="auto"/>
        </w:rPr>
      </w:pPr>
      <w:r>
        <w:rPr>
          <w:rFonts w:ascii="Arial" w:cs="Arial" w:eastAsia="Arial" w:hAnsi="Arial"/>
          <w:sz w:val="18"/>
          <w:szCs w:val="18"/>
          <w:color w:val="auto"/>
        </w:rPr>
        <w:t>Ms. Wright’s extensive experience in, and knowledge of, the automotive industry (OEM and Tier 1 supplier),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 of Directors.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 xml:space="preserve">Age </w:t>
      </w:r>
      <w:r>
        <w:rPr>
          <w:rFonts w:ascii="Arial" w:cs="Arial" w:eastAsia="Arial" w:hAnsi="Arial"/>
          <w:sz w:val="21"/>
          <w:szCs w:val="21"/>
          <w:b w:val="1"/>
          <w:bCs w:val="1"/>
          <w:color w:val="FFFFFF"/>
        </w:rPr>
        <w:t>58</w:t>
      </w:r>
      <w:r>
        <w:rPr>
          <w:rFonts w:ascii="Arial" w:cs="Arial" w:eastAsia="Arial" w:hAnsi="Arial"/>
          <w:sz w:val="18"/>
          <w:szCs w:val="18"/>
          <w:color w:val="FFFFFF"/>
        </w:rPr>
        <w:t xml:space="preserve"> | Director Since </w:t>
      </w:r>
      <w:r>
        <w:rPr>
          <w:rFonts w:ascii="Arial" w:cs="Arial" w:eastAsia="Arial" w:hAnsi="Arial"/>
          <w:sz w:val="21"/>
          <w:szCs w:val="21"/>
          <w:b w:val="1"/>
          <w:bCs w:val="1"/>
          <w:color w:val="FFFFFF"/>
        </w:rPr>
        <w:t>2019</w:t>
      </w:r>
      <w:r>
        <w:rPr>
          <w:rFonts w:ascii="Arial" w:cs="Arial" w:eastAsia="Arial" w:hAnsi="Arial"/>
          <w:sz w:val="18"/>
          <w:szCs w:val="18"/>
          <w:color w:val="FFFFFF"/>
        </w:rPr>
        <w:t xml:space="preserve"> | Committees </w:t>
      </w:r>
      <w:r>
        <w:rPr>
          <w:rFonts w:ascii="Arial" w:cs="Arial" w:eastAsia="Arial" w:hAnsi="Arial"/>
          <w:sz w:val="21"/>
          <w:szCs w:val="21"/>
          <w:b w:val="1"/>
          <w:bCs w:val="1"/>
          <w:color w:val="FFFFFF"/>
        </w:rPr>
        <w:t>Compensation, 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voting “</w:t>
      </w:r>
      <w:r>
        <w:rPr>
          <w:rFonts w:ascii="Arial" w:cs="Arial" w:eastAsia="Arial" w:hAnsi="Arial"/>
          <w:sz w:val="18"/>
          <w:szCs w:val="18"/>
          <w:b w:val="1"/>
          <w:bCs w:val="1"/>
          <w:color w:val="0090DA"/>
        </w:rPr>
        <w:t>FOR</w:t>
      </w:r>
      <w:r>
        <w:rPr>
          <w:rFonts w:ascii="Arial" w:cs="Arial" w:eastAsia="Arial" w:hAnsi="Arial"/>
          <w:sz w:val="18"/>
          <w:szCs w:val="18"/>
          <w:b w:val="1"/>
          <w:bCs w:val="1"/>
          <w:color w:val="auto"/>
        </w:rPr>
        <w:t>” approval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337"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40"/>
          <w:szCs w:val="40"/>
          <w:b w:val="1"/>
          <w:bCs w:val="1"/>
          <w:color w:val="auto"/>
        </w:rPr>
        <w:t>Director Nominations and Board Refreshment</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Nomination Process</w:t>
      </w:r>
    </w:p>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Governance and Sustainability Committee regularly reviews the appropriate size and composition of the Board, including by anticipating vacancies and required expertise for the effective oversight of the Company. In evaluating the existing Board and any desired characteristics of potential nominees, the Governance and Sustainability Committee considers the knowledge, experience, integrity, and judgment of the candidates, their contribution to the diversity of backgrounds, experience and skills on the Board, and their ability to devote sufficient time and effort to their duties as directors. The Governance and Sustainability Committee considers the following experience particularly relevant: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the Nasdaq Stock Market LLC (“Nasdaq”) and relevant rules and regulations of the Securities and Exchange Commission (“SEC”). The Governance and Sustainability Committee then recommends the best candidates to the Board.</w:t>
      </w:r>
    </w:p>
    <w:p>
      <w:pPr>
        <w:spacing w:after="0" w:line="204"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When the Board of Directors decides to add directors to the Board, the Governance and Sustainability Committee works with a third party executive search firm to assist them in identifying and evaluating potential candidates.</w:t>
      </w:r>
    </w:p>
    <w:p>
      <w:pPr>
        <w:spacing w:after="0" w:line="17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Although the Governance and Sustainability Committee has not established specific diversity guidelines, the Board seeks to maintain a balance of perspectives, qualities, and skills on the Board to obtain a diversity of viewpoints to better understand the technical, economic, political, and social environments in which we operate and to enhance Micron’s performance. Accordingly, the Governance and Sustainability Committee takes into account the personal characteristics, experience, and skills of current and prospective directors, including gender, race, and ethnicity, to ensure that our Board comprises a broad range of perspectives, and measures success by the range of viewpoints represented on the Board.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Recommendations of Director Candidates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Bylaws permit shareholders to nominate directors at an annual meeting of shareholders or at a special meeting at which directors are to be elected. A shareholder may recommend a director candidate to the Governance and Sustainability Committee by delivering a written notice to our Corporate Secretary at our principal executive offices and including the following in the notice: the name and address of the shareholder as they appear on our books or other proof of share ownership; the number of shares of our Common Stock beneficially owned by the shareholder as of the date the shareholder gives written notice; a description of all arrangements or understandings between the shareholder and the director candidate and any other person(s) pursuant to which the recommendation or nomination is to be made by the shareholder; the name, age, business address, and residence address of the director candidate and a description of the director candidate’s business experience for at least the previous five years; the principal occupation or employment of the director candidate; the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applicable rules of the SEC.</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Governance and Sustainability Committee may require additional information as it deems reasonably required to determine the eligibility of the director candidate to serve as a member of our Board of Directors. Shareholders recommending candidates for consideration by our Board in connection with the next annual meeting of shareholders should submit their written recommendation no later than one hundred twenty (120) calendar days in advance of the date of our Proxy Statement released in connection with the previous year's annual meeting of shareholders. 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 that a shareholder-recommended candidate is suitable for membership on our Board of Directors, it will include the candidate in the pool of candidates to be considered for nomination upon the occurrence of the next vacancy on our Board or in connection with the next annual meeting of shareholders.</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9</w:t>
      </w:r>
    </w:p>
    <w:p>
      <w:pPr>
        <w:sectPr>
          <w:pgSz w:w="11900" w:h="16838" w:orient="portrait"/>
          <w:cols w:equalWidth="0" w:num="1">
            <w:col w:w="11240"/>
          </w:cols>
          <w:pgMar w:left="320" w:top="107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Proxy Access</w:t>
      </w:r>
    </w:p>
    <w:p>
      <w:pPr>
        <w:spacing w:after="0" w:line="25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 xml:space="preserve">Our Bylaws permit up to 20 shareholders owning in the aggregate at least 3% of the Company’s outstanding common stock continuously for at least three years to nominate and include shareholder-nominated director candidates in our proxy materials for annual meetings of shareholders. A shareholder, or group of not more than 20 shareholders (collectively, an “eligible shareholder”), meeting specified eligibility requirements is generally permitted to nominate the greater of (i) two director nominees or (ii) 20% of the number of directors on our Board. Use of the proxy access process to submit shareholder nominees is subject to additional eligibility, procedural, and disclosure requirements set forth in Section 11 of our Bylaws. A copy of our Bylaws can be found on the Corporate Governance page of our website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available in print upon request to corporatesecretary@micron.com.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Director Nominations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Shareholders who wish to nominate a person for election as a director in connection with an annual meeting of shareholders (as opposed to making a recommendation to the Governance and Sustainability Committee as described above) and who do not intend for the nomination to be included in our proxy materials pursuant to the proxy access process described above must comply with the advance notice requirement set forth in Section 11 of our Bylaws.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Refreshment</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the Company. Our Board seeks to achieve this balance through its director succession planning process and director retirement policy, as well as in response to the annual Board and individual director assessment process discussed below.</w:t>
      </w:r>
    </w:p>
    <w:p>
      <w:pPr>
        <w:spacing w:after="0" w:line="19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August 2020, our Board appointed Ms. Lynn A. Dugle as a director. Ms. Dugle brings valuable insights and experience to our Board, including extensive experience in and knowledge of information, technology, cyber security, corporate strategy, operations, and research and development. With the appointments of Ms. Dugle in 2020, Ms. Wright in 2019, and Ms. McCarthy and Mr. Gomo in 2018, our Board refreshed its composition while maintaining institutional knowledge with directors of varying lengths of tenure. The Governance and Sustainability Committee is committed to continuing to identify and recruit highly qualified director candidates with diverse experiences, perspectives, and backgrounds to join our Board.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Policy</w:t>
      </w:r>
    </w:p>
    <w:p>
      <w:pPr>
        <w:spacing w:after="0" w:line="25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Corporate Governance Guidelines specify a mandatory retirement age of 75 for members of our Board and provide that committee chairs serve for no more than five years, but give the Board discretion, in each case, to waive the requirement annually on a case-by-case basis.</w:t>
      </w:r>
    </w:p>
    <w:p>
      <w:pPr>
        <w:spacing w:after="0" w:line="17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The Board’s Role and Responsibilities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Shareholder Engagement</w:t>
      </w:r>
    </w:p>
    <w:p>
      <w:pPr>
        <w:spacing w:after="0" w:line="247"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We are committed to engaging with our shareholders and soliciting their views and input on important matters, including performance, executive compensation, governance, and environmental, social, and human capital management.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directors periodically engage directly with our shareholders by participating in shareholder outreach.</w:t>
      </w:r>
    </w:p>
    <w:p>
      <w:pPr>
        <w:spacing w:after="0" w:line="252"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Members of our management team, together with our investor relations, sustainability and legal teams, maintain an active dialogue with shareholders throughout the year to obtain their input on key matters, and keep our management and Board informed about the issues that matter most to our shareholders.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332" w:right="339" w:bottom="1440" w:gutter="0" w:footer="0" w:header="0"/>
        </w:sectPr>
      </w:pPr>
    </w:p>
    <w:bookmarkStart w:id="18" w:name="page19"/>
    <w:bookmarkEnd w:id="18"/>
    <w:p>
      <w:pPr>
        <w:ind w:left="660" w:right="140" w:hanging="328"/>
        <w:spacing w:after="0" w:line="26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and Governance and Sustainability Committee routinely review our executive compensation design and governance practices and policies, with an eye towards continual improvement and enhancements. Our investor relations team updates the Board concerning shareholder input on these issues, allowing the Board and its committees to take shareholder input into account when setting pay and governance practices.</w:t>
      </w:r>
    </w:p>
    <w:p>
      <w:pPr>
        <w:spacing w:after="0" w:line="19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fiscal 2020, our discussions with investors covered a variety of topics, including our response to COVID-19, environmental and social topics including diversity issues and our efforts to support social justice as well as our new environmental goals, enhanced disclosures in our 2020 Sustainability Report that included investor-oriented Sustainability Accounting Standards Board disclosures, Board composition and refreshment efforts (including the recent additions to our Board), and executive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Diversity, Equality, and Inclusion</w:t>
      </w:r>
    </w:p>
    <w:p>
      <w:pPr>
        <w:spacing w:after="0" w:line="2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believe our people are our most important resource and a critical driver of our competitive advantage. We also believe that our best innovation springs from our team members’ diverse experiences, perspectives, and backgrounds. Our Board considers the creation and maintenance of a diverse and inclusive environment to be a crucial element of the Company’s business strategy, including effectively addressing customer, shareholder, and other stakeholder needs, and believes each Micron hire is an opportunity to enhance the competencies, skills, talent, experience, and perspectives in our Company with diverse perspectives, backgrounds, and viewpoints. The Board has tasked the Company’s management team with taking a proactive approach to diversity, equality, and inclusion, and periodically reviews our programs and processes to ensure continual improvement. In addition to this proactive approach to improving our Company, the Board encouraged the Company to commit resources to the well-being of our communities across the globe. In fiscal 2020, we committed $35 million, including the establishment of the Micron Foundation $10 million COVID-19 Relief Fund, to help those disproportionately affected by COVID-19, and the Micron Foundation matched team member contributions on a 2-to-1 basis. The Micron Foundation and our team member giving program also committed more than $1 million to the NAACP Legal Defense Fund in support of social justice initiatives and in response to the killings of George Floyd, Breonna Taylor, and others.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w:t>
      </w:r>
    </w:p>
    <w:p>
      <w:pPr>
        <w:spacing w:after="0" w:line="25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Our Board believes a diverse workforce is a competitive advantage and that diverse teams drive more innovation, delivering value to our customers and increased returns to shareholders. We believe diverse teams expand creativity and problem-solving, lead to better decision-making, and enhance team member engagement and retention. Encouraged by our Board, we actively pursue a diverse talent pool using advanced technologies and inclusive hiring practices, and we partner with universities around the world to help us grow a workforce that reflects our customers and our communities.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Equality</w:t>
      </w:r>
    </w:p>
    <w:p>
      <w:pPr>
        <w:spacing w:after="0" w:line="25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believe our vision to enrich life for all includes how we compensate our employees. We analyze our global compensation and benefits to ensure opportunities for all employees because our People value makes it essential we pay everyone fairly. We have a regular review cadence for pay globally—including base pay and stock awards. If we find gaps during the review, we fix them. We work with a third-party and use dynamic technology to help us analyze and understand our pay variances and adjust when needed. Historically, our pay equity study has focused on gender globally. We have expanded our study to focus on all underrepresented groups: women and people with disabilities globally and veterans, Blacks and Hispanics in the United States. We are committed to pay equity for all.</w:t>
      </w:r>
    </w:p>
    <w:p>
      <w:pPr>
        <w:spacing w:after="0" w:line="20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have introduced training on inclusion allyship, inviting our global employees to learn from various underrepresented groups about the challenges and injustices they face as a result of their differences. These trainings help our employees and leaders understand, recognize, and overcome the unconscious biases we all have. We have also added an inclusion advocate in talent review meetings. The inclusion advocate listens carefully for unconscious bias, calls any to the attention of the team, and challenges unfair assumptions to ensure decisions regarding promotions, rotation assignments, access to training and other advancement opportunities are determined fairly.</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11</w:t>
      </w:r>
    </w:p>
    <w:p>
      <w:pPr>
        <w:sectPr>
          <w:pgSz w:w="11900" w:h="16838" w:orient="portrait"/>
          <w:cols w:equalWidth="0" w:num="1">
            <w:col w:w="11240"/>
          </w:cols>
          <w:pgMar w:left="320" w:top="1332" w:right="339" w:bottom="1440" w:gutter="0" w:footer="0" w:header="0"/>
        </w:sectPr>
      </w:pPr>
    </w:p>
    <w:bookmarkStart w:id="19" w:name="page20"/>
    <w:bookmarkEnd w:id="19"/>
    <w:p>
      <w:pPr>
        <w:ind w:right="80"/>
        <w:spacing w:after="0" w:line="276" w:lineRule="auto"/>
        <w:rPr>
          <w:sz w:val="20"/>
          <w:szCs w:val="20"/>
          <w:color w:val="auto"/>
        </w:rPr>
      </w:pPr>
      <w:r>
        <w:rPr>
          <w:rFonts w:ascii="Arial" w:cs="Arial" w:eastAsia="Arial" w:hAnsi="Arial"/>
          <w:sz w:val="18"/>
          <w:szCs w:val="18"/>
          <w:color w:val="auto"/>
        </w:rPr>
        <w:t>We also provide grants to minority-owned businesses to help underrepresented businesses have equitable opportunities, which also creates a multiplying effect on the economies of those communities.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Inclusion</w:t>
      </w:r>
    </w:p>
    <w:p>
      <w:pPr>
        <w:spacing w:after="0" w:line="252"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color w:val="auto"/>
        </w:rPr>
        <w:t xml:space="preserve">We believe that creating an inclusive culture at Micron helps us unleash the human potential of our team members, so everyone feels seen, heard, valued, and respected. These values help us create an environment where team members know they can bring their whole selves to work developing the next solution for data storage, health care technology, self-driving cars, or whatever our applications need to do to drive technology forward. In fiscal 2020, we updated the Micron vision with the words “for all” to underscore our commitment to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which demonstrates that we truly value inclusion.</w:t>
      </w:r>
    </w:p>
    <w:p>
      <w:pPr>
        <w:spacing w:after="0" w:line="20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Please see our Diversity, Equality &amp; Inclusion Report 2020, available at micron.com/DEI, for more information about how we are ensuring diversity, equality, and inclusion are part of our Company’s global DNA, expanding to a global focus, especially in Asia. Our Diversity, Equality</w:t>
      </w:r>
    </w:p>
    <w:p>
      <w:pPr>
        <w:spacing w:after="0" w:line="1" w:lineRule="exact"/>
        <w:rPr>
          <w:sz w:val="20"/>
          <w:szCs w:val="20"/>
          <w:color w:val="auto"/>
        </w:rPr>
      </w:pPr>
    </w:p>
    <w:p>
      <w:pPr>
        <w:ind w:right="80" w:firstLine="8"/>
        <w:spacing w:after="0" w:line="266" w:lineRule="auto"/>
        <w:tabs>
          <w:tab w:leader="none" w:pos="1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Inclusion Report 2020 and the information at or accessible through our website, are not part of or incorporated by reference into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Sustainability</w:t>
      </w:r>
    </w:p>
    <w:p>
      <w:pPr>
        <w:spacing w:after="0" w:line="24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Our commitment to understanding and addressing environmental, social, and governance (“ESG”) issues along our value chain and in our communities is a critical part of our culture and our vision to transform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Our Board considers ESG issues to be an integral part of its business oversight and our corporate strategy, and has encouraged a proactive approach toward mitigating our impact on the environment, supporting our team members and the communities in which they live, respecting human rights, driving transparency and accountability in our supply chain, and developing innovative products that support a sustainable future. We have developed and are executing on a sustainability strategy in response to these issues that leverages our leading products, responsible sourcing and operations, and engaged team members.</w:t>
      </w:r>
    </w:p>
    <w:p>
      <w:pPr>
        <w:spacing w:after="0" w:line="20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Board, supported by the Governance and Sustainability Committee and other Board committees as needed, oversees and monitors the development and integration of this strategy, and regularly reviews sustainability performance. Board oversight includes, but is not limited to, material ESG trends and related long and short-term impacts of the Company’s operations, supply chains, and products, as well as the Company’s activities and annual public reporting on these topics directed by the Company’s Sustainability Council, sustainability staff, and various teams implementing the Company’s sustainability efforts.</w:t>
      </w:r>
    </w:p>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Governance and Sustainability Committee reviews and discusses ESG issues at each regularly-scheduled committee meeting. Discussions and reports to the Committee include information about significant ESG issues, such as observations from consultations with team members, customers, investors, and other stakeholders about their interests and expectations for us; our social and environmental impacts and benefits; and the impacts of these issues on our business. Over the past year, the Governance and Sustainability Committee reviewed the development of our first-ever long-term environmental goals and aspirations. We expect to allocate up to 2% of capital expenditures (or about $1 billion over the next five to seven years) to support these goals, though we cannot guarantee that our environmental goals and aspirations set forth below will be realized. These goals and initiatives have been developed based in part on feedback from investors, customers, and current and prospective team members, and are a critical component of our management of evolving physical, regulatory, market, supply chain, and other risks and opportunities related to climate change, water availability, and other ESG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33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9"/>
          <w:szCs w:val="29"/>
          <w:b w:val="1"/>
          <w:bCs w:val="1"/>
          <w:color w:val="auto"/>
        </w:rPr>
        <w:t>Our Environmental Goals and Aspirations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09803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Emissions:</w:t>
            </w:r>
          </w:p>
        </w:tc>
        <w:tc>
          <w:tcPr>
            <w:tcW w:w="5020" w:type="dxa"/>
            <w:vAlign w:val="bottom"/>
          </w:tcPr>
          <w:p>
            <w:pPr>
              <w:jc w:val="center"/>
              <w:ind w:left="70"/>
              <w:spacing w:after="0"/>
              <w:rPr>
                <w:sz w:val="20"/>
                <w:szCs w:val="20"/>
                <w:color w:val="auto"/>
              </w:rPr>
            </w:pPr>
            <w:r>
              <w:rPr>
                <w:rFonts w:ascii="Arial" w:cs="Arial" w:eastAsia="Arial" w:hAnsi="Arial"/>
                <w:sz w:val="18"/>
                <w:szCs w:val="18"/>
                <w:b w:val="1"/>
                <w:bCs w:val="1"/>
                <w:color w:val="00A3E1"/>
                <w:w w:val="99"/>
              </w:rPr>
              <w:t>Goals</w:t>
            </w:r>
          </w:p>
        </w:tc>
        <w:tc>
          <w:tcPr>
            <w:tcW w:w="4480" w:type="dxa"/>
            <w:vAlign w:val="bottom"/>
          </w:tcPr>
          <w:p>
            <w:pPr>
              <w:jc w:val="center"/>
              <w:ind w:left="150"/>
              <w:spacing w:after="0"/>
              <w:rPr>
                <w:sz w:val="20"/>
                <w:szCs w:val="20"/>
                <w:color w:val="auto"/>
              </w:rPr>
            </w:pPr>
            <w:r>
              <w:rPr>
                <w:rFonts w:ascii="Arial" w:cs="Arial" w:eastAsia="Arial" w:hAnsi="Arial"/>
                <w:sz w:val="18"/>
                <w:szCs w:val="18"/>
                <w:b w:val="1"/>
                <w:bCs w:val="1"/>
                <w:color w:val="00A3E1"/>
              </w:rPr>
              <w:t>Aspirations</w:t>
            </w: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5020" w:type="dxa"/>
            <w:vAlign w:val="bottom"/>
          </w:tcPr>
          <w:p>
            <w:pPr>
              <w:jc w:val="center"/>
              <w:ind w:left="50"/>
              <w:spacing w:after="0" w:line="189" w:lineRule="exact"/>
              <w:rPr>
                <w:sz w:val="20"/>
                <w:szCs w:val="20"/>
                <w:color w:val="auto"/>
              </w:rPr>
            </w:pPr>
            <w:r>
              <w:rPr>
                <w:rFonts w:ascii="Arial" w:cs="Arial" w:eastAsia="Arial" w:hAnsi="Arial"/>
                <w:sz w:val="18"/>
                <w:szCs w:val="18"/>
                <w:color w:val="auto"/>
                <w:w w:val="99"/>
              </w:rPr>
              <w:t>75% reduction in greenhouse gas emissions per unit in</w:t>
            </w:r>
          </w:p>
        </w:tc>
        <w:tc>
          <w:tcPr>
            <w:tcW w:w="4480" w:type="dxa"/>
            <w:vAlign w:val="bottom"/>
          </w:tcPr>
          <w:p>
            <w:pPr>
              <w:jc w:val="center"/>
              <w:ind w:left="150"/>
              <w:spacing w:after="0" w:line="189" w:lineRule="exact"/>
              <w:rPr>
                <w:sz w:val="20"/>
                <w:szCs w:val="20"/>
                <w:color w:val="auto"/>
              </w:rPr>
            </w:pPr>
            <w:r>
              <w:rPr>
                <w:rFonts w:ascii="Arial" w:cs="Arial" w:eastAsia="Arial" w:hAnsi="Arial"/>
                <w:sz w:val="18"/>
                <w:szCs w:val="18"/>
                <w:color w:val="auto"/>
                <w:w w:val="99"/>
              </w:rPr>
              <w:t>40% absolute reduction in greenhouse gas</w:t>
            </w: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Energy:</w:t>
            </w:r>
          </w:p>
        </w:tc>
        <w:tc>
          <w:tcPr>
            <w:tcW w:w="5020" w:type="dxa"/>
            <w:vAlign w:val="bottom"/>
          </w:tcPr>
          <w:p>
            <w:pPr>
              <w:jc w:val="center"/>
              <w:ind w:left="50"/>
              <w:spacing w:after="0"/>
              <w:rPr>
                <w:sz w:val="20"/>
                <w:szCs w:val="20"/>
                <w:color w:val="auto"/>
              </w:rPr>
            </w:pPr>
            <w:r>
              <w:rPr>
                <w:rFonts w:ascii="Arial" w:cs="Arial" w:eastAsia="Arial" w:hAnsi="Arial"/>
                <w:sz w:val="18"/>
                <w:szCs w:val="18"/>
                <w:color w:val="auto"/>
                <w:w w:val="99"/>
              </w:rPr>
              <w:t>calendar year 2030 vs. calendar year 2018</w:t>
            </w:r>
          </w:p>
        </w:tc>
        <w:tc>
          <w:tcPr>
            <w:tcW w:w="4480" w:type="dxa"/>
            <w:vAlign w:val="bottom"/>
          </w:tcPr>
          <w:p>
            <w:pPr>
              <w:jc w:val="center"/>
              <w:ind w:left="150"/>
              <w:spacing w:after="0"/>
              <w:rPr>
                <w:sz w:val="20"/>
                <w:szCs w:val="20"/>
                <w:color w:val="auto"/>
              </w:rPr>
            </w:pPr>
            <w:r>
              <w:rPr>
                <w:rFonts w:ascii="Arial" w:cs="Arial" w:eastAsia="Arial" w:hAnsi="Arial"/>
                <w:sz w:val="18"/>
                <w:szCs w:val="18"/>
                <w:color w:val="auto"/>
              </w:rPr>
              <w:t>emissions vs. calendar year 2018</w:t>
            </w: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5020" w:type="dxa"/>
            <w:vAlign w:val="bottom"/>
          </w:tcPr>
          <w:p>
            <w:pPr>
              <w:jc w:val="center"/>
              <w:ind w:left="50"/>
              <w:spacing w:after="0" w:line="189" w:lineRule="exact"/>
              <w:rPr>
                <w:sz w:val="20"/>
                <w:szCs w:val="20"/>
                <w:color w:val="auto"/>
              </w:rPr>
            </w:pPr>
            <w:r>
              <w:rPr>
                <w:rFonts w:ascii="Arial" w:cs="Arial" w:eastAsia="Arial" w:hAnsi="Arial"/>
                <w:sz w:val="18"/>
                <w:szCs w:val="18"/>
                <w:color w:val="auto"/>
                <w:w w:val="99"/>
              </w:rPr>
              <w:t>100% renewable energy in U.S. operations in</w:t>
            </w:r>
          </w:p>
        </w:tc>
        <w:tc>
          <w:tcPr>
            <w:tcW w:w="4480" w:type="dxa"/>
            <w:vAlign w:val="bottom"/>
          </w:tcPr>
          <w:p>
            <w:pPr>
              <w:jc w:val="center"/>
              <w:ind w:left="170"/>
              <w:spacing w:after="0" w:line="189" w:lineRule="exact"/>
              <w:rPr>
                <w:sz w:val="20"/>
                <w:szCs w:val="20"/>
                <w:color w:val="auto"/>
              </w:rPr>
            </w:pPr>
            <w:r>
              <w:rPr>
                <w:rFonts w:ascii="Arial" w:cs="Arial" w:eastAsia="Arial" w:hAnsi="Arial"/>
                <w:sz w:val="18"/>
                <w:szCs w:val="18"/>
                <w:color w:val="auto"/>
                <w:w w:val="99"/>
              </w:rPr>
              <w:t>100% renewable energy worldwide, where available</w:t>
            </w: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Water:</w:t>
            </w: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9"/>
              </w:rPr>
              <w:t>calendar year 2025</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5020" w:type="dxa"/>
            <w:vAlign w:val="bottom"/>
          </w:tcPr>
          <w:p>
            <w:pPr>
              <w:jc w:val="center"/>
              <w:ind w:left="50"/>
              <w:spacing w:after="0" w:line="189" w:lineRule="exact"/>
              <w:rPr>
                <w:sz w:val="20"/>
                <w:szCs w:val="20"/>
                <w:color w:val="auto"/>
              </w:rPr>
            </w:pPr>
            <w:r>
              <w:rPr>
                <w:rFonts w:ascii="Arial" w:cs="Arial" w:eastAsia="Arial" w:hAnsi="Arial"/>
                <w:sz w:val="18"/>
                <w:szCs w:val="18"/>
                <w:color w:val="auto"/>
              </w:rPr>
              <w:t>75% water reuse, recycling, or restoration in</w:t>
            </w:r>
          </w:p>
        </w:tc>
        <w:tc>
          <w:tcPr>
            <w:tcW w:w="4480" w:type="dxa"/>
            <w:vAlign w:val="bottom"/>
          </w:tcPr>
          <w:p>
            <w:pPr>
              <w:jc w:val="center"/>
              <w:ind w:left="170"/>
              <w:spacing w:after="0" w:line="189" w:lineRule="exact"/>
              <w:rPr>
                <w:sz w:val="20"/>
                <w:szCs w:val="20"/>
                <w:color w:val="auto"/>
              </w:rPr>
            </w:pPr>
            <w:r>
              <w:rPr>
                <w:rFonts w:ascii="Arial" w:cs="Arial" w:eastAsia="Arial" w:hAnsi="Arial"/>
                <w:sz w:val="18"/>
                <w:szCs w:val="18"/>
                <w:color w:val="auto"/>
                <w:w w:val="99"/>
              </w:rPr>
              <w:t>100% water reuse, recycling, or restoration</w:t>
            </w: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rPr>
              <w:t>Waste:</w:t>
            </w:r>
          </w:p>
        </w:tc>
        <w:tc>
          <w:tcPr>
            <w:tcW w:w="5020" w:type="dxa"/>
            <w:vAlign w:val="bottom"/>
          </w:tcPr>
          <w:p>
            <w:pPr>
              <w:jc w:val="center"/>
              <w:ind w:left="70"/>
              <w:spacing w:after="0"/>
              <w:rPr>
                <w:sz w:val="20"/>
                <w:szCs w:val="20"/>
                <w:color w:val="auto"/>
              </w:rPr>
            </w:pPr>
            <w:r>
              <w:rPr>
                <w:rFonts w:ascii="Arial" w:cs="Arial" w:eastAsia="Arial" w:hAnsi="Arial"/>
                <w:sz w:val="18"/>
                <w:szCs w:val="18"/>
                <w:color w:val="auto"/>
                <w:w w:val="99"/>
              </w:rPr>
              <w:t>calendar year 2030</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80" w:type="dxa"/>
            <w:vAlign w:val="bottom"/>
            <w:vMerge w:val="continue"/>
          </w:tcPr>
          <w:p>
            <w:pPr>
              <w:spacing w:after="0"/>
              <w:rPr>
                <w:sz w:val="16"/>
                <w:szCs w:val="16"/>
                <w:color w:val="auto"/>
              </w:rPr>
            </w:pPr>
          </w:p>
        </w:tc>
        <w:tc>
          <w:tcPr>
            <w:tcW w:w="5020" w:type="dxa"/>
            <w:vAlign w:val="bottom"/>
          </w:tcPr>
          <w:p>
            <w:pPr>
              <w:jc w:val="center"/>
              <w:ind w:left="50"/>
              <w:spacing w:after="0" w:line="189" w:lineRule="exact"/>
              <w:rPr>
                <w:sz w:val="20"/>
                <w:szCs w:val="20"/>
                <w:color w:val="auto"/>
              </w:rPr>
            </w:pPr>
            <w:r>
              <w:rPr>
                <w:rFonts w:ascii="Arial" w:cs="Arial" w:eastAsia="Arial" w:hAnsi="Arial"/>
                <w:sz w:val="18"/>
                <w:szCs w:val="18"/>
                <w:color w:val="auto"/>
              </w:rPr>
              <w:t>95% reuse, recycle, and recovery and zero hazardous</w:t>
            </w:r>
          </w:p>
        </w:tc>
        <w:tc>
          <w:tcPr>
            <w:tcW w:w="4480" w:type="dxa"/>
            <w:vAlign w:val="bottom"/>
          </w:tcPr>
          <w:p>
            <w:pPr>
              <w:jc w:val="center"/>
              <w:ind w:left="150"/>
              <w:spacing w:after="0" w:line="189" w:lineRule="exact"/>
              <w:rPr>
                <w:sz w:val="20"/>
                <w:szCs w:val="20"/>
                <w:color w:val="auto"/>
              </w:rPr>
            </w:pPr>
            <w:r>
              <w:rPr>
                <w:rFonts w:ascii="Arial" w:cs="Arial" w:eastAsia="Arial" w:hAnsi="Arial"/>
                <w:sz w:val="18"/>
                <w:szCs w:val="18"/>
                <w:color w:val="auto"/>
                <w:w w:val="99"/>
              </w:rPr>
              <w:t>100% reuse, recycle, and recovery and zero waste to</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5020" w:type="dxa"/>
            <w:vAlign w:val="bottom"/>
          </w:tcPr>
          <w:p>
            <w:pPr>
              <w:jc w:val="center"/>
              <w:ind w:left="50"/>
              <w:spacing w:after="0"/>
              <w:rPr>
                <w:sz w:val="20"/>
                <w:szCs w:val="20"/>
                <w:color w:val="auto"/>
              </w:rPr>
            </w:pPr>
            <w:r>
              <w:rPr>
                <w:rFonts w:ascii="Arial" w:cs="Arial" w:eastAsia="Arial" w:hAnsi="Arial"/>
                <w:sz w:val="18"/>
                <w:szCs w:val="18"/>
                <w:color w:val="auto"/>
                <w:w w:val="99"/>
              </w:rPr>
              <w:t>waste to landfill in calendar year 2030*</w:t>
            </w:r>
          </w:p>
        </w:tc>
        <w:tc>
          <w:tcPr>
            <w:tcW w:w="4480" w:type="dxa"/>
            <w:vAlign w:val="bottom"/>
          </w:tcPr>
          <w:p>
            <w:pPr>
              <w:jc w:val="center"/>
              <w:ind w:left="150"/>
              <w:spacing w:after="0"/>
              <w:rPr>
                <w:sz w:val="20"/>
                <w:szCs w:val="20"/>
                <w:color w:val="auto"/>
              </w:rPr>
            </w:pPr>
            <w:r>
              <w:rPr>
                <w:rFonts w:ascii="Arial" w:cs="Arial" w:eastAsia="Arial" w:hAnsi="Arial"/>
                <w:sz w:val="18"/>
                <w:szCs w:val="18"/>
                <w:color w:val="auto"/>
              </w:rPr>
              <w:t>landfill</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6"/>
          <w:szCs w:val="16"/>
          <w:color w:val="auto"/>
        </w:rPr>
        <w:t>Subject to alternate disposal vendor availability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the Board also reviewed:</w:t>
      </w:r>
    </w:p>
    <w:p>
      <w:pPr>
        <w:spacing w:after="0" w:line="252" w:lineRule="exact"/>
        <w:rPr>
          <w:sz w:val="20"/>
          <w:szCs w:val="20"/>
          <w:color w:val="auto"/>
        </w:rPr>
      </w:pPr>
    </w:p>
    <w:p>
      <w:pPr>
        <w:ind w:left="660" w:right="540" w:hanging="328"/>
        <w:spacing w:after="0" w:line="29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recent update to our Vision, Mission &amp; Values statement to reflect our vision to transform how the world uses information to enrich life for all;</w:t>
      </w:r>
    </w:p>
    <w:p>
      <w:pPr>
        <w:spacing w:after="0" w:line="171" w:lineRule="exact"/>
        <w:rPr>
          <w:rFonts w:ascii="Arial" w:cs="Arial" w:eastAsia="Arial" w:hAnsi="Arial"/>
          <w:sz w:val="18"/>
          <w:szCs w:val="18"/>
          <w:color w:val="auto"/>
        </w:rPr>
      </w:pPr>
    </w:p>
    <w:p>
      <w:pPr>
        <w:ind w:left="660" w:right="46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sustainability report, which in fiscal 2020 included an index and additional information aligning with the Sustainability Accounting Standards Board (“SASB”) semiconductor industry standard, supporting investor requests to align with the SASB standard;</w:t>
      </w:r>
    </w:p>
    <w:p>
      <w:pPr>
        <w:spacing w:after="0" w:line="189" w:lineRule="exact"/>
        <w:rPr>
          <w:rFonts w:ascii="Arial" w:cs="Arial" w:eastAsia="Arial" w:hAnsi="Arial"/>
          <w:sz w:val="18"/>
          <w:szCs w:val="18"/>
          <w:color w:val="auto"/>
        </w:rPr>
      </w:pPr>
    </w:p>
    <w:p>
      <w:pPr>
        <w:ind w:left="660" w:right="400" w:hanging="328"/>
        <w:spacing w:after="0" w:line="29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responsible sourcing efforts, including our conflict minerals report outlining our response to human rights and other concerns related to mineral sourcing;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human capital initiatives, including our talent acquisition, retention, and development policies and practices;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findings from team member, customer, investor and other stakeholder engagement exercises.</w:t>
      </w:r>
    </w:p>
    <w:p>
      <w:pPr>
        <w:spacing w:after="0" w:line="252"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color w:val="auto"/>
        </w:rPr>
        <w:t>We strive to make a positive impact on our team members, the communities in which we operate, and the planet, as well as our customers’ sustainability performance. We plan to continue regular consultation with stakeholders regarding environmental and social issues and report annually on our progress in these efforts. Our 2020 Sustainability Report, available at micron.com/sustainability, includes more details about the ways we are committed to sustainable practices and supporting our global community. Our Sustainability Report, and the information at or accessible through our website, are not part of or incorporated by reference into this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Risk Assessment and Mitigation</w:t>
      </w:r>
    </w:p>
    <w:p>
      <w:pPr>
        <w:spacing w:after="0" w:line="24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operate in a dynamic economic, social, and political landscape, making structured and conscientious risk management more important than ever. Our Board reviews and oversees our Enterprise Risk Management (“ERM”) program, which is a unified approach to risk management that helps us achieve a shared understanding of risks and make informed business decisions. This approach enhances our capability to address future events that create uncertainty and respond in an efficient and effective manner. It also facilitates prompt resolution of identified risks and embeds risk management into our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13</w:t>
      </w:r>
    </w:p>
    <w:p>
      <w:pPr>
        <w:sectPr>
          <w:pgSz w:w="11900" w:h="16838" w:orient="portrait"/>
          <w:cols w:equalWidth="0" w:num="1">
            <w:col w:w="11240"/>
          </w:cols>
          <w:pgMar w:left="320" w:top="1189" w:right="339" w:bottom="144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The Board has delegated primary oversight of our ERM process to the Audit Committee, which conducts reviews of our risk assessment and ERM policies as described below, including overseeing the management of risks related to cybersecurity, financial reporting, and compliance. Other Board committees provide additional insights into our ERM program in the areas of their core competencies, and report to the Board regularly on matters relating to the following specific areas of risk the committees oversee:</w:t>
      </w:r>
    </w:p>
    <w:p>
      <w:pPr>
        <w:spacing w:after="0" w:line="19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Compensation Committee oversees management of risks relating to our compensation plans and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Finance Committee oversees the Company’s strategies for management of significant financial risks.</w:t>
      </w:r>
    </w:p>
    <w:p>
      <w:pPr>
        <w:spacing w:after="0" w:line="252" w:lineRule="exact"/>
        <w:rPr>
          <w:rFonts w:ascii="Arial" w:cs="Arial" w:eastAsia="Arial" w:hAnsi="Arial"/>
          <w:sz w:val="18"/>
          <w:szCs w:val="18"/>
          <w:color w:val="auto"/>
        </w:rPr>
      </w:pPr>
    </w:p>
    <w:p>
      <w:pPr>
        <w:ind w:left="660" w:right="840" w:hanging="328"/>
        <w:spacing w:after="0" w:line="29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Governance and Sustainability Committee oversees risks associated with Board of Directors’ governance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ERM Process</w:t>
      </w:r>
    </w:p>
    <w:p>
      <w:pPr>
        <w:spacing w:after="0" w:line="25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designed our ERM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spacing w:after="0" w:line="190" w:lineRule="exact"/>
        <w:rPr>
          <w:sz w:val="20"/>
          <w:szCs w:val="20"/>
          <w:color w:val="auto"/>
        </w:rPr>
      </w:pPr>
    </w:p>
    <w:p>
      <w:pPr>
        <w:ind w:left="660" w:right="540" w:hanging="328"/>
        <w:spacing w:after="0" w:line="29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an initial step, our Risk Advisory Services representative meets periodically with business unit and functional area heads to identify significant financial and nonfinancial risk exposures and to develop risk mitigation measures and contingency plans.</w:t>
      </w:r>
    </w:p>
    <w:p>
      <w:pPr>
        <w:spacing w:after="0" w:line="171" w:lineRule="exact"/>
        <w:rPr>
          <w:rFonts w:ascii="Arial" w:cs="Arial" w:eastAsia="Arial" w:hAnsi="Arial"/>
          <w:sz w:val="18"/>
          <w:szCs w:val="18"/>
          <w:color w:val="auto"/>
        </w:rPr>
      </w:pPr>
    </w:p>
    <w:p>
      <w:pPr>
        <w:ind w:left="660" w:right="120" w:hanging="328"/>
        <w:spacing w:after="0" w:line="29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we collect data from stakeholders throughout the Company, our Risk Advisory Services representative summarizes the results of these meetings and creates a consolidated risk profile.</w:t>
      </w:r>
    </w:p>
    <w:p>
      <w:pPr>
        <w:spacing w:after="0" w:line="171" w:lineRule="exact"/>
        <w:rPr>
          <w:rFonts w:ascii="Arial" w:cs="Arial" w:eastAsia="Arial" w:hAnsi="Arial"/>
          <w:sz w:val="18"/>
          <w:szCs w:val="18"/>
          <w:color w:val="auto"/>
        </w:rPr>
      </w:pPr>
    </w:p>
    <w:p>
      <w:pPr>
        <w:ind w:left="660" w:right="200" w:hanging="328"/>
        <w:spacing w:after="0" w:line="27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Risk Advisory Services representative then reviews this risk profile with our senior management, seeking input and agreement on mitigation and response strategies. This process is iterative, and repeats as risks are added to, or are removed from, the ERM program.</w:t>
      </w:r>
    </w:p>
    <w:p>
      <w:pPr>
        <w:spacing w:after="0" w:line="189"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Risk Advisory Services representative attends quarterly Audit Committee meetings, where the Audit Committee reviews our risk profile and mitigation and response strategies, as well as our progress toward minimizing identified risks. This process repeats for the full Board periodically.</w:t>
      </w:r>
    </w:p>
    <w:p>
      <w:pPr>
        <w:spacing w:after="0" w:line="189" w:lineRule="exact"/>
        <w:rPr>
          <w:rFonts w:ascii="Arial" w:cs="Arial" w:eastAsia="Arial" w:hAnsi="Arial"/>
          <w:sz w:val="18"/>
          <w:szCs w:val="18"/>
          <w:color w:val="auto"/>
        </w:rPr>
      </w:pPr>
    </w:p>
    <w:p>
      <w:pPr>
        <w:ind w:left="660" w:right="80" w:hanging="328"/>
        <w:spacing w:after="0" w:line="29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incorporating input from the Audit Committee and/or the full Board, Risk Advisory Services designs our internal audit strategies and plans to minimize the impact of relevant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Compensation Committee reviews our compensation programs annually and has concluded that our compensation policies and practices are not reasonably likely to create situations that would have a material adverse effect on us. In making this assessment, the Compensation Committee reviewed our compensation programs to determine if the programs’ provisions and operations create undesired or unintentional risk of a material nature. The Compensation Committee also reviewed the results of our findings with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 to potential reward, and risk-control. Although the Compensation Committee reviewed all compensation programs, the Committee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across the Company. Certain internal groups have different or supplemental compensation programs tailored to their specific operations and goals, and programs may differ by country due to variations in local laws and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089" w:right="3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0090DA"/>
        </w:rPr>
        <w:t>Board Processes and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Acting ethically is a critical part of our culture and our vision to transform how the world uses information to enrich life for all. The Board has adopted a Code of Business Conduct and Ethics that is applicable to all our directors, officers, and team members. The Code of Business Conduct and Ethics sets out our expectations regarding the treatment of our team members, customers, and the communities in which we operate, as well as our commitment to high product quality, ethical and legal sourcing of our materials, and acting with integrity for our investors. A copy of our Code of Business Conduct and Ethics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 and the Listing Rules of Nasdaq.</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Self-Evaluation</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structure and responsibilities of our Board and its committees, agendas and meeting schedules for our Board and its committees, and changes in the performance or functioning of our Board.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Skills Evaluation</w:t>
      </w:r>
    </w:p>
    <w:p>
      <w:pPr>
        <w:spacing w:after="0" w:line="25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Governance and Sustainability Committee oversees the Board’s ongoing and annual assessments of the Board’s composition and the skills each director possesses. The Governance and Sustainability Committee has identified and continually refines a list of skills, attributes and experiences that it believes will result in an effective, dynamic and diverse Board. The Governance and Sustainability Committee then reviews each director on a matrix in an effort to identify needed skills, experiences or perspectives. The Governance and Sustainability Committee uses the insights this matrix provides to recommend committee assignments and inform searches for new director candidates or opportunities to refresh Board composition.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Board Structure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5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Board has determined that directors Bailey, Beyer, Dugle, Gomo, McCarthy, Switz, and Wright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Switz has served as our independent Chairman of the Board since February 2012. We do not have a fixed policy on whether the roles of Chairman and Chief Executive Officer should be separate or combined. The Board’s decision is based on our and our shareholders’ best interests under the circumstances existing at the time. In his role as Chairman, Mr. Switz oversees meetings of the independent directors and acts as a liaison between the independent directors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15</w:t>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Board Meetings and Committees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held five formal meetings during fiscal 2020. The Board met in Executive Session (meetings in which only non-employee directors are present) four times during fiscal 2020. In fiscal 2020, the Board had a standing Audit Committee, Compensation Committee, Finance Committee, and Governance and Sustainability Committee. During fiscal 2020, the Audit Committee met 11 times, the Compensation Committee met six times, the Finance Committee met six times, and the Governance and Sustainability Committee met four times. In addition to formal committee meetings, the chair of each committee engaged in regular discussions with management regarding various issues relevant to their respective committees. All incumbent directors attended 75% or more of the total number of meetings of the Board during fiscal 2020. All incumbent directors who served on the Audit, Compensation, Finance, and Governance and Sustainability Committees attended 75% or more of the total number of applicable committee meetings during fiscal 2020. We encourage director attendance at the Annual Meeting of Shareholders, and all then-incumbent members of our Board were present at the Fiscal 2019 Annual Meeting of Shareholders.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Audit, Compensation, Finance, and Governance and Sustainability Committees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are also available in print upon request to corporatesecretary@micron.com. The Board has determined that all the members of the Audit, Compensation, and Governance and Sustainability Committees satisfy the independence requirements of applicable SEC laws and the Listing Rules of Nasdaq for such committees.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Ms. McCarthy and Messrs. Bailey and Gomo currently serve on the Audit Committee. During fiscal 2020, Ms. McCarthy and Messrs. Bailey, Byrne, and Gomo served on the Audit Committee (Mr. Byrne served until his resignation from the Board in January 2020). Mr. Gomo has served as the Chair of the Audit Committee since January 2019. The Board has determined that all Audit Committee members qualify as an “audit committee financial expert” for purposes of the rules and regulations of the SEC and that each of these members is sufficiently proficient in reading and understanding our financial statements to serve on the Audit Committee. The purpose of the Audit Committee is to assist the Board in overseeing and monitoring:</w:t>
      </w:r>
    </w:p>
    <w:p>
      <w:pPr>
        <w:spacing w:after="0" w:line="20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adequacy of our internal controls and procedures;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“Audit Committee Matters –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Ms. Wright and Messrs. Beyer and Switz currently serve on the Compensation Committee. During fiscal 2020, Ms. Wright and Messrs. Beyer, Byrne, and Switz served on the Compensation Committee (Mr. Byrne served until his resignation from the Board in January 2020). Mr. Switz has served as the Chair of the Compensation Committee since January 2019. The Board has determined that all Compensation Committee members qualify as “non-employee directors” as defined under Rule 16b-3, promulgated under Section 16 of the Securities Exchange Act of 1934, as amended (the “Exchange Act”). The Compensation Committee is responsible for reviewing and</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089" w:right="359" w:bottom="1440" w:gutter="0" w:footer="0" w:header="0"/>
          <w:type w:val="continuous"/>
        </w:sectPr>
      </w:pPr>
    </w:p>
    <w:bookmarkStart w:id="24" w:name="page25"/>
    <w:bookmarkEnd w:id="24"/>
    <w:p>
      <w:pPr>
        <w:ind w:right="260"/>
        <w:spacing w:after="0" w:line="260" w:lineRule="auto"/>
        <w:rPr>
          <w:sz w:val="20"/>
          <w:szCs w:val="20"/>
          <w:color w:val="auto"/>
        </w:rPr>
      </w:pPr>
      <w:r>
        <w:rPr>
          <w:rFonts w:ascii="Arial" w:cs="Arial" w:eastAsia="Arial" w:hAnsi="Arial"/>
          <w:sz w:val="18"/>
          <w:szCs w:val="18"/>
          <w:color w:val="auto"/>
        </w:rPr>
        <w:t xml:space="preserve">approving the compensation of our executive officers. See “Executive Compensation and Related Information – Compensation Discussion and Analysis” and “–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Mses. Dugle and McCarthy and Messrs. Bailey, Gomo, and Mehrotra currently serve on the Finance Committee. During fiscal 2020, Mses. Dugle and McCarthy, and Messrs. Bailey, Gomo, and Mehrotra served on the Finance Committee. Mr. Mehrotra joined the Finance Committee when he became our President and CEO in May 2017. Ms. McCarthy has served as the Chair of the Finance Committee since January 2019. The Finance Committee represents and assists the Board in discharging its responsibilities with respect to oversight of our financial policies, financial strategies, capital structure, debt and equity offerings, capital return program, cash management and investments, risk management related to hedge and derivative instruments, and insurance. The complete duties of the Finance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Sustainability Committee</w:t>
      </w:r>
    </w:p>
    <w:p>
      <w:pPr>
        <w:spacing w:after="0" w:line="25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Ms. Wright and Messrs. Beyer and Switz currently serve on the Governance and Sustainability Committee. During fiscal 2020, Ms. Wright and Messrs. Beyer and Switz served on the Governance and Sustainability Committee. Mr. Beyer has served as Chair of the Governance and Sustainability Committee since July 2018. The responsibilities of the Governance and Sustainability Committee include assisting the Board in discharging its duties with respect to the following:</w:t>
      </w:r>
    </w:p>
    <w:p>
      <w:pPr>
        <w:spacing w:after="0" w:line="19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oversight and monitoring of the development and integration of material social and environmental strategies;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evaluation of the Board and management.</w:t>
      </w:r>
    </w:p>
    <w:p>
      <w:pPr>
        <w:spacing w:after="0" w:line="25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 xml:space="preserve">The complete duties and responsibilities of the Governance and Sustainability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and Communications with the Board of Directors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Mr. Switz has been the independent Chairman of our Board since February 2012. As part of his duties as Chairman, Mr. Switz chairs Executive Session meetings of our Board. Shareholders and interested parties wishing to communicate with our Board may contact Mr. Switz at chairman@micron.com.</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RELATIONSHIPS AND RELATED TRANSACTIONS</w:t>
      </w:r>
    </w:p>
    <w:p>
      <w:pPr>
        <w:spacing w:after="0" w:line="24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Related party transactions are reviewed by our Board in accordance with our related party transaction policy.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 (i) the nature and terms of the transaction, (ii) the dollar value of the transaction, (iii) whether the terms of the transaction are at least as favorable as they</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17</w:t>
      </w:r>
    </w:p>
    <w:p>
      <w:pPr>
        <w:sectPr>
          <w:pgSz w:w="11900" w:h="16838" w:orient="portrait"/>
          <w:cols w:equalWidth="0" w:num="1">
            <w:col w:w="11240"/>
          </w:cols>
          <w:pgMar w:left="320" w:top="1089" w:right="339" w:bottom="1440" w:gutter="0" w:footer="0" w:header="0"/>
        </w:sectPr>
      </w:pPr>
    </w:p>
    <w:bookmarkStart w:id="25" w:name="page26"/>
    <w:bookmarkEnd w:id="25"/>
    <w:p>
      <w:pPr>
        <w:spacing w:after="0" w:line="271" w:lineRule="auto"/>
        <w:rPr>
          <w:sz w:val="20"/>
          <w:szCs w:val="20"/>
          <w:color w:val="auto"/>
        </w:rPr>
      </w:pPr>
      <w:r>
        <w:rPr>
          <w:rFonts w:ascii="Arial" w:cs="Arial" w:eastAsia="Arial" w:hAnsi="Arial"/>
          <w:sz w:val="18"/>
          <w:szCs w:val="18"/>
          <w:color w:val="auto"/>
        </w:rPr>
        <w:t>would have been if a related party was not involved, (iv) the business reasons for the transaction, (v) whether the transaction would result in an improper conflict of interest, and (vi) the effects of the transaction on the ongoing relationship between us and the related party. There were no actual or proposed related party transactions in excess of $120,000 for fiscal 2020 and through November 18,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100"/>
          </w:cols>
          <w:pgMar w:left="320" w:top="1089" w:right="479" w:bottom="1440" w:gutter="0" w:footer="0" w:header="0"/>
        </w:sectPr>
      </w:pPr>
    </w:p>
    <w:bookmarkStart w:id="26" w:name="page27"/>
    <w:bookmarkEnd w:id="26"/>
    <w:p>
      <w:pPr>
        <w:spacing w:after="0"/>
        <w:rPr>
          <w:sz w:val="20"/>
          <w:szCs w:val="20"/>
          <w:color w:val="auto"/>
        </w:rPr>
      </w:pPr>
      <w:r>
        <w:rPr>
          <w:rFonts w:ascii="Arial" w:cs="Arial" w:eastAsia="Arial" w:hAnsi="Arial"/>
          <w:sz w:val="40"/>
          <w:szCs w:val="40"/>
          <w:b w:val="1"/>
          <w:bCs w:val="1"/>
          <w:color w:val="auto"/>
        </w:rPr>
        <w:t>DIRECTOR COMPENSATION</w:t>
      </w:r>
    </w:p>
    <w:p>
      <w:pPr>
        <w:spacing w:after="0" w:line="26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Governance and Sustainability Committee oversees the setting of compensation for our non-employee members of the Board. Each year, the Governance and Sustainability Committee works with our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officer compensation. For a discussion concerning the companies that comprised our Compensation Peer Group, please see “Executive Compensation and Related Information – Compensation Discussion and Analysis” below. Upon completion of its review and evaluation, the Governance and Sustainability Committee did not recommend any changes to the Board in director compensation for fiscal 2021.</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Elements of Director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Retainer and Committee Chair Remuneration</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Non-employee directors were entitled to receive an annual retainer of $125,000 in fiscal 2020. Pursuant to our 2008 Director’s Compensation Plan (the “DCP”), which operates as a sub-plan of the Amended and Restated 2007 Equity Incentive Plan (the “2007 Plan”), non-employee directors may elect to take some or all of their annual retainer in the form of cash, shares of Common Stock, or deferred rights to receive Common Stock upon termination as a director. Employee directors receive no additional or special remuneration for their service as directors. The amounts earned by the non-employee directors in respect of their service during fiscal 2020 are set forth below under “Fiscal 2020 Director Compensation.”</w:t>
      </w:r>
    </w:p>
    <w:p>
      <w:pPr>
        <w:spacing w:after="0" w:line="20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Set forth below are the amounts directors are entitled to receive for their service as committee chair or Chairman of the Board of Directors for fiscal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140335</wp:posOffset>
            </wp:positionV>
            <wp:extent cx="4843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255"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5040" w:type="dxa"/>
            <w:vAlign w:val="bottom"/>
            <w:shd w:val="clear" w:color="auto" w:fill="CBCBCB"/>
          </w:tcPr>
          <w:p>
            <w:pPr>
              <w:spacing w:after="0"/>
              <w:rPr>
                <w:sz w:val="20"/>
                <w:szCs w:val="20"/>
                <w:color w:val="auto"/>
              </w:rPr>
            </w:pPr>
            <w:r>
              <w:rPr>
                <w:rFonts w:ascii="Arial" w:cs="Arial" w:eastAsia="Arial" w:hAnsi="Arial"/>
                <w:sz w:val="18"/>
                <w:szCs w:val="18"/>
                <w:color w:val="auto"/>
              </w:rPr>
              <w:t>Audit Committee Chair</w:t>
            </w:r>
          </w:p>
        </w:tc>
        <w:tc>
          <w:tcPr>
            <w:tcW w:w="1580" w:type="dxa"/>
            <w:vAlign w:val="bottom"/>
            <w:shd w:val="clear" w:color="auto" w:fill="CBCBCB"/>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5040" w:type="dxa"/>
            <w:vAlign w:val="bottom"/>
            <w:shd w:val="clear" w:color="auto" w:fill="CBCBCB"/>
          </w:tcPr>
          <w:p>
            <w:pPr>
              <w:spacing w:after="0"/>
              <w:rPr>
                <w:sz w:val="20"/>
                <w:szCs w:val="20"/>
                <w:color w:val="auto"/>
              </w:rPr>
            </w:pPr>
            <w:r>
              <w:rPr>
                <w:rFonts w:ascii="Arial" w:cs="Arial" w:eastAsia="Arial" w:hAnsi="Arial"/>
                <w:sz w:val="18"/>
                <w:szCs w:val="18"/>
                <w:color w:val="auto"/>
              </w:rPr>
              <w:t>Finance Committee Chair</w:t>
            </w:r>
          </w:p>
        </w:tc>
        <w:tc>
          <w:tcPr>
            <w:tcW w:w="158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Governance and Sustainability Committee Chair</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5040" w:type="dxa"/>
            <w:vAlign w:val="bottom"/>
            <w:shd w:val="clear" w:color="auto" w:fill="CBCBCB"/>
          </w:tcPr>
          <w:p>
            <w:pPr>
              <w:spacing w:after="0"/>
              <w:rPr>
                <w:sz w:val="20"/>
                <w:szCs w:val="20"/>
                <w:color w:val="auto"/>
              </w:rPr>
            </w:pPr>
            <w:r>
              <w:rPr>
                <w:rFonts w:ascii="Arial" w:cs="Arial" w:eastAsia="Arial" w:hAnsi="Arial"/>
                <w:sz w:val="18"/>
                <w:szCs w:val="18"/>
                <w:color w:val="auto"/>
              </w:rPr>
              <w:t>Chairman of the Board of Directors</w:t>
            </w:r>
          </w:p>
        </w:tc>
        <w:tc>
          <w:tcPr>
            <w:tcW w:w="158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150,000</w:t>
            </w:r>
          </w:p>
        </w:tc>
      </w:tr>
    </w:tbl>
    <w:p>
      <w:pPr>
        <w:spacing w:after="0" w:line="32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We reimburse directors for travel and lodging expenses, if any, incurred in connection with attendance at Board of Directors’ meetings.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Non-employee directors receive an equity award each fiscal year. Since fiscal 2007, the equity award has been exclusively in the form of restricted stock. The “targeted value” for the annual non-employee director equity award is established each year by the Board following discussions with our compensation consultant and has been set at $ 250,000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2020 lapse for 100% of such shares on the first anniversary of the date of grant (the “Vesting Period”). Notwithstanding the foregoing, the restrictions will lapse for 100% of such shares in the event a director reaches the mandatory retirement age or retires from the Board during the Vesting Period having achieved a minimum of three years of service with the Board prior to the effective date of their retirement, or upon a director’s death or disability.</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19</w:t>
      </w:r>
    </w:p>
    <w:p>
      <w:pPr>
        <w:sectPr>
          <w:pgSz w:w="11900" w:h="16838" w:orient="portrait"/>
          <w:cols w:equalWidth="0" w:num="1">
            <w:col w:w="11240"/>
          </w:cols>
          <w:pgMar w:left="320" w:top="1075"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0090DA"/>
        </w:rPr>
        <w:t>Fiscal 2020 Director Compensation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gridSpan w:val="4"/>
          </w:tcPr>
          <w:p>
            <w:pPr>
              <w:spacing w:after="0"/>
              <w:rPr>
                <w:sz w:val="20"/>
                <w:szCs w:val="20"/>
                <w:color w:val="auto"/>
              </w:rPr>
            </w:pPr>
            <w:r>
              <w:rPr>
                <w:rFonts w:ascii="Arial" w:cs="Arial" w:eastAsia="Arial" w:hAnsi="Arial"/>
                <w:sz w:val="18"/>
                <w:szCs w:val="18"/>
                <w:color w:val="auto"/>
                <w:w w:val="99"/>
              </w:rPr>
              <w:t>The following table details the total compensation earned by our non-employee directors in fiscal 2020.</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20" w:type="dxa"/>
            <w:vAlign w:val="bottom"/>
          </w:tcPr>
          <w:p>
            <w:pPr>
              <w:spacing w:after="0"/>
              <w:rPr>
                <w:sz w:val="17"/>
                <w:szCs w:val="17"/>
                <w:color w:val="auto"/>
              </w:rPr>
            </w:pPr>
          </w:p>
        </w:tc>
        <w:tc>
          <w:tcPr>
            <w:tcW w:w="1540" w:type="dxa"/>
            <w:vAlign w:val="bottom"/>
          </w:tcPr>
          <w:p>
            <w:pPr>
              <w:jc w:val="right"/>
              <w:ind w:right="110"/>
              <w:spacing w:after="0" w:line="199" w:lineRule="exact"/>
              <w:rPr>
                <w:sz w:val="20"/>
                <w:szCs w:val="20"/>
                <w:color w:val="auto"/>
              </w:rPr>
            </w:pPr>
            <w:r>
              <w:rPr>
                <w:rFonts w:ascii="Arial" w:cs="Arial" w:eastAsia="Arial" w:hAnsi="Arial"/>
                <w:sz w:val="18"/>
                <w:szCs w:val="18"/>
                <w:b w:val="1"/>
                <w:bCs w:val="1"/>
                <w:color w:val="auto"/>
              </w:rPr>
              <w:t>Fees Earned or</w:t>
            </w:r>
          </w:p>
        </w:tc>
        <w:tc>
          <w:tcPr>
            <w:tcW w:w="200" w:type="dxa"/>
            <w:vAlign w:val="bottom"/>
          </w:tcPr>
          <w:p>
            <w:pPr>
              <w:spacing w:after="0"/>
              <w:rPr>
                <w:sz w:val="17"/>
                <w:szCs w:val="17"/>
                <w:color w:val="auto"/>
              </w:rPr>
            </w:pPr>
          </w:p>
        </w:tc>
        <w:tc>
          <w:tcPr>
            <w:tcW w:w="15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Stock Awards(2)</w:t>
            </w:r>
          </w:p>
        </w:tc>
        <w:tc>
          <w:tcPr>
            <w:tcW w:w="360" w:type="dxa"/>
            <w:vAlign w:val="bottom"/>
          </w:tcPr>
          <w:p>
            <w:pPr>
              <w:spacing w:after="0"/>
              <w:rPr>
                <w:sz w:val="17"/>
                <w:szCs w:val="17"/>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0090DA"/>
            </w:tcBorders>
            <w:vMerge w:val="continue"/>
          </w:tcPr>
          <w:p>
            <w:pPr>
              <w:spacing w:after="0"/>
              <w:rPr>
                <w:sz w:val="19"/>
                <w:szCs w:val="19"/>
                <w:color w:val="auto"/>
              </w:rPr>
            </w:pPr>
          </w:p>
        </w:tc>
        <w:tc>
          <w:tcPr>
            <w:tcW w:w="2520" w:type="dxa"/>
            <w:vAlign w:val="bottom"/>
            <w:tcBorders>
              <w:bottom w:val="single" w:sz="8" w:color="0090DA"/>
            </w:tcBorders>
          </w:tcPr>
          <w:p>
            <w:pPr>
              <w:spacing w:after="0"/>
              <w:rPr>
                <w:sz w:val="19"/>
                <w:szCs w:val="19"/>
                <w:color w:val="auto"/>
              </w:rPr>
            </w:pPr>
          </w:p>
        </w:tc>
        <w:tc>
          <w:tcPr>
            <w:tcW w:w="15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Paid in Cash(1)</w:t>
            </w:r>
          </w:p>
        </w:tc>
        <w:tc>
          <w:tcPr>
            <w:tcW w:w="200" w:type="dxa"/>
            <w:vAlign w:val="bottom"/>
            <w:tcBorders>
              <w:bottom w:val="single" w:sz="8" w:color="0090DA"/>
            </w:tcBorders>
          </w:tcPr>
          <w:p>
            <w:pPr>
              <w:spacing w:after="0"/>
              <w:rPr>
                <w:sz w:val="19"/>
                <w:szCs w:val="19"/>
                <w:color w:val="auto"/>
              </w:rPr>
            </w:pPr>
          </w:p>
        </w:tc>
        <w:tc>
          <w:tcPr>
            <w:tcW w:w="1560" w:type="dxa"/>
            <w:vAlign w:val="bottom"/>
            <w:tcBorders>
              <w:bottom w:val="single" w:sz="8" w:color="0090DA"/>
            </w:tcBorders>
            <w:vMerge w:val="continue"/>
          </w:tcPr>
          <w:p>
            <w:pPr>
              <w:spacing w:after="0"/>
              <w:rPr>
                <w:sz w:val="19"/>
                <w:szCs w:val="19"/>
                <w:color w:val="auto"/>
              </w:rPr>
            </w:pPr>
          </w:p>
        </w:tc>
        <w:tc>
          <w:tcPr>
            <w:tcW w:w="3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Robert L. Bailey</w:t>
            </w:r>
          </w:p>
        </w:tc>
        <w:tc>
          <w:tcPr>
            <w:tcW w:w="2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375,001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2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395,001</w:t>
            </w:r>
          </w:p>
        </w:tc>
        <w:tc>
          <w:tcPr>
            <w:tcW w:w="0" w:type="dxa"/>
            <w:vAlign w:val="bottom"/>
          </w:tcPr>
          <w:p>
            <w:pPr>
              <w:spacing w:after="0"/>
              <w:rPr>
                <w:sz w:val="1"/>
                <w:szCs w:val="1"/>
                <w:color w:val="auto"/>
              </w:rPr>
            </w:pPr>
          </w:p>
        </w:tc>
      </w:tr>
      <w:tr>
        <w:trPr>
          <w:trHeight w:val="229"/>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Patrick J. Byrne(3)</w:t>
            </w:r>
          </w:p>
        </w:tc>
        <w:tc>
          <w:tcPr>
            <w:tcW w:w="252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46,804</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296,805</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Lynn A. Dugle(4)</w:t>
            </w:r>
          </w:p>
        </w:tc>
        <w:tc>
          <w:tcPr>
            <w:tcW w:w="2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10,450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17,928</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30"/>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Steven Gomo</w:t>
            </w:r>
          </w:p>
        </w:tc>
        <w:tc>
          <w:tcPr>
            <w:tcW w:w="252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410,001</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2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145,000</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395,001</w:t>
            </w:r>
          </w:p>
        </w:tc>
        <w:tc>
          <w:tcPr>
            <w:tcW w:w="0" w:type="dxa"/>
            <w:vAlign w:val="bottom"/>
          </w:tcPr>
          <w:p>
            <w:pPr>
              <w:spacing w:after="0"/>
              <w:rPr>
                <w:sz w:val="1"/>
                <w:szCs w:val="1"/>
                <w:color w:val="auto"/>
              </w:rPr>
            </w:pPr>
          </w:p>
        </w:tc>
      </w:tr>
      <w:tr>
        <w:trPr>
          <w:trHeight w:val="230"/>
        </w:trPr>
        <w:tc>
          <w:tcPr>
            <w:tcW w:w="39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Robert E. Switz</w:t>
            </w:r>
          </w:p>
        </w:tc>
        <w:tc>
          <w:tcPr>
            <w:tcW w:w="2520" w:type="dxa"/>
            <w:vAlign w:val="bottom"/>
            <w:shd w:val="clear" w:color="auto" w:fill="D1D2D4"/>
          </w:tcPr>
          <w:p>
            <w:pPr>
              <w:spacing w:after="0"/>
              <w:rPr>
                <w:sz w:val="19"/>
                <w:szCs w:val="19"/>
                <w:color w:val="auto"/>
              </w:rPr>
            </w:pPr>
          </w:p>
        </w:tc>
        <w:tc>
          <w:tcPr>
            <w:tcW w:w="1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305,000</w:t>
            </w:r>
          </w:p>
        </w:tc>
        <w:tc>
          <w:tcPr>
            <w:tcW w:w="200" w:type="dxa"/>
            <w:vAlign w:val="bottom"/>
            <w:shd w:val="clear" w:color="auto" w:fill="D1D2D4"/>
          </w:tcPr>
          <w:p>
            <w:pPr>
              <w:spacing w:after="0"/>
              <w:rPr>
                <w:sz w:val="19"/>
                <w:szCs w:val="19"/>
                <w:color w:val="auto"/>
              </w:rPr>
            </w:pPr>
          </w:p>
        </w:tc>
        <w:tc>
          <w:tcPr>
            <w:tcW w:w="1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555,001</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MaryAnn Wright</w:t>
            </w:r>
          </w:p>
        </w:tc>
        <w:tc>
          <w:tcPr>
            <w:tcW w:w="25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375,001</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right="240" w:hanging="332"/>
        <w:spacing w:after="0" w:line="264"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Byrne elected to defer his cash compensation for calendar year 2019 under the DCP, under which cash compensation in the amount of $41,667 will be settled by issuing 828 shares of our Common Stock over a period of five years, on the anniversaries of the date Mr. Byrne terminated his service on our Board. Amounts for Mr. Byrne represent fees earned up to his resignation on January 15, 2020. Amounts for Ms. Dugle represent fees earned from August 4, 2020, the date she joined the Board, to September 3, 2020.</w:t>
      </w:r>
    </w:p>
    <w:p>
      <w:pPr>
        <w:spacing w:after="0" w:line="128" w:lineRule="exact"/>
        <w:rPr>
          <w:rFonts w:ascii="Arial" w:cs="Arial" w:eastAsia="Arial" w:hAnsi="Arial"/>
          <w:sz w:val="18"/>
          <w:szCs w:val="18"/>
          <w:color w:val="auto"/>
        </w:rPr>
      </w:pPr>
    </w:p>
    <w:p>
      <w:pPr>
        <w:ind w:left="340" w:right="220" w:hanging="332"/>
        <w:spacing w:after="0" w:line="264" w:lineRule="auto"/>
        <w:tabs>
          <w:tab w:leader="none" w:pos="3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October 16, 2019, each of Messrs. Bailey, Beyer, Byrne, Gomo, and Switz, and Mses. McCarthy and Wright was granted 5,381 shares of restricted stock with a grant date fair value of $250,001 ($46.46 per share). On August 20, 2020, Ms. Dugle was granted 407 shares of restricted stock with a grant date fair value of $17,928 ($44.05 per share). For information on the restrictions associated with these awards, see “Elements of Director Compensation – Equity Award” above.</w:t>
      </w:r>
    </w:p>
    <w:p>
      <w:pPr>
        <w:spacing w:after="0" w:line="142"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Byrne terminated Board service on January 15, 2020.</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Dugle joined the Board on August 4, 2020, and therefore, her “Fees Earned or Paid in Cash” and “Stock Awards” are prorated.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Ownership Guidelines</w:t>
      </w:r>
    </w:p>
    <w:p>
      <w:pPr>
        <w:spacing w:after="0" w:line="247"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We have established stock ownership guidelines for our directors. The minimum ownership guideline for directors is to hold shares with a value equal to five times their annual retainer. The minimum ownership guideline for our CEO is to hold shares with a value equal to five times his base salary. Directors are given five years to meet the ownership guidelines. The Governance and Sustainability Committee reviews the Ownership Guidelines annually and monitors each person’s progress toward, and continued compliance with, the guidelines. Stock sales restrictions may be imposed upon directors if the stock ownership guidelines are not met. All our directors are either in compliance with the guidelines or are newer directors who have time remaining to meet the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shows non-employee director compliance with the guidelines as of the Record Date:</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Director</w:t>
            </w:r>
          </w:p>
        </w:tc>
        <w:tc>
          <w:tcPr>
            <w:tcW w:w="218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Guideline</w:t>
            </w:r>
          </w:p>
        </w:tc>
        <w:tc>
          <w:tcPr>
            <w:tcW w:w="320" w:type="dxa"/>
            <w:vAlign w:val="bottom"/>
          </w:tcPr>
          <w:p>
            <w:pPr>
              <w:spacing w:after="0"/>
              <w:rPr>
                <w:sz w:val="17"/>
                <w:szCs w:val="17"/>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Guideline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Compliance</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0090DA"/>
            </w:tcBorders>
            <w:vMerge w:val="continue"/>
          </w:tcPr>
          <w:p>
            <w:pPr>
              <w:spacing w:after="0"/>
              <w:rPr>
                <w:sz w:val="19"/>
                <w:szCs w:val="19"/>
                <w:color w:val="auto"/>
              </w:rPr>
            </w:pPr>
          </w:p>
        </w:tc>
        <w:tc>
          <w:tcPr>
            <w:tcW w:w="2180" w:type="dxa"/>
            <w:vAlign w:val="bottom"/>
            <w:tcBorders>
              <w:bottom w:val="single" w:sz="8" w:color="0090DA"/>
            </w:tcBorders>
          </w:tcPr>
          <w:p>
            <w:pPr>
              <w:jc w:val="center"/>
              <w:ind w:left="1010"/>
              <w:spacing w:after="0"/>
              <w:rPr>
                <w:sz w:val="20"/>
                <w:szCs w:val="20"/>
                <w:color w:val="auto"/>
              </w:rPr>
            </w:pPr>
            <w:r>
              <w:rPr>
                <w:rFonts w:ascii="Arial" w:cs="Arial" w:eastAsia="Arial" w:hAnsi="Arial"/>
                <w:sz w:val="18"/>
                <w:szCs w:val="18"/>
                <w:b w:val="1"/>
                <w:bCs w:val="1"/>
                <w:color w:val="auto"/>
                <w:w w:val="99"/>
              </w:rPr>
              <w:t>Multiplier</w:t>
            </w:r>
          </w:p>
        </w:tc>
        <w:tc>
          <w:tcPr>
            <w:tcW w:w="3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with Guideline</w:t>
            </w:r>
          </w:p>
        </w:tc>
        <w:tc>
          <w:tcPr>
            <w:tcW w:w="0" w:type="dxa"/>
            <w:vAlign w:val="bottom"/>
          </w:tcPr>
          <w:p>
            <w:pPr>
              <w:spacing w:after="0"/>
              <w:rPr>
                <w:sz w:val="1"/>
                <w:szCs w:val="1"/>
                <w:color w:val="auto"/>
              </w:rPr>
            </w:pPr>
          </w:p>
        </w:tc>
      </w:tr>
      <w:tr>
        <w:trPr>
          <w:trHeight w:val="34"/>
        </w:trPr>
        <w:tc>
          <w:tcPr>
            <w:tcW w:w="2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BCBCB"/>
          </w:tcPr>
          <w:p>
            <w:pPr>
              <w:ind w:left="20"/>
              <w:spacing w:after="0"/>
              <w:rPr>
                <w:sz w:val="20"/>
                <w:szCs w:val="20"/>
                <w:color w:val="auto"/>
              </w:rPr>
            </w:pPr>
            <w:r>
              <w:rPr>
                <w:rFonts w:ascii="Arial" w:cs="Arial" w:eastAsia="Arial" w:hAnsi="Arial"/>
                <w:sz w:val="18"/>
                <w:szCs w:val="18"/>
                <w:color w:val="auto"/>
              </w:rPr>
              <w:t>Robert L. Bailey</w:t>
            </w:r>
          </w:p>
        </w:tc>
        <w:tc>
          <w:tcPr>
            <w:tcW w:w="2180" w:type="dxa"/>
            <w:vAlign w:val="bottom"/>
            <w:shd w:val="clear" w:color="auto" w:fill="CBCBCB"/>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Richard M. Beyer</w:t>
            </w:r>
          </w:p>
        </w:tc>
        <w:tc>
          <w:tcPr>
            <w:tcW w:w="2180" w:type="dxa"/>
            <w:vAlign w:val="bottom"/>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2780" w:type="dxa"/>
            <w:vAlign w:val="bottom"/>
            <w:shd w:val="clear" w:color="auto" w:fill="CBCBCB"/>
          </w:tcPr>
          <w:p>
            <w:pPr>
              <w:ind w:left="20"/>
              <w:spacing w:after="0"/>
              <w:rPr>
                <w:sz w:val="20"/>
                <w:szCs w:val="20"/>
                <w:color w:val="auto"/>
              </w:rPr>
            </w:pPr>
            <w:r>
              <w:rPr>
                <w:rFonts w:ascii="Arial" w:cs="Arial" w:eastAsia="Arial" w:hAnsi="Arial"/>
                <w:sz w:val="18"/>
                <w:szCs w:val="18"/>
                <w:color w:val="auto"/>
              </w:rPr>
              <w:t>Lynn A. Dugle</w:t>
            </w:r>
          </w:p>
        </w:tc>
        <w:tc>
          <w:tcPr>
            <w:tcW w:w="2180" w:type="dxa"/>
            <w:vAlign w:val="bottom"/>
            <w:shd w:val="clear" w:color="auto" w:fill="CBCBCB"/>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Steven J. Gomo</w:t>
            </w:r>
          </w:p>
        </w:tc>
        <w:tc>
          <w:tcPr>
            <w:tcW w:w="2180" w:type="dxa"/>
            <w:vAlign w:val="bottom"/>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278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Mary Pat McCarthy</w:t>
            </w:r>
          </w:p>
        </w:tc>
        <w:tc>
          <w:tcPr>
            <w:tcW w:w="2180" w:type="dxa"/>
            <w:vAlign w:val="bottom"/>
            <w:shd w:val="clear" w:color="auto" w:fill="CBCBCB"/>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Robert E. Switz</w:t>
            </w:r>
          </w:p>
        </w:tc>
        <w:tc>
          <w:tcPr>
            <w:tcW w:w="2180" w:type="dxa"/>
            <w:vAlign w:val="bottom"/>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278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MaryAnn Wright</w:t>
            </w:r>
          </w:p>
        </w:tc>
        <w:tc>
          <w:tcPr>
            <w:tcW w:w="2180" w:type="dxa"/>
            <w:vAlign w:val="bottom"/>
            <w:shd w:val="clear" w:color="auto" w:fill="CBCBCB"/>
          </w:tcPr>
          <w:p>
            <w:pPr>
              <w:jc w:val="center"/>
              <w:ind w:left="990"/>
              <w:spacing w:after="0"/>
              <w:rPr>
                <w:sz w:val="20"/>
                <w:szCs w:val="20"/>
                <w:color w:val="auto"/>
              </w:rPr>
            </w:pPr>
            <w:r>
              <w:rPr>
                <w:rFonts w:ascii="Arial" w:cs="Arial" w:eastAsia="Arial" w:hAnsi="Arial"/>
                <w:sz w:val="18"/>
                <w:szCs w:val="18"/>
                <w:color w:val="auto"/>
                <w:w w:val="99"/>
              </w:rPr>
              <w:t>5</w:t>
            </w:r>
          </w:p>
        </w:tc>
        <w:tc>
          <w:tcPr>
            <w:tcW w:w="32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625,000</w:t>
            </w:r>
          </w:p>
        </w:tc>
        <w:tc>
          <w:tcPr>
            <w:tcW w:w="136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800" w:right="80" w:hanging="334"/>
        <w:spacing w:after="0" w:line="271" w:lineRule="auto"/>
        <w:tabs>
          <w:tab w:leader="none" w:pos="17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Gomo and Ms. McCarthy have until October 16, 2023 to meet the guidelines because they first joined the Board in 2018. Ms. Wright has until July 1, 2024 to meet the guidelines because she first joined the Board in 2019. Ms. Dugle has until August 4, 2025 to meet the guidelines because she first joined the Board in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page 44 for information on the stock ownership guidelines for our Named Executive Officers, including Mr. Mehrotra.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21</w:t>
      </w:r>
    </w:p>
    <w:p>
      <w:pPr>
        <w:sectPr>
          <w:pgSz w:w="11900" w:h="16838" w:orient="portrait"/>
          <w:cols w:equalWidth="0" w:num="1">
            <w:col w:w="11240"/>
          </w:cols>
          <w:pgMar w:left="320" w:top="1089" w:right="339" w:bottom="1440" w:gutter="0" w:footer="0" w:header="0"/>
        </w:sectPr>
      </w:pPr>
    </w:p>
    <w:bookmarkStart w:id="29" w:name="page30"/>
    <w:bookmarkEnd w:id="29"/>
    <w:p>
      <w:pPr>
        <w:ind w:right="2740"/>
        <w:spacing w:after="0" w:line="299" w:lineRule="auto"/>
        <w:rPr>
          <w:sz w:val="20"/>
          <w:szCs w:val="20"/>
          <w:color w:val="auto"/>
        </w:rPr>
      </w:pPr>
      <w:r>
        <w:rPr>
          <w:rFonts w:ascii="Arial" w:cs="Arial" w:eastAsia="Arial" w:hAnsi="Arial"/>
          <w:sz w:val="40"/>
          <w:szCs w:val="40"/>
          <w:b w:val="1"/>
          <w:bCs w:val="1"/>
          <w:color w:val="0090DA"/>
        </w:rPr>
        <w:t>EXECUTIVE COMPENSATION AND RELATED INFORMATION</w:t>
      </w:r>
    </w:p>
    <w:p>
      <w:pPr>
        <w:spacing w:after="0" w:line="94" w:lineRule="exact"/>
        <w:rPr>
          <w:sz w:val="20"/>
          <w:szCs w:val="20"/>
          <w:color w:val="auto"/>
        </w:rPr>
      </w:pPr>
    </w:p>
    <w:p>
      <w:pPr>
        <w:ind w:left="20" w:right="460"/>
        <w:spacing w:after="0" w:line="305" w:lineRule="auto"/>
        <w:rPr>
          <w:sz w:val="20"/>
          <w:szCs w:val="20"/>
          <w:color w:val="auto"/>
        </w:rPr>
      </w:pPr>
      <w:r>
        <w:rPr>
          <w:rFonts w:ascii="Arial" w:cs="Arial" w:eastAsia="Arial" w:hAnsi="Arial"/>
          <w:sz w:val="36"/>
          <w:szCs w:val="36"/>
          <w:b w:val="1"/>
          <w:bCs w:val="1"/>
          <w:color w:val="FFFFFF"/>
        </w:rPr>
        <w:t>PROPOSAL 2 – ADVISORY VOTE ON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617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491172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Dodd-Frank Wall Street Reform and Consumer Protection Act of 2010 enables our shareholders to vote to approve, on an advisory (non-binding) basis, the compensation of our Named Executive Officers as described in this Proxy Statement in the “Compensation Discussion and Analysis” section and the related compensation tables beginning on page 24. We seek your advisory vote and ask that you indicate your support for the compensation of the Named Executive Officers as disclosed in this Proxy Statement.</w:t>
      </w:r>
    </w:p>
    <w:p>
      <w:pPr>
        <w:spacing w:after="0" w:line="19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2017 Annual Meeting of Shareholders, our shareholders voted to have an annual advisory vote on say-on-pay and in accordance with the results of this vote, the Board of Directors determined to implement an advisory vote on executive compensation every year until the next required vote on the frequency of shareholder votes on the compensation of executives, which is expected to occur at the fiscal 2023 Annual Meeting of Shareholders.</w:t>
      </w:r>
    </w:p>
    <w:p>
      <w:pPr>
        <w:spacing w:after="0" w:line="204"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At our annual meeting of shareholders held in January 2020, 94% of the votes cast on the say-on-pay proposal were voted in favor of the proposal. See “Consideration of the Fiscal 2019 Advisory Vote on Executive Compensation” on page 28.</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Please read the “Compensation Discussion and Analysis” section and related compensation tables for information necessary to inform your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4911725"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both"/>
        <w:ind w:right="240"/>
        <w:spacing w:after="0" w:line="335" w:lineRule="auto"/>
        <w:rPr>
          <w:sz w:val="20"/>
          <w:szCs w:val="20"/>
          <w:color w:val="auto"/>
        </w:rPr>
      </w:pPr>
      <w:r>
        <w:rPr>
          <w:rFonts w:ascii="Arial" w:cs="Arial" w:eastAsia="Arial" w:hAnsi="Arial"/>
          <w:sz w:val="17"/>
          <w:szCs w:val="17"/>
          <w:b w:val="1"/>
          <w:bCs w:val="1"/>
          <w:color w:val="auto"/>
        </w:rPr>
        <w:t>The Board of Directors invites you to review carefully the Compensation Discussion and Analysis beginning on page 24 and the tabular and other disclosures on executive compensation beginning on page 46, and cast a vote “</w:t>
      </w:r>
      <w:r>
        <w:rPr>
          <w:rFonts w:ascii="Arial" w:cs="Arial" w:eastAsia="Arial" w:hAnsi="Arial"/>
          <w:sz w:val="17"/>
          <w:szCs w:val="17"/>
          <w:b w:val="1"/>
          <w:bCs w:val="1"/>
          <w:color w:val="0090DA"/>
        </w:rPr>
        <w:t>FOR”</w:t>
      </w:r>
      <w:r>
        <w:rPr>
          <w:rFonts w:ascii="Arial" w:cs="Arial" w:eastAsia="Arial" w:hAnsi="Arial"/>
          <w:sz w:val="17"/>
          <w:szCs w:val="17"/>
          <w:b w:val="1"/>
          <w:bCs w:val="1"/>
          <w:color w:val="auto"/>
        </w:rPr>
        <w:t xml:space="preserve"> the following resolution:</w:t>
      </w:r>
    </w:p>
    <w:p>
      <w:pPr>
        <w:spacing w:after="0" w:line="133" w:lineRule="exact"/>
        <w:rPr>
          <w:sz w:val="20"/>
          <w:szCs w:val="20"/>
          <w:color w:val="auto"/>
        </w:rPr>
      </w:pPr>
    </w:p>
    <w:p>
      <w:pPr>
        <w:jc w:val="both"/>
        <w:ind w:right="420"/>
        <w:spacing w:after="0" w:line="270" w:lineRule="auto"/>
        <w:rPr>
          <w:sz w:val="20"/>
          <w:szCs w:val="20"/>
          <w:color w:val="auto"/>
        </w:rPr>
      </w:pPr>
      <w:r>
        <w:rPr>
          <w:rFonts w:ascii="Arial" w:cs="Arial" w:eastAsia="Arial" w:hAnsi="Arial"/>
          <w:sz w:val="18"/>
          <w:szCs w:val="18"/>
          <w:i w:val="1"/>
          <w:iCs w:val="1"/>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say-on-pay vote is required by Section 14A of the Exchange Act (15 U.S.C. 78n-1) and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may not be an opportunity for us to revisit these decisions. However, the Board of Directors and Compensation Committee value the opinions of our shareholders and will consider the results of the say-on-pay vote and any other feedback from shareholders in their evaluation of our compensation program as they believe to be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913"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4911725"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11725" cy="197485"/>
                    </a:xfrm>
                    <a:prstGeom prst="rect">
                      <a:avLst/>
                    </a:prstGeom>
                    <a:noFill/>
                  </pic:spPr>
                </pic:pic>
              </a:graphicData>
            </a:graphic>
          </wp:anchor>
        </w:drawing>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affirmative vote of a majority of the voting power of our Common Stock present in person or represented by proxy at the Annual Meeting and entitled to vote on this Proposal 2 is required to approve the non-binding advisory vote on the compensation of our Named Executive Officers.</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this vote is nonbinding on our Company and our Board of Directors, and will not be construed as overruling a decision by our Company or our Board or creating or implying any additional fiduciary duty for our Company or our Board, our Board and the Compensation Committee value the opinions of our shareholders and will consider the outcome of the vote when making future compensation decisions for Named Executive Officers under our executive compensation program.</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23</w:t>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Arial" w:cs="Arial" w:eastAsia="Arial" w:hAnsi="Arial"/>
          <w:sz w:val="40"/>
          <w:szCs w:val="40"/>
          <w:b w:val="1"/>
          <w:bCs w:val="1"/>
          <w:color w:val="auto"/>
        </w:rPr>
        <w:t>COMPENSATION DISCUSSION AND ANALYSIS</w:t>
      </w:r>
    </w:p>
    <w:p>
      <w:pPr>
        <w:spacing w:after="0" w:line="2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9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Sanjay Mehrotra, our President and Chief Executive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David A. Zinsner, our Senior Vice President and Chief Financial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Manish Bhatia, our Executive Vice President, Global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Scott J. DeBoer, our Executive Vice President, Technology and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Sumit Sadana, our Executive Vice President and Chief Business Officer.</w:t>
      </w:r>
    </w:p>
    <w:p>
      <w:pPr>
        <w:spacing w:after="0" w:line="252"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Throughout this discussion and elsewhere in this Proxy Statement, the foregoing individuals are referred to as our “Named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Executive Summary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Highlights</w:t>
      </w:r>
    </w:p>
    <w:p>
      <w:pPr>
        <w:spacing w:after="0" w:line="252" w:lineRule="exact"/>
        <w:rPr>
          <w:sz w:val="20"/>
          <w:szCs w:val="20"/>
          <w:color w:val="auto"/>
        </w:rPr>
      </w:pPr>
    </w:p>
    <w:p>
      <w:pPr>
        <w:ind w:left="500" w:right="720" w:hanging="209"/>
        <w:spacing w:after="0" w:line="292"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achieved healthy revenue and profitability in fiscal 2020 despite the impact of the COVID-19 pandemic and related severe economic downturn and geopolitical challenges:</w:t>
      </w:r>
    </w:p>
    <w:p>
      <w:pPr>
        <w:spacing w:after="0" w:line="171"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$21.4 billion in revenue (compared to $23.4 billion in fiscal 2019);</w:t>
      </w:r>
    </w:p>
    <w:p>
      <w:pPr>
        <w:spacing w:after="0" w:line="31" w:lineRule="exact"/>
        <w:rPr>
          <w:rFonts w:ascii="Arial" w:cs="Arial" w:eastAsia="Arial" w:hAnsi="Arial"/>
          <w:sz w:val="18"/>
          <w:szCs w:val="18"/>
          <w:color w:val="auto"/>
        </w:rPr>
      </w:pPr>
    </w:p>
    <w:p>
      <w:pPr>
        <w:ind w:left="700" w:right="240" w:hanging="206"/>
        <w:spacing w:after="0" w:line="266" w:lineRule="auto"/>
        <w:tabs>
          <w:tab w:leader="none" w:pos="6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$2.7 billion in GAAP net income attributable to Micron, or $2.37 in earnings per diluted share (compared to $6.3 billion and $5.51, respectively, in fiscal 2019).</w:t>
      </w:r>
    </w:p>
    <w:p>
      <w:pPr>
        <w:spacing w:after="0" w:line="194" w:lineRule="exact"/>
        <w:rPr>
          <w:rFonts w:ascii="Arial" w:cs="Arial" w:eastAsia="Arial" w:hAnsi="Arial"/>
          <w:sz w:val="18"/>
          <w:szCs w:val="18"/>
          <w:color w:val="auto"/>
        </w:rPr>
      </w:pPr>
    </w:p>
    <w:p>
      <w:pPr>
        <w:ind w:left="480" w:hanging="189"/>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ended fiscal 2020 with $9.3 billion of cash, marketable investments, and restricted cash.</w:t>
      </w:r>
    </w:p>
    <w:p>
      <w:pPr>
        <w:spacing w:after="0" w:line="252" w:lineRule="exact"/>
        <w:rPr>
          <w:rFonts w:ascii="Arial" w:cs="Arial" w:eastAsia="Arial" w:hAnsi="Arial"/>
          <w:sz w:val="18"/>
          <w:szCs w:val="18"/>
          <w:color w:val="auto"/>
        </w:rPr>
      </w:pPr>
    </w:p>
    <w:p>
      <w:pPr>
        <w:ind w:left="500" w:hanging="209"/>
        <w:spacing w:after="0" w:line="292"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made solid progress toward our goals to bring differentiated industry-leading products to our customers and to improve our product mix and cost structure so that we can grow our share of industry profits, all while maintaining stable bit share:</w:t>
      </w:r>
    </w:p>
    <w:p>
      <w:pPr>
        <w:spacing w:after="0" w:line="171"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DRAM:</w:t>
      </w:r>
    </w:p>
    <w:p>
      <w:pPr>
        <w:spacing w:after="0" w:line="31"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led the industry in 1Z nm production mix;</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made good progress on our 1 alpha node, which remains on track for introduction in fiscal 2021;</w:t>
      </w:r>
    </w:p>
    <w:p>
      <w:pPr>
        <w:spacing w:after="0" w:line="9" w:lineRule="exact"/>
        <w:rPr>
          <w:rFonts w:ascii="Arial" w:cs="Arial" w:eastAsia="Arial" w:hAnsi="Arial"/>
          <w:sz w:val="18"/>
          <w:szCs w:val="18"/>
          <w:color w:val="auto"/>
        </w:rPr>
      </w:pPr>
    </w:p>
    <w:p>
      <w:pPr>
        <w:ind w:left="900" w:right="160" w:hanging="204"/>
        <w:spacing w:after="0" w:line="250" w:lineRule="auto"/>
        <w:tabs>
          <w:tab w:leader="none" w:pos="896"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announced GDDR6X, the world’s fastest discrete graphics memory solution and the first to power system bandwidth up to 1 terabyte per second; and</w:t>
      </w: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were first to market with mobile LP5 products.</w:t>
      </w:r>
    </w:p>
    <w:p>
      <w:pPr>
        <w:spacing w:after="0" w:line="230"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NAND:</w:t>
      </w:r>
    </w:p>
    <w:p>
      <w:pPr>
        <w:spacing w:after="0" w:line="31" w:lineRule="exact"/>
        <w:rPr>
          <w:rFonts w:ascii="Arial" w:cs="Arial" w:eastAsia="Arial" w:hAnsi="Arial"/>
          <w:sz w:val="18"/>
          <w:szCs w:val="18"/>
          <w:color w:val="auto"/>
        </w:rPr>
      </w:pPr>
    </w:p>
    <w:p>
      <w:pPr>
        <w:ind w:left="900" w:right="320" w:hanging="204"/>
        <w:spacing w:after="0" w:line="250" w:lineRule="auto"/>
        <w:tabs>
          <w:tab w:leader="none" w:pos="896" w:val="left"/>
        </w:tabs>
        <w:numPr>
          <w:ilvl w:val="2"/>
          <w:numId w:val="34"/>
        </w:numPr>
        <w:rPr>
          <w:rFonts w:ascii="Arial" w:cs="Arial" w:eastAsia="Arial" w:hAnsi="Arial"/>
          <w:sz w:val="18"/>
          <w:szCs w:val="18"/>
          <w:color w:val="auto"/>
        </w:rPr>
      </w:pPr>
      <w:r>
        <w:rPr>
          <w:rFonts w:ascii="Arial" w:cs="Arial" w:eastAsia="Arial" w:hAnsi="Arial"/>
          <w:sz w:val="18"/>
          <w:szCs w:val="18"/>
          <w:color w:val="auto"/>
        </w:rPr>
        <w:t>128-layer 3D NAND using replacement gate (“RG”) technology entered volume production, and we began shipping RG-based consumer SSDs;</w:t>
      </w:r>
    </w:p>
    <w:p>
      <w:pPr>
        <w:ind w:left="900" w:right="100" w:hanging="204"/>
        <w:spacing w:after="0" w:line="250" w:lineRule="auto"/>
        <w:tabs>
          <w:tab w:leader="none" w:pos="896"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continued progress on our second generation, industry leading 176-layer RG technology node, which we expect to introduce into volume production during fiscal 2021;</w:t>
      </w: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led the industry with the broadest portfolio of quad-level cell (“QLC”) SSDs across client, consumer, and data center; and</w:t>
      </w:r>
    </w:p>
    <w:p>
      <w:pPr>
        <w:spacing w:after="0" w:line="9" w:lineRule="exact"/>
        <w:rPr>
          <w:rFonts w:ascii="Arial" w:cs="Arial" w:eastAsia="Arial" w:hAnsi="Arial"/>
          <w:sz w:val="18"/>
          <w:szCs w:val="18"/>
          <w:color w:val="auto"/>
        </w:rPr>
      </w:pPr>
    </w:p>
    <w:p>
      <w:pPr>
        <w:ind w:left="900" w:hanging="204"/>
        <w:spacing w:after="0"/>
        <w:tabs>
          <w:tab w:leader="none" w:pos="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We increased the mix of NAND high-value solutions to around 80% of NAND bits.</w:t>
      </w:r>
    </w:p>
    <w:p>
      <w:pPr>
        <w:spacing w:after="0" w:line="230" w:lineRule="exact"/>
        <w:rPr>
          <w:rFonts w:ascii="Arial" w:cs="Arial" w:eastAsia="Arial" w:hAnsi="Arial"/>
          <w:sz w:val="18"/>
          <w:szCs w:val="18"/>
          <w:color w:val="auto"/>
        </w:rPr>
      </w:pPr>
    </w:p>
    <w:p>
      <w:pPr>
        <w:ind w:left="700" w:hanging="20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3D XPoint:</w:t>
      </w:r>
    </w:p>
    <w:p>
      <w:pPr>
        <w:sectPr>
          <w:pgSz w:w="11900" w:h="16838" w:orient="portrait"/>
          <w:cols w:equalWidth="0" w:num="1">
            <w:col w:w="11200"/>
          </w:cols>
          <w:pgMar w:left="320" w:top="107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075" w:right="379" w:bottom="1440" w:gutter="0" w:footer="0" w:header="0"/>
          <w:type w:val="continuous"/>
        </w:sectPr>
      </w:pPr>
    </w:p>
    <w:bookmarkStart w:id="32" w:name="page33"/>
    <w:bookmarkEnd w:id="32"/>
    <w:p>
      <w:pPr>
        <w:ind w:left="900" w:hanging="204"/>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shipped the X100 NVMe SSD, our first product in a new family of high-performance memory solutions based on 3D XPoint.</w:t>
      </w:r>
    </w:p>
    <w:p>
      <w:pPr>
        <w:spacing w:after="0" w:line="31" w:lineRule="exact"/>
        <w:rPr>
          <w:rFonts w:ascii="Arial" w:cs="Arial" w:eastAsia="Arial" w:hAnsi="Arial"/>
          <w:sz w:val="18"/>
          <w:szCs w:val="18"/>
          <w:color w:val="auto"/>
        </w:rPr>
      </w:pPr>
    </w:p>
    <w:p>
      <w:pPr>
        <w:ind w:left="500" w:right="120" w:hanging="209"/>
        <w:spacing w:after="0" w:line="266" w:lineRule="auto"/>
        <w:tabs>
          <w:tab w:leader="none" w:pos="4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announced our first-ever long-term environmental goals and aspirations and our plans to allocate up to 2% of capital expenditures (or about $1 billion over the next five to seven years) in support of those goals and aspirations.</w:t>
      </w:r>
    </w:p>
    <w:p>
      <w:pPr>
        <w:spacing w:after="0" w:line="194" w:lineRule="exact"/>
        <w:rPr>
          <w:rFonts w:ascii="Arial" w:cs="Arial" w:eastAsia="Arial" w:hAnsi="Arial"/>
          <w:sz w:val="18"/>
          <w:szCs w:val="18"/>
          <w:color w:val="auto"/>
        </w:rPr>
      </w:pPr>
    </w:p>
    <w:p>
      <w:pPr>
        <w:ind w:left="500" w:right="220" w:hanging="209"/>
        <w:spacing w:after="0" w:line="271" w:lineRule="auto"/>
        <w:tabs>
          <w:tab w:leader="none" w:pos="4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women in top leadership roles grew in fiscal 2020, including comprising more than one-third of the Board. We also expanded our pay equity mandate to include stock awards and achieved full parity for these awards for all underrepresented groups, including U.S. veterans and people with disabilities globally.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Shareholder Return (“TSR”)</w:t>
      </w:r>
    </w:p>
    <w:p>
      <w:pPr>
        <w:spacing w:after="0" w:line="252"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chart shows our relative TSR data as compared to the S&amp;P 500 Composite Index and the median of our Compensation Peer Group as identified in "Compensation-setting Process and the Determination of Compensation Levels – ”Market Data”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123190</wp:posOffset>
            </wp:positionV>
            <wp:extent cx="3429000"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presented is based on closing prices on or nearest to September 3 for each period presented above and represents annualized rates of return reflecting price appreciation plus reinvestment of dividends and the compounding effect of dividends paid, if any, on reinvested dividends. The five-year comparison within this table does not include our peer, Hewlett Packard Enterprise Company, as it was founded on November 1, 2015 as part of the splitting of the Hewlett-Packard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252" w:lineRule="exact"/>
        <w:rPr>
          <w:sz w:val="20"/>
          <w:szCs w:val="20"/>
          <w:color w:val="auto"/>
        </w:rPr>
      </w:pPr>
    </w:p>
    <w:p>
      <w:pPr>
        <w:ind w:left="660" w:right="80" w:hanging="328"/>
        <w:spacing w:after="0" w:line="29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October 2019, the Compensation Committee set compensation levels and performance goals for fiscal 2020 based on a review of financial results, projections, individual contributions, strategic objectives, Market Data (as defined below), and market conditions.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25</w:t>
      </w:r>
    </w:p>
    <w:p>
      <w:pPr>
        <w:sectPr>
          <w:pgSz w:w="11900" w:h="16838" w:orient="portrait"/>
          <w:cols w:equalWidth="0" w:num="1">
            <w:col w:w="11240"/>
          </w:cols>
          <w:pgMar w:left="320" w:top="1089" w:right="339" w:bottom="1440" w:gutter="0" w:footer="0" w:header="0"/>
        </w:sectPr>
      </w:pPr>
    </w:p>
    <w:bookmarkStart w:id="33" w:name="page34"/>
    <w:bookmarkEnd w:id="33"/>
    <w:p>
      <w:pPr>
        <w:ind w:left="980" w:right="300" w:hanging="324"/>
        <w:spacing w:after="0" w:line="292" w:lineRule="auto"/>
        <w:tabs>
          <w:tab w:leader="none" w:pos="9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Chief Executive Officer and other Named Executive Officers (on average)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123190</wp:posOffset>
            </wp:positionV>
            <wp:extent cx="5554980" cy="1739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5498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980" w:right="220" w:hanging="324"/>
        <w:spacing w:after="0" w:line="271"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Our Named Executive Officers are eligible to earn short-term incentive awards pursuant to our Executive Officer Performance Incentive Plan (“EIP”). The Compensation Committee selected performance goals for our Named Executive Officers based on their correlation to the creation of shareholder value and their alignment with our strategic objectives.</w:t>
      </w:r>
    </w:p>
    <w:p>
      <w:pPr>
        <w:spacing w:after="0" w:line="189" w:lineRule="exact"/>
        <w:rPr>
          <w:rFonts w:ascii="Arial" w:cs="Arial" w:eastAsia="Arial" w:hAnsi="Arial"/>
          <w:sz w:val="18"/>
          <w:szCs w:val="18"/>
          <w:color w:val="auto"/>
        </w:rPr>
      </w:pPr>
    </w:p>
    <w:p>
      <w:pPr>
        <w:ind w:left="1620" w:right="300" w:hanging="316"/>
        <w:spacing w:after="0" w:line="271" w:lineRule="auto"/>
        <w:tabs>
          <w:tab w:leader="none" w:pos="1616" w:val="left"/>
        </w:tabs>
        <w:numPr>
          <w:ilvl w:val="2"/>
          <w:numId w:val="38"/>
        </w:numPr>
        <w:rPr>
          <w:rFonts w:ascii="Arial" w:cs="Arial" w:eastAsia="Arial" w:hAnsi="Arial"/>
          <w:sz w:val="18"/>
          <w:szCs w:val="18"/>
          <w:color w:val="auto"/>
        </w:rPr>
      </w:pPr>
      <w:r>
        <w:rPr>
          <w:rFonts w:ascii="Arial" w:cs="Arial" w:eastAsia="Arial" w:hAnsi="Arial"/>
          <w:sz w:val="18"/>
          <w:szCs w:val="18"/>
          <w:color w:val="auto"/>
        </w:rPr>
        <w:t>For fiscal 2020, the Compensation Committee established goals tied to profitability and the achievement of certain technology, product, cost, and customer milestones. Please see “Fiscal 2020 Executive Compensation – Fiscal 2020 Short-Term Incentive Awards” for additional detail concerning these goals.</w:t>
      </w:r>
    </w:p>
    <w:p>
      <w:pPr>
        <w:spacing w:after="0" w:line="189" w:lineRule="exact"/>
        <w:rPr>
          <w:rFonts w:ascii="Arial" w:cs="Arial" w:eastAsia="Arial" w:hAnsi="Arial"/>
          <w:sz w:val="18"/>
          <w:szCs w:val="18"/>
          <w:color w:val="auto"/>
        </w:rPr>
      </w:pPr>
    </w:p>
    <w:p>
      <w:pPr>
        <w:ind w:left="980" w:right="240" w:hanging="324"/>
        <w:spacing w:after="0" w:line="292"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We used a mix of 50% time-based restricted stock and 50% performance-based restricted stock units for our fiscal 2020 long-term equity incentives.</w:t>
      </w:r>
    </w:p>
    <w:p>
      <w:pPr>
        <w:spacing w:after="0" w:line="171" w:lineRule="exact"/>
        <w:rPr>
          <w:rFonts w:ascii="Arial" w:cs="Arial" w:eastAsia="Arial" w:hAnsi="Arial"/>
          <w:sz w:val="18"/>
          <w:szCs w:val="18"/>
          <w:color w:val="auto"/>
        </w:rPr>
      </w:pPr>
    </w:p>
    <w:p>
      <w:pPr>
        <w:ind w:left="980" w:hanging="324"/>
        <w:spacing w:after="0" w:line="264"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metrics for our performance-based restricted stock units include percentage of sales as high value solutions and TSR relative to the Semiconductor Sector. In addition, there is a technology product engineering sample and product qualification sample adder goal associated with the high-value solutions goals. The relative TSR and high-value solutions goals have a three-year measurement period.</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52" w:lineRule="exact"/>
        <w:rPr>
          <w:rFonts w:ascii="Arial" w:cs="Arial" w:eastAsia="Arial" w:hAnsi="Arial"/>
          <w:sz w:val="18"/>
          <w:szCs w:val="18"/>
          <w:color w:val="auto"/>
        </w:rPr>
      </w:pPr>
    </w:p>
    <w:p>
      <w:pPr>
        <w:ind w:left="980" w:right="120" w:hanging="324"/>
        <w:spacing w:after="0" w:line="292"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Mr. Mehrotra’s base salary and target long-term equity incentive opportunity were increased, and his short-term incentive target as a percentage of base salary did not change for fiscal 2020.</w:t>
      </w:r>
    </w:p>
    <w:p>
      <w:pPr>
        <w:spacing w:after="0" w:line="171" w:lineRule="exact"/>
        <w:rPr>
          <w:rFonts w:ascii="Arial" w:cs="Arial" w:eastAsia="Arial" w:hAnsi="Arial"/>
          <w:sz w:val="18"/>
          <w:szCs w:val="18"/>
          <w:color w:val="auto"/>
        </w:rPr>
      </w:pPr>
    </w:p>
    <w:p>
      <w:pPr>
        <w:ind w:left="980" w:right="500" w:hanging="324"/>
        <w:spacing w:after="0" w:line="271" w:lineRule="auto"/>
        <w:tabs>
          <w:tab w:leader="none" w:pos="976" w:val="left"/>
        </w:tabs>
        <w:numPr>
          <w:ilvl w:val="1"/>
          <w:numId w:val="38"/>
        </w:numPr>
        <w:rPr>
          <w:rFonts w:ascii="Arial" w:cs="Arial" w:eastAsia="Arial" w:hAnsi="Arial"/>
          <w:sz w:val="18"/>
          <w:szCs w:val="18"/>
          <w:color w:val="auto"/>
        </w:rPr>
      </w:pPr>
      <w:r>
        <w:rPr>
          <w:rFonts w:ascii="Arial" w:cs="Arial" w:eastAsia="Arial" w:hAnsi="Arial"/>
          <w:sz w:val="18"/>
          <w:szCs w:val="18"/>
          <w:color w:val="auto"/>
        </w:rPr>
        <w:t>For fiscal 2020, Mr. Mehrotra’s base salary was above the 75th percentile of the Compensation Peer Group, his short-term incentive target was at the 60th percentile, and his target long-term incentive opportunity was between the 60th and 75th percentile.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089" w:right="379" w:bottom="1440" w:gutter="0" w:footer="0" w:header="0"/>
        </w:sectPr>
      </w:pPr>
    </w:p>
    <w:bookmarkStart w:id="34" w:name="page35"/>
    <w:bookmarkEnd w:id="34"/>
    <w:p>
      <w:pPr>
        <w:jc w:val="both"/>
        <w:spacing w:after="0" w:line="204" w:lineRule="auto"/>
        <w:framePr w:w="11100" w:h="471" w:wrap="auto" w:vAnchor="page" w:hAnchor="page" w:x="300" w:y="12670"/>
        <w:rPr>
          <w:rFonts w:ascii="Arial" w:cs="Arial" w:eastAsia="Arial" w:hAnsi="Arial"/>
          <w:sz w:val="16"/>
          <w:szCs w:val="16"/>
          <w:color w:val="auto"/>
        </w:rPr>
      </w:pPr>
      <w:r>
        <w:rPr>
          <w:rFonts w:ascii="Arial" w:cs="Arial" w:eastAsia="Arial" w:hAnsi="Arial"/>
          <w:sz w:val="16"/>
          <w:szCs w:val="16"/>
          <w:color w:val="auto"/>
        </w:rPr>
        <w:t>* The percentages shown for each of the compensation components in the table above are presented based on base salary, target annual STI award, and the annual LTI awards (at the target award values approved by the Compensation Committee) granted to our CEO (on the left) and averaged for all other Named Executive Officers, excluding our CEO (on the right).</w:t>
      </w:r>
    </w:p>
    <w:p>
      <w:pPr>
        <w:spacing w:after="0" w:line="188" w:lineRule="auto"/>
        <w:framePr w:w="280" w:h="163" w:wrap="auto" w:vAnchor="page" w:hAnchor="page" w:x="11320" w:y="14071"/>
        <w:rPr>
          <w:rFonts w:ascii="Arial" w:cs="Arial" w:eastAsia="Arial" w:hAnsi="Arial"/>
          <w:sz w:val="18"/>
          <w:szCs w:val="18"/>
          <w:b w:val="1"/>
          <w:bCs w:val="1"/>
          <w:color w:val="auto"/>
        </w:rPr>
      </w:pPr>
      <w:r>
        <w:rPr>
          <w:rFonts w:ascii="Arial" w:cs="Arial" w:eastAsia="Arial" w:hAnsi="Arial"/>
          <w:sz w:val="18"/>
          <w:szCs w:val="18"/>
          <w:b w:val="1"/>
          <w:bCs w:val="1"/>
          <w:color w:val="auto"/>
        </w:rPr>
        <w:t>27</w:t>
      </w:r>
    </w:p>
    <w:p>
      <w:pPr>
        <w:spacing w:after="0" w:line="191" w:lineRule="auto"/>
        <w:framePr w:w="2140" w:h="147" w:wrap="auto" w:vAnchor="page" w:hAnchor="page" w:x="4180" w:y="11738"/>
        <w:rPr>
          <w:rFonts w:ascii="Arial" w:cs="Arial" w:eastAsia="Arial" w:hAnsi="Arial"/>
          <w:sz w:val="16"/>
          <w:szCs w:val="16"/>
          <w:b w:val="1"/>
          <w:bCs w:val="1"/>
          <w:color w:val="auto"/>
        </w:rPr>
      </w:pPr>
      <w:r>
        <w:rPr>
          <w:rFonts w:ascii="Arial" w:cs="Arial" w:eastAsia="Arial" w:hAnsi="Arial"/>
          <w:sz w:val="16"/>
          <w:szCs w:val="16"/>
          <w:b w:val="1"/>
          <w:bCs w:val="1"/>
          <w:color w:val="auto"/>
        </w:rPr>
        <w:t>–  Vests ratably over 3 years</w:t>
      </w:r>
    </w:p>
    <w:p>
      <w:pPr>
        <w:spacing w:after="0" w:line="191" w:lineRule="auto"/>
        <w:framePr w:w="2020" w:h="147" w:wrap="auto" w:vAnchor="page" w:hAnchor="page" w:x="6520" w:y="11738"/>
        <w:rPr>
          <w:rFonts w:ascii="Arial" w:cs="Arial" w:eastAsia="Arial" w:hAnsi="Arial"/>
          <w:sz w:val="16"/>
          <w:szCs w:val="16"/>
          <w:b w:val="1"/>
          <w:bCs w:val="1"/>
          <w:color w:val="auto"/>
        </w:rPr>
      </w:pPr>
      <w:r>
        <w:rPr>
          <w:rFonts w:ascii="Arial" w:cs="Arial" w:eastAsia="Arial" w:hAnsi="Arial"/>
          <w:sz w:val="16"/>
          <w:szCs w:val="16"/>
          <w:b w:val="1"/>
          <w:bCs w:val="1"/>
          <w:color w:val="auto"/>
        </w:rPr>
        <w:t>–  Provides retention value</w:t>
      </w:r>
    </w:p>
    <w:p>
      <w:pPr>
        <w:spacing w:after="0" w:line="191" w:lineRule="auto"/>
        <w:framePr w:w="4320" w:h="147" w:wrap="auto" w:vAnchor="page" w:hAnchor="page" w:x="4180" w:y="10942"/>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Provides alignment with</w:t>
      </w:r>
    </w:p>
    <w:p>
      <w:pPr>
        <w:spacing w:after="0" w:line="204" w:lineRule="auto"/>
        <w:framePr w:w="1560" w:h="147" w:wrap="auto" w:vAnchor="page" w:hAnchor="page" w:x="4380" w:y="11117"/>
        <w:rPr>
          <w:rFonts w:ascii="Arial" w:cs="Arial" w:eastAsia="Arial" w:hAnsi="Arial"/>
          <w:sz w:val="16"/>
          <w:szCs w:val="16"/>
          <w:b w:val="1"/>
          <w:bCs w:val="1"/>
          <w:color w:val="auto"/>
        </w:rPr>
      </w:pPr>
      <w:r>
        <w:rPr>
          <w:rFonts w:ascii="Arial" w:cs="Arial" w:eastAsia="Arial" w:hAnsi="Arial"/>
          <w:sz w:val="16"/>
          <w:szCs w:val="16"/>
          <w:b w:val="1"/>
          <w:bCs w:val="1"/>
          <w:color w:val="auto"/>
        </w:rPr>
        <w:t>equity compensation</w:t>
      </w:r>
    </w:p>
    <w:p>
      <w:pPr>
        <w:spacing w:after="0" w:line="204" w:lineRule="auto"/>
        <w:framePr w:w="2120" w:h="471" w:wrap="auto" w:vAnchor="page" w:hAnchor="page" w:x="6720" w:y="11104"/>
        <w:rPr>
          <w:rFonts w:ascii="Arial" w:cs="Arial" w:eastAsia="Arial" w:hAnsi="Arial"/>
          <w:sz w:val="16"/>
          <w:szCs w:val="16"/>
          <w:b w:val="1"/>
          <w:bCs w:val="1"/>
          <w:color w:val="auto"/>
        </w:rPr>
      </w:pPr>
      <w:r>
        <w:rPr>
          <w:rFonts w:ascii="Arial" w:cs="Arial" w:eastAsia="Arial" w:hAnsi="Arial"/>
          <w:sz w:val="16"/>
          <w:szCs w:val="16"/>
          <w:b w:val="1"/>
          <w:bCs w:val="1"/>
          <w:color w:val="auto"/>
        </w:rPr>
        <w:t>shareholder interests by focusing executives on long-term value creation</w:t>
      </w:r>
    </w:p>
    <w:p>
      <w:pPr>
        <w:spacing w:after="0" w:line="221" w:lineRule="auto"/>
        <w:framePr w:w="2000" w:h="849" w:wrap="auto" w:vAnchor="page" w:hAnchor="page" w:x="9380" w:y="8836"/>
        <w:rPr>
          <w:rFonts w:ascii="Arial" w:cs="Arial" w:eastAsia="Arial" w:hAnsi="Arial"/>
          <w:sz w:val="16"/>
          <w:szCs w:val="16"/>
          <w:b w:val="1"/>
          <w:bCs w:val="1"/>
          <w:color w:val="auto"/>
        </w:rPr>
      </w:pPr>
      <w:r>
        <w:rPr>
          <w:rFonts w:ascii="Arial" w:cs="Arial" w:eastAsia="Arial" w:hAnsi="Arial"/>
          <w:sz w:val="16"/>
          <w:szCs w:val="16"/>
          <w:b w:val="1"/>
          <w:bCs w:val="1"/>
          <w:color w:val="auto"/>
        </w:rPr>
        <w:t>Semiconductor Sector - Additional earning opportunities for achievement of technology development milestones</w:t>
      </w:r>
    </w:p>
    <w:p>
      <w:pPr>
        <w:spacing w:after="0" w:line="191" w:lineRule="auto"/>
        <w:framePr w:w="2200" w:h="147" w:wrap="auto" w:vAnchor="page" w:hAnchor="page" w:x="8980" w:y="10942"/>
        <w:rPr>
          <w:rFonts w:ascii="Arial" w:cs="Arial" w:eastAsia="Arial" w:hAnsi="Arial"/>
          <w:sz w:val="16"/>
          <w:szCs w:val="16"/>
          <w:b w:val="1"/>
          <w:bCs w:val="1"/>
          <w:color w:val="auto"/>
        </w:rPr>
      </w:pPr>
      <w:r>
        <w:rPr>
          <w:rFonts w:ascii="Arial" w:cs="Arial" w:eastAsia="Arial" w:hAnsi="Arial"/>
          <w:sz w:val="16"/>
          <w:szCs w:val="16"/>
          <w:b w:val="1"/>
          <w:bCs w:val="1"/>
          <w:color w:val="auto"/>
        </w:rPr>
        <w:t>–  Value based on stock price</w:t>
      </w:r>
    </w:p>
    <w:p>
      <w:pPr>
        <w:spacing w:after="0" w:line="191" w:lineRule="auto"/>
        <w:framePr w:w="1140" w:h="147" w:wrap="auto" w:vAnchor="page" w:hAnchor="page" w:x="9380" w:y="8485"/>
        <w:rPr>
          <w:rFonts w:ascii="Arial" w:cs="Arial" w:eastAsia="Arial" w:hAnsi="Arial"/>
          <w:sz w:val="16"/>
          <w:szCs w:val="16"/>
          <w:b w:val="1"/>
          <w:bCs w:val="1"/>
          <w:color w:val="auto"/>
        </w:rPr>
      </w:pPr>
      <w:r>
        <w:rPr>
          <w:rFonts w:ascii="Arial" w:cs="Arial" w:eastAsia="Arial" w:hAnsi="Arial"/>
          <w:sz w:val="16"/>
          <w:szCs w:val="16"/>
          <w:b w:val="1"/>
          <w:bCs w:val="1"/>
          <w:color w:val="auto"/>
        </w:rPr>
        <w:t>value solutions</w:t>
      </w:r>
    </w:p>
    <w:p>
      <w:pPr>
        <w:spacing w:after="0" w:line="191" w:lineRule="auto"/>
        <w:framePr w:w="1520" w:h="147" w:wrap="auto" w:vAnchor="page" w:hAnchor="page" w:x="9380" w:y="8660"/>
        <w:rPr>
          <w:rFonts w:ascii="Arial" w:cs="Arial" w:eastAsia="Arial" w:hAnsi="Arial"/>
          <w:sz w:val="16"/>
          <w:szCs w:val="16"/>
          <w:b w:val="1"/>
          <w:bCs w:val="1"/>
          <w:color w:val="auto"/>
        </w:rPr>
      </w:pPr>
      <w:r>
        <w:rPr>
          <w:rFonts w:ascii="Arial" w:cs="Arial" w:eastAsia="Arial" w:hAnsi="Arial"/>
          <w:sz w:val="16"/>
          <w:szCs w:val="16"/>
          <w:b w:val="1"/>
          <w:bCs w:val="1"/>
          <w:color w:val="auto"/>
        </w:rPr>
        <w:t>- TSR relative to the</w:t>
      </w:r>
    </w:p>
    <w:p>
      <w:pPr>
        <w:spacing w:after="0" w:line="191" w:lineRule="auto"/>
        <w:framePr w:w="2180" w:h="147" w:wrap="auto" w:vAnchor="page" w:hAnchor="page" w:x="9380" w:y="8309"/>
        <w:rPr>
          <w:rFonts w:ascii="Arial" w:cs="Arial" w:eastAsia="Arial" w:hAnsi="Arial"/>
          <w:sz w:val="16"/>
          <w:szCs w:val="16"/>
          <w:b w:val="1"/>
          <w:bCs w:val="1"/>
          <w:color w:val="auto"/>
        </w:rPr>
      </w:pPr>
      <w:r>
        <w:rPr>
          <w:rFonts w:ascii="Arial" w:cs="Arial" w:eastAsia="Arial" w:hAnsi="Arial"/>
          <w:sz w:val="16"/>
          <w:szCs w:val="16"/>
          <w:b w:val="1"/>
          <w:bCs w:val="1"/>
          <w:color w:val="auto"/>
        </w:rPr>
        <w:t>- Percentage of sales as high</w:t>
      </w:r>
    </w:p>
    <w:p>
      <w:pPr>
        <w:spacing w:after="0" w:line="201" w:lineRule="auto"/>
        <w:framePr w:w="2540" w:h="309" w:wrap="auto" w:vAnchor="page" w:hAnchor="page" w:x="8980" w:y="7891"/>
        <w:rPr>
          <w:rFonts w:ascii="Arial" w:cs="Arial" w:eastAsia="Arial" w:hAnsi="Arial"/>
          <w:sz w:val="16"/>
          <w:szCs w:val="16"/>
          <w:b w:val="1"/>
          <w:bCs w:val="1"/>
          <w:color w:val="auto"/>
        </w:rPr>
      </w:pPr>
      <w:r>
        <w:rPr>
          <w:rFonts w:ascii="Arial" w:cs="Arial" w:eastAsia="Arial" w:hAnsi="Arial"/>
          <w:sz w:val="16"/>
          <w:szCs w:val="16"/>
          <w:b w:val="1"/>
          <w:bCs w:val="1"/>
          <w:color w:val="auto"/>
        </w:rPr>
        <w:t>– Goals set by the Compensation Committee</w:t>
      </w:r>
    </w:p>
    <w:p>
      <w:pPr>
        <w:spacing w:after="0" w:line="206" w:lineRule="auto"/>
        <w:framePr w:w="2120" w:h="633" w:wrap="auto" w:vAnchor="page" w:hAnchor="page" w:x="6520" w:y="6068"/>
        <w:rPr>
          <w:rFonts w:ascii="Arial" w:cs="Arial" w:eastAsia="Arial" w:hAnsi="Arial"/>
          <w:sz w:val="16"/>
          <w:szCs w:val="16"/>
          <w:b w:val="1"/>
          <w:bCs w:val="1"/>
          <w:color w:val="auto"/>
        </w:rPr>
      </w:pPr>
      <w:r>
        <w:rPr>
          <w:rFonts w:ascii="Arial" w:cs="Arial" w:eastAsia="Arial" w:hAnsi="Arial"/>
          <w:sz w:val="16"/>
          <w:szCs w:val="16"/>
          <w:b w:val="1"/>
          <w:bCs w:val="1"/>
          <w:color w:val="auto"/>
        </w:rPr>
        <w:t>– Focuses executives on achievement of near-term financial and operational objectives</w:t>
      </w:r>
    </w:p>
    <w:p>
      <w:pPr>
        <w:spacing w:after="0" w:line="204" w:lineRule="auto"/>
        <w:framePr w:w="2400" w:h="471" w:wrap="auto" w:vAnchor="page" w:hAnchor="page" w:x="6520" w:y="6824"/>
        <w:rPr>
          <w:rFonts w:ascii="Arial" w:cs="Arial" w:eastAsia="Arial" w:hAnsi="Arial"/>
          <w:sz w:val="16"/>
          <w:szCs w:val="16"/>
          <w:b w:val="1"/>
          <w:bCs w:val="1"/>
          <w:color w:val="auto"/>
        </w:rPr>
      </w:pPr>
      <w:r>
        <w:rPr>
          <w:rFonts w:ascii="Arial" w:cs="Arial" w:eastAsia="Arial" w:hAnsi="Arial"/>
          <w:sz w:val="16"/>
          <w:szCs w:val="16"/>
          <w:b w:val="1"/>
          <w:bCs w:val="1"/>
          <w:color w:val="auto"/>
        </w:rPr>
        <w:t>– Promotes long-term company success and drives shareholder value</w:t>
      </w:r>
    </w:p>
    <w:p>
      <w:pPr>
        <w:spacing w:after="0" w:line="191" w:lineRule="auto"/>
        <w:framePr w:w="1460" w:h="147" w:wrap="auto" w:vAnchor="page" w:hAnchor="page" w:x="9380" w:y="6068"/>
        <w:rPr>
          <w:rFonts w:ascii="Arial" w:cs="Arial" w:eastAsia="Arial" w:hAnsi="Arial"/>
          <w:sz w:val="16"/>
          <w:szCs w:val="16"/>
          <w:b w:val="1"/>
          <w:bCs w:val="1"/>
          <w:color w:val="auto"/>
        </w:rPr>
      </w:pPr>
      <w:r>
        <w:rPr>
          <w:rFonts w:ascii="Arial" w:cs="Arial" w:eastAsia="Arial" w:hAnsi="Arial"/>
          <w:sz w:val="16"/>
          <w:szCs w:val="16"/>
          <w:b w:val="1"/>
          <w:bCs w:val="1"/>
          <w:color w:val="auto"/>
        </w:rPr>
        <w:t>- Net income target</w:t>
      </w:r>
    </w:p>
    <w:p>
      <w:pPr>
        <w:spacing w:after="0" w:line="204" w:lineRule="auto"/>
        <w:framePr w:w="1920" w:h="471" w:wrap="auto" w:vAnchor="page" w:hAnchor="page" w:x="9380" w:y="6230"/>
        <w:rPr>
          <w:rFonts w:ascii="Arial" w:cs="Arial" w:eastAsia="Arial" w:hAnsi="Arial"/>
          <w:sz w:val="16"/>
          <w:szCs w:val="16"/>
          <w:b w:val="1"/>
          <w:bCs w:val="1"/>
          <w:color w:val="auto"/>
        </w:rPr>
      </w:pPr>
      <w:r>
        <w:rPr>
          <w:rFonts w:ascii="Arial" w:cs="Arial" w:eastAsia="Arial" w:hAnsi="Arial"/>
          <w:sz w:val="16"/>
          <w:szCs w:val="16"/>
          <w:b w:val="1"/>
          <w:bCs w:val="1"/>
          <w:color w:val="auto"/>
        </w:rPr>
        <w:t>- Achievement of certain technology, product, cost, and customer milestones</w:t>
      </w:r>
    </w:p>
    <w:p>
      <w:pPr>
        <w:spacing w:after="0" w:line="204" w:lineRule="auto"/>
        <w:framePr w:w="2380" w:h="471" w:wrap="auto" w:vAnchor="page" w:hAnchor="page" w:x="6520" w:y="5474"/>
        <w:rPr>
          <w:rFonts w:ascii="Arial" w:cs="Arial" w:eastAsia="Arial" w:hAnsi="Arial"/>
          <w:sz w:val="16"/>
          <w:szCs w:val="16"/>
          <w:b w:val="1"/>
          <w:bCs w:val="1"/>
          <w:color w:val="auto"/>
        </w:rPr>
      </w:pPr>
      <w:r>
        <w:rPr>
          <w:rFonts w:ascii="Arial" w:cs="Arial" w:eastAsia="Arial" w:hAnsi="Arial"/>
          <w:sz w:val="16"/>
          <w:szCs w:val="16"/>
          <w:b w:val="1"/>
          <w:bCs w:val="1"/>
          <w:color w:val="auto"/>
        </w:rPr>
        <w:t>– Encourages accountability by rewarding achievement of specific performance goals</w:t>
      </w:r>
    </w:p>
    <w:p>
      <w:pPr>
        <w:spacing w:after="0" w:line="204" w:lineRule="auto"/>
        <w:framePr w:w="2400" w:h="471" w:wrap="auto" w:vAnchor="page" w:hAnchor="page" w:x="8980" w:y="5474"/>
        <w:rPr>
          <w:rFonts w:ascii="Arial" w:cs="Arial" w:eastAsia="Arial" w:hAnsi="Arial"/>
          <w:sz w:val="16"/>
          <w:szCs w:val="16"/>
          <w:b w:val="1"/>
          <w:bCs w:val="1"/>
          <w:color w:val="auto"/>
        </w:rPr>
      </w:pPr>
      <w:r>
        <w:rPr>
          <w:rFonts w:ascii="Arial" w:cs="Arial" w:eastAsia="Arial" w:hAnsi="Arial"/>
          <w:sz w:val="16"/>
          <w:szCs w:val="16"/>
          <w:b w:val="1"/>
          <w:bCs w:val="1"/>
          <w:color w:val="auto"/>
        </w:rPr>
        <w:t>– Annual, pre-determined goals set by the Compensation Committee</w:t>
      </w:r>
    </w:p>
    <w:p>
      <w:pPr>
        <w:spacing w:after="0" w:line="201" w:lineRule="auto"/>
        <w:framePr w:w="2180" w:h="309" w:wrap="auto" w:vAnchor="page" w:hAnchor="page" w:x="8980" w:y="4556"/>
        <w:rPr>
          <w:rFonts w:ascii="Arial" w:cs="Arial" w:eastAsia="Arial" w:hAnsi="Arial"/>
          <w:sz w:val="16"/>
          <w:szCs w:val="16"/>
          <w:b w:val="1"/>
          <w:bCs w:val="1"/>
          <w:color w:val="auto"/>
        </w:rPr>
      </w:pPr>
      <w:r>
        <w:rPr>
          <w:rFonts w:ascii="Arial" w:cs="Arial" w:eastAsia="Arial" w:hAnsi="Arial"/>
          <w:sz w:val="16"/>
          <w:szCs w:val="16"/>
          <w:b w:val="1"/>
          <w:bCs w:val="1"/>
          <w:color w:val="auto"/>
        </w:rPr>
        <w:t>– Market Data median forms baseline</w:t>
      </w:r>
    </w:p>
    <w:p>
      <w:pPr>
        <w:spacing w:after="0" w:line="191" w:lineRule="auto"/>
        <w:framePr w:w="4440" w:h="147" w:wrap="auto" w:vAnchor="page" w:hAnchor="page" w:x="6520" w:y="3247"/>
        <w:rPr>
          <w:rFonts w:ascii="Arial" w:cs="Arial" w:eastAsia="Arial" w:hAnsi="Arial"/>
          <w:sz w:val="16"/>
          <w:szCs w:val="16"/>
          <w:b w:val="1"/>
          <w:bCs w:val="1"/>
          <w:color w:val="auto"/>
        </w:rPr>
      </w:pPr>
      <w:r>
        <w:rPr>
          <w:rFonts w:ascii="Arial" w:cs="Arial" w:eastAsia="Arial" w:hAnsi="Arial"/>
          <w:sz w:val="16"/>
          <w:szCs w:val="16"/>
          <w:b w:val="1"/>
          <w:bCs w:val="1"/>
          <w:color w:val="auto"/>
        </w:rPr>
        <w:t>–  Attracts, develops, and retains –  Adjusted for executive’s</w:t>
      </w:r>
    </w:p>
    <w:p>
      <w:pPr>
        <w:spacing w:after="0" w:line="191" w:lineRule="auto"/>
        <w:framePr w:w="1880" w:h="147" w:wrap="auto" w:vAnchor="page" w:hAnchor="page" w:x="6720" w:y="3409"/>
        <w:rPr>
          <w:rFonts w:ascii="Arial" w:cs="Arial" w:eastAsia="Arial" w:hAnsi="Arial"/>
          <w:sz w:val="16"/>
          <w:szCs w:val="16"/>
          <w:b w:val="1"/>
          <w:bCs w:val="1"/>
          <w:color w:val="auto"/>
        </w:rPr>
      </w:pPr>
      <w:r>
        <w:rPr>
          <w:rFonts w:ascii="Arial" w:cs="Arial" w:eastAsia="Arial" w:hAnsi="Arial"/>
          <w:sz w:val="16"/>
          <w:szCs w:val="16"/>
          <w:b w:val="1"/>
          <w:bCs w:val="1"/>
          <w:color w:val="auto"/>
        </w:rPr>
        <w:t>highly-qualified executive</w:t>
      </w:r>
    </w:p>
    <w:p>
      <w:pPr>
        <w:spacing w:after="0" w:line="191" w:lineRule="auto"/>
        <w:framePr w:w="2240" w:h="147" w:wrap="auto" w:vAnchor="page" w:hAnchor="page" w:x="9180" w:y="3409"/>
        <w:rPr>
          <w:rFonts w:ascii="Arial" w:cs="Arial" w:eastAsia="Arial" w:hAnsi="Arial"/>
          <w:sz w:val="16"/>
          <w:szCs w:val="16"/>
          <w:b w:val="1"/>
          <w:bCs w:val="1"/>
          <w:color w:val="auto"/>
        </w:rPr>
      </w:pPr>
      <w:r>
        <w:rPr>
          <w:rFonts w:ascii="Arial" w:cs="Arial" w:eastAsia="Arial" w:hAnsi="Arial"/>
          <w:sz w:val="16"/>
          <w:szCs w:val="16"/>
          <w:b w:val="1"/>
          <w:bCs w:val="1"/>
          <w:color w:val="auto"/>
        </w:rPr>
        <w:t>contributions, experience, and</w:t>
      </w:r>
    </w:p>
    <w:p>
      <w:pPr>
        <w:spacing w:after="0" w:line="191" w:lineRule="auto"/>
        <w:framePr w:w="480" w:h="147" w:wrap="auto" w:vAnchor="page" w:hAnchor="page" w:x="6720" w:y="3571"/>
        <w:rPr>
          <w:rFonts w:ascii="Arial" w:cs="Arial" w:eastAsia="Arial" w:hAnsi="Arial"/>
          <w:sz w:val="16"/>
          <w:szCs w:val="16"/>
          <w:b w:val="1"/>
          <w:bCs w:val="1"/>
          <w:color w:val="auto"/>
        </w:rPr>
      </w:pPr>
      <w:r>
        <w:rPr>
          <w:rFonts w:ascii="Arial" w:cs="Arial" w:eastAsia="Arial" w:hAnsi="Arial"/>
          <w:sz w:val="16"/>
          <w:szCs w:val="16"/>
          <w:b w:val="1"/>
          <w:bCs w:val="1"/>
          <w:color w:val="auto"/>
        </w:rPr>
        <w:t>talent</w:t>
      </w:r>
    </w:p>
    <w:p>
      <w:pPr>
        <w:spacing w:after="0" w:line="191" w:lineRule="auto"/>
        <w:framePr w:w="980" w:h="147" w:wrap="auto" w:vAnchor="page" w:hAnchor="page" w:x="9180" w:y="3571"/>
        <w:rPr>
          <w:rFonts w:ascii="Arial" w:cs="Arial" w:eastAsia="Arial" w:hAnsi="Arial"/>
          <w:sz w:val="16"/>
          <w:szCs w:val="16"/>
          <w:b w:val="1"/>
          <w:bCs w:val="1"/>
          <w:color w:val="auto"/>
        </w:rPr>
      </w:pPr>
      <w:r>
        <w:rPr>
          <w:rFonts w:ascii="Arial" w:cs="Arial" w:eastAsia="Arial" w:hAnsi="Arial"/>
          <w:sz w:val="16"/>
          <w:szCs w:val="16"/>
          <w:b w:val="1"/>
          <w:bCs w:val="1"/>
          <w:color w:val="auto"/>
        </w:rPr>
        <w:t>performance</w:t>
      </w:r>
    </w:p>
    <w:p>
      <w:pPr>
        <w:spacing w:after="0" w:line="201" w:lineRule="auto"/>
        <w:framePr w:w="2440" w:h="309" w:wrap="auto" w:vAnchor="page" w:hAnchor="page" w:x="6520" w:y="3854"/>
        <w:rPr>
          <w:rFonts w:ascii="Arial" w:cs="Arial" w:eastAsia="Arial" w:hAnsi="Arial"/>
          <w:sz w:val="16"/>
          <w:szCs w:val="16"/>
          <w:b w:val="1"/>
          <w:bCs w:val="1"/>
          <w:color w:val="auto"/>
        </w:rPr>
      </w:pPr>
      <w:r>
        <w:rPr>
          <w:rFonts w:ascii="Arial" w:cs="Arial" w:eastAsia="Arial" w:hAnsi="Arial"/>
          <w:sz w:val="16"/>
          <w:szCs w:val="16"/>
          <w:b w:val="1"/>
          <w:bCs w:val="1"/>
          <w:color w:val="auto"/>
        </w:rPr>
        <w:t>– Maintains stable management team</w:t>
      </w:r>
    </w:p>
    <w:p>
      <w:pPr>
        <w:spacing w:after="0" w:line="191" w:lineRule="auto"/>
        <w:framePr w:w="4260" w:h="147" w:wrap="auto" w:vAnchor="page" w:hAnchor="page" w:x="4180" w:y="7891"/>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Creates direct, specific</w:t>
      </w:r>
    </w:p>
    <w:p>
      <w:pPr>
        <w:spacing w:after="0" w:line="208" w:lineRule="auto"/>
        <w:framePr w:w="1560" w:h="147" w:wrap="auto" w:vAnchor="page" w:hAnchor="page" w:x="4380" w:y="8053"/>
        <w:rPr>
          <w:rFonts w:ascii="Arial" w:cs="Arial" w:eastAsia="Arial" w:hAnsi="Arial"/>
          <w:sz w:val="16"/>
          <w:szCs w:val="16"/>
          <w:b w:val="1"/>
          <w:bCs w:val="1"/>
          <w:color w:val="auto"/>
        </w:rPr>
      </w:pPr>
      <w:r>
        <w:rPr>
          <w:rFonts w:ascii="Arial" w:cs="Arial" w:eastAsia="Arial" w:hAnsi="Arial"/>
          <w:sz w:val="16"/>
          <w:szCs w:val="16"/>
          <w:b w:val="1"/>
          <w:bCs w:val="1"/>
          <w:color w:val="auto"/>
        </w:rPr>
        <w:t>equity compensation</w:t>
      </w:r>
    </w:p>
    <w:p>
      <w:pPr>
        <w:spacing w:after="0" w:line="208" w:lineRule="auto"/>
        <w:framePr w:w="2240" w:h="1119" w:wrap="auto" w:vAnchor="page" w:hAnchor="page" w:x="6720" w:y="8053"/>
        <w:rPr>
          <w:rFonts w:ascii="Arial" w:cs="Arial" w:eastAsia="Arial" w:hAnsi="Arial"/>
          <w:sz w:val="16"/>
          <w:szCs w:val="16"/>
          <w:b w:val="1"/>
          <w:bCs w:val="1"/>
          <w:color w:val="auto"/>
        </w:rPr>
      </w:pPr>
      <w:r>
        <w:rPr>
          <w:rFonts w:ascii="Arial" w:cs="Arial" w:eastAsia="Arial" w:hAnsi="Arial"/>
          <w:sz w:val="16"/>
          <w:szCs w:val="16"/>
          <w:b w:val="1"/>
          <w:bCs w:val="1"/>
          <w:color w:val="auto"/>
        </w:rPr>
        <w:t>alignment with shareholders’ interests by focusing executives on long-term value creation through the achievement of key operational milestones and stock price performance</w:t>
      </w:r>
    </w:p>
    <w:p>
      <w:pPr>
        <w:spacing w:after="0" w:line="191" w:lineRule="auto"/>
        <w:framePr w:w="4740" w:h="147" w:wrap="auto" w:vAnchor="page" w:hAnchor="page" w:x="4180" w:y="4556"/>
        <w:rPr>
          <w:rFonts w:ascii="Arial" w:cs="Arial" w:eastAsia="Arial" w:hAnsi="Arial"/>
          <w:sz w:val="16"/>
          <w:szCs w:val="16"/>
          <w:b w:val="1"/>
          <w:bCs w:val="1"/>
          <w:color w:val="auto"/>
        </w:rPr>
      </w:pPr>
      <w:r>
        <w:rPr>
          <w:rFonts w:ascii="Arial" w:cs="Arial" w:eastAsia="Arial" w:hAnsi="Arial"/>
          <w:sz w:val="16"/>
          <w:szCs w:val="16"/>
          <w:b w:val="1"/>
          <w:bCs w:val="1"/>
          <w:color w:val="auto"/>
        </w:rPr>
        <w:t>–  Variable, performance-based –  Provides performance-based,</w:t>
      </w:r>
    </w:p>
    <w:p>
      <w:pPr>
        <w:spacing w:after="0" w:line="206" w:lineRule="auto"/>
        <w:framePr w:w="1480" w:h="147" w:wrap="auto" w:vAnchor="page" w:hAnchor="page" w:x="4380" w:y="4718"/>
        <w:rPr>
          <w:rFonts w:ascii="Arial" w:cs="Arial" w:eastAsia="Arial" w:hAnsi="Arial"/>
          <w:sz w:val="16"/>
          <w:szCs w:val="16"/>
          <w:b w:val="1"/>
          <w:bCs w:val="1"/>
          <w:color w:val="auto"/>
        </w:rPr>
      </w:pPr>
      <w:r>
        <w:rPr>
          <w:rFonts w:ascii="Arial" w:cs="Arial" w:eastAsia="Arial" w:hAnsi="Arial"/>
          <w:sz w:val="16"/>
          <w:szCs w:val="16"/>
          <w:b w:val="1"/>
          <w:bCs w:val="1"/>
          <w:color w:val="auto"/>
        </w:rPr>
        <w:t>cash compensation</w:t>
      </w:r>
    </w:p>
    <w:p>
      <w:pPr>
        <w:spacing w:after="0" w:line="206" w:lineRule="auto"/>
        <w:framePr w:w="2120" w:h="633" w:wrap="auto" w:vAnchor="page" w:hAnchor="page" w:x="6720" w:y="4718"/>
        <w:rPr>
          <w:rFonts w:ascii="Arial" w:cs="Arial" w:eastAsia="Arial" w:hAnsi="Arial"/>
          <w:sz w:val="16"/>
          <w:szCs w:val="16"/>
          <w:b w:val="1"/>
          <w:bCs w:val="1"/>
          <w:color w:val="auto"/>
        </w:rPr>
      </w:pPr>
      <w:r>
        <w:rPr>
          <w:rFonts w:ascii="Arial" w:cs="Arial" w:eastAsia="Arial" w:hAnsi="Arial"/>
          <w:sz w:val="16"/>
          <w:szCs w:val="16"/>
          <w:b w:val="1"/>
          <w:bCs w:val="1"/>
          <w:color w:val="auto"/>
        </w:rPr>
        <w:t>incentive cash awards for outstanding performance at the individual, business-unit, and/or company-wide level</w:t>
      </w:r>
    </w:p>
    <w:p>
      <w:pPr>
        <w:spacing w:after="0" w:line="207" w:lineRule="auto"/>
        <w:framePr w:w="2300" w:h="795" w:wrap="auto" w:vAnchor="page" w:hAnchor="page" w:x="4180" w:y="8728"/>
        <w:rPr>
          <w:rFonts w:ascii="Arial" w:cs="Arial" w:eastAsia="Arial" w:hAnsi="Arial"/>
          <w:sz w:val="16"/>
          <w:szCs w:val="16"/>
          <w:b w:val="1"/>
          <w:bCs w:val="1"/>
          <w:color w:val="auto"/>
        </w:rPr>
      </w:pPr>
      <w:r>
        <w:rPr>
          <w:rFonts w:ascii="Arial" w:cs="Arial" w:eastAsia="Arial" w:hAnsi="Arial"/>
          <w:sz w:val="16"/>
          <w:szCs w:val="16"/>
          <w:b w:val="1"/>
          <w:bCs w:val="1"/>
          <w:color w:val="auto"/>
        </w:rPr>
        <w:t>– Earned at the end of each year for the operational goal and each day beginning on the first day of the second year for the financial goal</w:t>
      </w:r>
    </w:p>
    <w:p>
      <w:pPr>
        <w:spacing w:after="0" w:line="201" w:lineRule="auto"/>
        <w:framePr w:w="2020" w:h="309" w:wrap="auto" w:vAnchor="page" w:hAnchor="page" w:x="4180" w:y="8309"/>
        <w:rPr>
          <w:rFonts w:ascii="Arial" w:cs="Arial" w:eastAsia="Arial" w:hAnsi="Arial"/>
          <w:sz w:val="16"/>
          <w:szCs w:val="16"/>
          <w:b w:val="1"/>
          <w:bCs w:val="1"/>
          <w:color w:val="auto"/>
        </w:rPr>
      </w:pPr>
      <w:r>
        <w:rPr>
          <w:rFonts w:ascii="Arial" w:cs="Arial" w:eastAsia="Arial" w:hAnsi="Arial"/>
          <w:sz w:val="16"/>
          <w:szCs w:val="16"/>
          <w:b w:val="1"/>
          <w:bCs w:val="1"/>
          <w:color w:val="auto"/>
        </w:rPr>
        <w:t>– Three-year performance period</w:t>
      </w:r>
    </w:p>
    <w:p>
      <w:pPr>
        <w:spacing w:after="0" w:line="210" w:lineRule="auto"/>
        <w:framePr w:w="2140" w:h="322" w:wrap="auto" w:vAnchor="page" w:hAnchor="page" w:x="4180" w:y="5474"/>
        <w:rPr>
          <w:rFonts w:ascii="Arial" w:cs="Arial" w:eastAsia="Arial" w:hAnsi="Arial"/>
          <w:sz w:val="16"/>
          <w:szCs w:val="16"/>
          <w:b w:val="1"/>
          <w:bCs w:val="1"/>
          <w:color w:val="auto"/>
        </w:rPr>
      </w:pPr>
      <w:r>
        <w:rPr>
          <w:rFonts w:ascii="Arial" w:cs="Arial" w:eastAsia="Arial" w:hAnsi="Arial"/>
          <w:sz w:val="16"/>
          <w:szCs w:val="16"/>
          <w:b w:val="1"/>
          <w:bCs w:val="1"/>
          <w:color w:val="auto"/>
        </w:rPr>
        <w:t>– Percentage of executive’s base salary</w:t>
      </w:r>
    </w:p>
    <w:p>
      <w:pPr>
        <w:spacing w:after="0"/>
        <w:rPr>
          <w:sz w:val="20"/>
          <w:szCs w:val="20"/>
          <w:color w:val="auto"/>
        </w:rPr>
      </w:pPr>
      <w:r>
        <w:rPr>
          <w:rFonts w:ascii="Arial" w:cs="Arial" w:eastAsia="Arial" w:hAnsi="Arial"/>
          <w:sz w:val="22"/>
          <w:szCs w:val="22"/>
          <w:b w:val="1"/>
          <w:bCs w:val="1"/>
          <w:color w:val="0090DA"/>
        </w:rPr>
        <w:t>Components of our Executive Compensation Program</w:t>
      </w:r>
    </w:p>
    <w:p>
      <w:pPr>
        <w:spacing w:after="0" w:line="247" w:lineRule="exact"/>
        <w:rPr>
          <w:rFonts w:ascii="Arial" w:cs="Arial" w:eastAsia="Arial" w:hAnsi="Arial"/>
          <w:sz w:val="16"/>
          <w:szCs w:val="16"/>
          <w:b w:val="1"/>
          <w:bCs w:val="1"/>
          <w:color w:val="auto"/>
        </w:rPr>
      </w:pPr>
    </w:p>
    <w:p>
      <w:pPr>
        <w:ind w:right="580"/>
        <w:spacing w:after="0" w:line="279" w:lineRule="auto"/>
        <w:rPr>
          <w:sz w:val="20"/>
          <w:szCs w:val="20"/>
          <w:color w:val="auto"/>
        </w:rPr>
      </w:pPr>
      <w:r>
        <w:rPr>
          <w:rFonts w:ascii="Arial" w:cs="Arial" w:eastAsia="Arial" w:hAnsi="Arial"/>
          <w:sz w:val="18"/>
          <w:szCs w:val="18"/>
          <w:color w:val="auto"/>
        </w:rPr>
        <w:t>As illustrated in the table below, our executive compensation program is designed to focus on the longer-term and performance-based components of target compensation.</w:t>
      </w:r>
    </w:p>
    <w:p>
      <w:pPr>
        <w:spacing w:after="0" w:line="1"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70"/>
        </w:trPr>
        <w:tc>
          <w:tcPr>
            <w:tcW w:w="3900" w:type="dxa"/>
            <w:vAlign w:val="bottom"/>
            <w:tcBorders>
              <w:bottom w:val="single" w:sz="8" w:color="929292"/>
              <w:right w:val="single" w:sz="8" w:color="818386"/>
            </w:tcBorders>
          </w:tcPr>
          <w:p>
            <w:pPr>
              <w:ind w:left="520"/>
              <w:spacing w:after="0"/>
              <w:rPr>
                <w:sz w:val="20"/>
                <w:szCs w:val="20"/>
                <w:color w:val="auto"/>
              </w:rPr>
            </w:pPr>
            <w:r>
              <w:rPr>
                <w:rFonts w:ascii="Arial" w:cs="Arial" w:eastAsia="Arial" w:hAnsi="Arial"/>
                <w:sz w:val="22"/>
                <w:szCs w:val="22"/>
                <w:b w:val="1"/>
                <w:bCs w:val="1"/>
                <w:color w:val="auto"/>
              </w:rPr>
              <w:t>Compensation Component*</w:t>
            </w:r>
          </w:p>
        </w:tc>
        <w:tc>
          <w:tcPr>
            <w:tcW w:w="140" w:type="dxa"/>
            <w:vAlign w:val="bottom"/>
            <w:tcBorders>
              <w:bottom w:val="single" w:sz="8" w:color="929292"/>
            </w:tcBorders>
          </w:tcPr>
          <w:p>
            <w:pPr>
              <w:spacing w:after="0"/>
              <w:rPr>
                <w:sz w:val="23"/>
                <w:szCs w:val="23"/>
                <w:color w:val="auto"/>
              </w:rPr>
            </w:pPr>
          </w:p>
        </w:tc>
        <w:tc>
          <w:tcPr>
            <w:tcW w:w="2200" w:type="dxa"/>
            <w:vAlign w:val="bottom"/>
            <w:tcBorders>
              <w:bottom w:val="single" w:sz="8" w:color="929292"/>
              <w:right w:val="single" w:sz="8" w:color="818386"/>
            </w:tcBorders>
          </w:tcPr>
          <w:p>
            <w:pPr>
              <w:ind w:left="240"/>
              <w:spacing w:after="0"/>
              <w:rPr>
                <w:sz w:val="20"/>
                <w:szCs w:val="20"/>
                <w:color w:val="auto"/>
              </w:rPr>
            </w:pPr>
            <w:r>
              <w:rPr>
                <w:rFonts w:ascii="Arial" w:cs="Arial" w:eastAsia="Arial" w:hAnsi="Arial"/>
                <w:sz w:val="22"/>
                <w:szCs w:val="22"/>
                <w:b w:val="1"/>
                <w:bCs w:val="1"/>
                <w:color w:val="auto"/>
              </w:rPr>
              <w:t>Characteristics</w:t>
            </w:r>
          </w:p>
        </w:tc>
        <w:tc>
          <w:tcPr>
            <w:tcW w:w="2460" w:type="dxa"/>
            <w:vAlign w:val="bottom"/>
            <w:tcBorders>
              <w:bottom w:val="single" w:sz="8" w:color="929292"/>
              <w:right w:val="single" w:sz="8" w:color="818386"/>
            </w:tcBorders>
          </w:tcPr>
          <w:p>
            <w:pPr>
              <w:ind w:left="780"/>
              <w:spacing w:after="0"/>
              <w:rPr>
                <w:sz w:val="20"/>
                <w:szCs w:val="20"/>
                <w:color w:val="auto"/>
              </w:rPr>
            </w:pPr>
            <w:r>
              <w:rPr>
                <w:rFonts w:ascii="Arial" w:cs="Arial" w:eastAsia="Arial" w:hAnsi="Arial"/>
                <w:sz w:val="22"/>
                <w:szCs w:val="22"/>
                <w:b w:val="1"/>
                <w:bCs w:val="1"/>
                <w:color w:val="auto"/>
              </w:rPr>
              <w:t>Purpose</w:t>
            </w:r>
          </w:p>
        </w:tc>
        <w:tc>
          <w:tcPr>
            <w:tcW w:w="2540" w:type="dxa"/>
            <w:vAlign w:val="bottom"/>
            <w:tcBorders>
              <w:bottom w:val="single" w:sz="8" w:color="929292"/>
            </w:tcBorders>
          </w:tcPr>
          <w:p>
            <w:pPr>
              <w:ind w:left="220"/>
              <w:spacing w:after="0"/>
              <w:rPr>
                <w:sz w:val="20"/>
                <w:szCs w:val="20"/>
                <w:color w:val="auto"/>
              </w:rPr>
            </w:pPr>
            <w:r>
              <w:rPr>
                <w:rFonts w:ascii="Arial" w:cs="Arial" w:eastAsia="Arial" w:hAnsi="Arial"/>
                <w:sz w:val="22"/>
                <w:szCs w:val="22"/>
                <w:b w:val="1"/>
                <w:bCs w:val="1"/>
                <w:color w:val="auto"/>
              </w:rPr>
              <w:t>Determining Factors</w:t>
            </w:r>
          </w:p>
        </w:tc>
      </w:tr>
      <w:tr>
        <w:trPr>
          <w:trHeight w:val="218"/>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009D85"/>
              </w:rPr>
              <w:t>Base Salary</w:t>
            </w:r>
          </w:p>
        </w:tc>
        <w:tc>
          <w:tcPr>
            <w:tcW w:w="2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67"/>
        </w:trPr>
        <w:tc>
          <w:tcPr>
            <w:tcW w:w="3900" w:type="dxa"/>
            <w:vAlign w:val="bottom"/>
          </w:tcPr>
          <w:p>
            <w:pPr>
              <w:spacing w:after="0"/>
              <w:rPr>
                <w:sz w:val="14"/>
                <w:szCs w:val="14"/>
                <w:color w:val="auto"/>
              </w:rPr>
            </w:pPr>
          </w:p>
        </w:tc>
        <w:tc>
          <w:tcPr>
            <w:tcW w:w="140" w:type="dxa"/>
            <w:vAlign w:val="bottom"/>
          </w:tcPr>
          <w:p>
            <w:pPr>
              <w:spacing w:after="0" w:line="167" w:lineRule="exact"/>
              <w:rPr>
                <w:sz w:val="20"/>
                <w:szCs w:val="20"/>
                <w:color w:val="auto"/>
              </w:rPr>
            </w:pPr>
            <w:r>
              <w:rPr>
                <w:rFonts w:ascii="Arial" w:cs="Arial" w:eastAsia="Arial" w:hAnsi="Arial"/>
                <w:sz w:val="16"/>
                <w:szCs w:val="16"/>
                <w:color w:val="auto"/>
              </w:rPr>
              <w:t>–</w:t>
            </w:r>
          </w:p>
        </w:tc>
        <w:tc>
          <w:tcPr>
            <w:tcW w:w="2200" w:type="dxa"/>
            <w:vAlign w:val="bottom"/>
          </w:tcPr>
          <w:p>
            <w:pPr>
              <w:ind w:left="60"/>
              <w:spacing w:after="0" w:line="167" w:lineRule="exact"/>
              <w:rPr>
                <w:sz w:val="20"/>
                <w:szCs w:val="20"/>
                <w:color w:val="auto"/>
              </w:rPr>
            </w:pPr>
            <w:r>
              <w:rPr>
                <w:rFonts w:ascii="Arial" w:cs="Arial" w:eastAsia="Arial" w:hAnsi="Arial"/>
                <w:sz w:val="16"/>
                <w:szCs w:val="16"/>
                <w:color w:val="auto"/>
              </w:rPr>
              <w:t>Fixed Compensation</w:t>
            </w:r>
          </w:p>
        </w:tc>
        <w:tc>
          <w:tcPr>
            <w:tcW w:w="2460" w:type="dxa"/>
            <w:vAlign w:val="bottom"/>
          </w:tcPr>
          <w:p>
            <w:pPr>
              <w:spacing w:after="0" w:line="167" w:lineRule="exact"/>
              <w:rPr>
                <w:sz w:val="20"/>
                <w:szCs w:val="20"/>
                <w:color w:val="auto"/>
              </w:rPr>
            </w:pPr>
            <w:r>
              <w:rPr>
                <w:rFonts w:ascii="Arial" w:cs="Arial" w:eastAsia="Arial" w:hAnsi="Arial"/>
                <w:sz w:val="16"/>
                <w:szCs w:val="16"/>
                <w:color w:val="auto"/>
              </w:rPr>
              <w:t>–  Compensates executives for</w:t>
            </w:r>
          </w:p>
        </w:tc>
        <w:tc>
          <w:tcPr>
            <w:tcW w:w="2540" w:type="dxa"/>
            <w:vAlign w:val="bottom"/>
          </w:tcPr>
          <w:p>
            <w:pPr>
              <w:spacing w:after="0" w:line="167" w:lineRule="exact"/>
              <w:rPr>
                <w:sz w:val="20"/>
                <w:szCs w:val="20"/>
                <w:color w:val="auto"/>
              </w:rPr>
            </w:pPr>
            <w:r>
              <w:rPr>
                <w:rFonts w:ascii="Arial" w:cs="Arial" w:eastAsia="Arial" w:hAnsi="Arial"/>
                <w:sz w:val="16"/>
                <w:szCs w:val="16"/>
                <w:color w:val="auto"/>
              </w:rPr>
              <w:t>–  Market Data median sets</w:t>
            </w:r>
          </w:p>
        </w:tc>
      </w:tr>
      <w:tr>
        <w:trPr>
          <w:trHeight w:val="175"/>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460" w:type="dxa"/>
            <w:vAlign w:val="bottom"/>
          </w:tcPr>
          <w:p>
            <w:pPr>
              <w:ind w:left="200"/>
              <w:spacing w:after="0" w:line="175" w:lineRule="exact"/>
              <w:rPr>
                <w:sz w:val="20"/>
                <w:szCs w:val="20"/>
                <w:color w:val="auto"/>
              </w:rPr>
            </w:pPr>
            <w:r>
              <w:rPr>
                <w:rFonts w:ascii="Arial" w:cs="Arial" w:eastAsia="Arial" w:hAnsi="Arial"/>
                <w:sz w:val="16"/>
                <w:szCs w:val="16"/>
                <w:color w:val="auto"/>
              </w:rPr>
              <w:t>performing day-to-day job</w:t>
            </w:r>
          </w:p>
        </w:tc>
        <w:tc>
          <w:tcPr>
            <w:tcW w:w="2540" w:type="dxa"/>
            <w:vAlign w:val="bottom"/>
          </w:tcPr>
          <w:p>
            <w:pPr>
              <w:ind w:left="200"/>
              <w:spacing w:after="0" w:line="175" w:lineRule="exact"/>
              <w:rPr>
                <w:sz w:val="20"/>
                <w:szCs w:val="20"/>
                <w:color w:val="auto"/>
              </w:rPr>
            </w:pPr>
            <w:r>
              <w:rPr>
                <w:rFonts w:ascii="Arial" w:cs="Arial" w:eastAsia="Arial" w:hAnsi="Arial"/>
                <w:sz w:val="16"/>
                <w:szCs w:val="16"/>
                <w:color w:val="auto"/>
              </w:rPr>
              <w:t>baseline</w:t>
            </w:r>
          </w:p>
        </w:tc>
      </w:tr>
      <w:tr>
        <w:trPr>
          <w:trHeight w:val="219"/>
        </w:trPr>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responsibilities</w:t>
            </w:r>
          </w:p>
        </w:tc>
        <w:tc>
          <w:tcPr>
            <w:tcW w:w="2540" w:type="dxa"/>
            <w:vAlign w:val="bottom"/>
          </w:tcPr>
          <w:p>
            <w:pPr>
              <w:spacing w:after="0"/>
              <w:rPr>
                <w:sz w:val="19"/>
                <w:szCs w:val="19"/>
                <w:color w:val="auto"/>
              </w:rPr>
            </w:pPr>
          </w:p>
        </w:tc>
      </w:tr>
    </w:tbl>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097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ind w:left="20"/>
        <w:spacing w:after="0"/>
        <w:rPr>
          <w:sz w:val="20"/>
          <w:szCs w:val="20"/>
          <w:color w:val="auto"/>
        </w:rPr>
      </w:pPr>
      <w:r>
        <w:rPr>
          <w:rFonts w:ascii="Arial" w:cs="Arial" w:eastAsia="Arial" w:hAnsi="Arial"/>
          <w:sz w:val="18"/>
          <w:szCs w:val="18"/>
          <w:b w:val="1"/>
          <w:bCs w:val="1"/>
          <w:color w:val="5F259F"/>
        </w:rPr>
        <w:t>Short Term Incentive Pay</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1838960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381635</wp:posOffset>
            </wp:positionV>
            <wp:extent cx="2065655" cy="1028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r>
    </w:p>
    <w:p>
      <w:pPr>
        <w:spacing w:after="0" w:line="19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54" w:lineRule="exact"/>
        <w:rPr>
          <w:rFonts w:ascii="Arial" w:cs="Arial" w:eastAsia="Arial" w:hAnsi="Arial"/>
          <w:sz w:val="16"/>
          <w:szCs w:val="16"/>
          <w:b w:val="1"/>
          <w:bCs w:val="1"/>
          <w:color w:val="auto"/>
        </w:rPr>
      </w:pPr>
    </w:p>
    <w:p>
      <w:pPr>
        <w:ind w:left="20"/>
        <w:spacing w:after="0"/>
        <w:rPr>
          <w:sz w:val="20"/>
          <w:szCs w:val="20"/>
          <w:color w:val="auto"/>
        </w:rPr>
      </w:pPr>
      <w:r>
        <w:rPr>
          <w:rFonts w:ascii="Arial" w:cs="Arial" w:eastAsia="Arial" w:hAnsi="Arial"/>
          <w:sz w:val="18"/>
          <w:szCs w:val="18"/>
          <w:b w:val="1"/>
          <w:bCs w:val="1"/>
          <w:color w:val="auto"/>
        </w:rPr>
        <w:t>Long Term Incentive Pay</w:t>
      </w:r>
    </w:p>
    <w:p>
      <w:pPr>
        <w:spacing w:after="0" w:line="46" w:lineRule="exact"/>
        <w:rPr>
          <w:rFonts w:ascii="Arial" w:cs="Arial" w:eastAsia="Arial" w:hAnsi="Arial"/>
          <w:sz w:val="16"/>
          <w:szCs w:val="16"/>
          <w:b w:val="1"/>
          <w:bCs w:val="1"/>
          <w:color w:val="auto"/>
        </w:rPr>
      </w:pPr>
    </w:p>
    <w:p>
      <w:pPr>
        <w:ind w:left="240"/>
        <w:spacing w:after="0"/>
        <w:rPr>
          <w:sz w:val="20"/>
          <w:szCs w:val="20"/>
          <w:color w:val="auto"/>
        </w:rPr>
      </w:pPr>
      <w:r>
        <w:rPr>
          <w:rFonts w:ascii="Arial" w:cs="Arial" w:eastAsia="Arial" w:hAnsi="Arial"/>
          <w:sz w:val="18"/>
          <w:szCs w:val="18"/>
          <w:b w:val="1"/>
          <w:bCs w:val="1"/>
          <w:i w:val="1"/>
          <w:iCs w:val="1"/>
          <w:color w:val="71C5E8"/>
        </w:rPr>
        <w:t>Performance RSUs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201930</wp:posOffset>
            </wp:positionH>
            <wp:positionV relativeFrom="paragraph">
              <wp:posOffset>349885</wp:posOffset>
            </wp:positionV>
            <wp:extent cx="2065655" cy="1028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5655" cy="1028700"/>
                    </a:xfrm>
                    <a:prstGeom prst="rect">
                      <a:avLst/>
                    </a:prstGeom>
                    <a:noFill/>
                  </pic:spPr>
                </pic:pic>
              </a:graphicData>
            </a:graphic>
          </wp:anchor>
        </w:drawing>
      </w:r>
    </w:p>
    <w:p>
      <w:pPr>
        <w:spacing w:after="0" w:line="167"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3" w:lineRule="exact"/>
        <w:rPr>
          <w:rFonts w:ascii="Arial" w:cs="Arial" w:eastAsia="Arial" w:hAnsi="Arial"/>
          <w:sz w:val="16"/>
          <w:szCs w:val="16"/>
          <w:b w:val="1"/>
          <w:bCs w:val="1"/>
          <w:color w:val="auto"/>
        </w:rPr>
      </w:pPr>
    </w:p>
    <w:p>
      <w:pPr>
        <w:ind w:left="4100" w:right="5200" w:hanging="203"/>
        <w:spacing w:after="0" w:line="226" w:lineRule="auto"/>
        <w:rPr>
          <w:rFonts w:ascii="Arial" w:cs="Arial" w:eastAsia="Arial" w:hAnsi="Arial"/>
          <w:sz w:val="16"/>
          <w:szCs w:val="16"/>
          <w:b w:val="1"/>
          <w:bCs w:val="1"/>
          <w:color w:val="auto"/>
        </w:rPr>
      </w:pPr>
      <w:r>
        <w:rPr>
          <w:rFonts w:ascii="Arial" w:cs="Arial" w:eastAsia="Arial" w:hAnsi="Arial"/>
          <w:sz w:val="16"/>
          <w:szCs w:val="16"/>
          <w:color w:val="auto"/>
        </w:rPr>
        <w:t>– 50% of total banked PRSU vests at end of year 2, remaining and/or incremental vests at end of year 3</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rFonts w:ascii="Arial" w:cs="Arial" w:eastAsia="Arial" w:hAnsi="Arial"/>
          <w:sz w:val="16"/>
          <w:szCs w:val="16"/>
          <w:b w:val="1"/>
          <w:bCs w:val="1"/>
          <w:color w:val="auto"/>
        </w:rPr>
      </w:pPr>
    </w:p>
    <w:p>
      <w:pPr>
        <w:ind w:left="240"/>
        <w:spacing w:after="0"/>
        <w:rPr>
          <w:sz w:val="20"/>
          <w:szCs w:val="20"/>
          <w:color w:val="auto"/>
        </w:rPr>
      </w:pPr>
      <w:r>
        <w:rPr>
          <w:rFonts w:ascii="Arial" w:cs="Arial" w:eastAsia="Arial" w:hAnsi="Arial"/>
          <w:sz w:val="18"/>
          <w:szCs w:val="18"/>
          <w:b w:val="1"/>
          <w:bCs w:val="1"/>
          <w:i w:val="1"/>
          <w:iCs w:val="1"/>
          <w:color w:val="FF8F1C"/>
        </w:rPr>
        <w:t>Time-Based RSUs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1460500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0972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1906270</wp:posOffset>
            </wp:positionV>
            <wp:extent cx="643255"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0090DA"/>
        </w:rPr>
        <w:t>Consideration of the Fiscal 2019 Advisory Vote on Executive Compensation</w:t>
      </w:r>
    </w:p>
    <w:p>
      <w:pPr>
        <w:spacing w:after="0" w:line="3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Fiscal 2019 Annual Meeting of Shareholders on January 16, 2020, in our annual advisory vote on executive compensation, 94% of the votes cast were voted in support of the compensation of our Named Executive Officers. The Compensation Committee appreciates and values the views of our shareholders. In considering the results of the fiscal 2019 advisory vote on executive compensation, the Compensation Committee concluded that the compensation paid to our executive officers and our overall executive pay practices have strong shareholder support and have been effective in implementing our stated compensation philosophy and objectives. The Compensation Committee recognizes that executive pay practices and governance principles continue to evolve. Consequently, the Compensation Committee intends to continue to seek the advice and counsel of its compensation advisors. Our shareholders may communicate any concerns or opinions on executive pay directly to the Compensation Committee or the Board of Directors. Please refer to “Executive Sessions and Communications with the Board of Directors” on page 17 for information about communicating with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Oversight of the Executive Compensation Program</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year, the Compensation Committee, advised by its independent compensation consultant, undertakes a rigorous process to review our executive compensation program and determine executive compensation in the context of our pay-for-performance philosophy. The Compensation Committee believes a substantial portion of our executive compensation should be incentive-based, and focused on long-term performance to help ensure that the interests of our executive officers are aligned with those of our shareholders. Our primary long-term objective is to drive sustainable value creation for our shareholders by attracting, retaining, developing, and motivating a diverse group of top executive talent through a comprehensive and market-competitive executive compensation program. The Compensation Committee reviews and approves the goals and objectives used to determine executive compensation, evaluates performance in light of such goals and objectives, and determines and approves compensation levels based on that evaluation.</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Compensation Committee annually engages an outside compensation consultant. The Compensation Committee also works closely with our CEO with respect to the determination of compensation of other officers. A more complete description of the Compensation Committee’s responsibilities is provided in the Compensation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A more complete description of the role of the CEO and our compensation consultant in the compensation process is described later in this Compensation Discussion and Analysis. Additional information regarding our compensation consultant, the specific activities they undertake for us, and their fees can be found under “Compensation-setting Process and the Determination of Compensation Levels” on page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440" w:right="3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21"/>
          <w:szCs w:val="21"/>
          <w:b w:val="1"/>
          <w:bCs w:val="1"/>
          <w:color w:val="auto"/>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16" w:right="339" w:bottom="1440" w:gutter="0" w:footer="0" w:header="0"/>
        </w:sectPr>
      </w:pPr>
    </w:p>
    <w:p>
      <w:pPr>
        <w:spacing w:after="0" w:line="83"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64870B"/>
        </w:rPr>
        <w:t>WHAT WE DO</w:t>
      </w:r>
    </w:p>
    <w:p>
      <w:pPr>
        <w:spacing w:after="0" w:line="58" w:lineRule="exact"/>
        <w:rPr>
          <w:sz w:val="20"/>
          <w:szCs w:val="20"/>
          <w:color w:val="auto"/>
        </w:rPr>
      </w:pPr>
    </w:p>
    <w:p>
      <w:pPr>
        <w:ind w:firstLine="191"/>
        <w:spacing w:after="0"/>
        <w:rPr>
          <w:sz w:val="20"/>
          <w:szCs w:val="20"/>
          <w:color w:val="auto"/>
        </w:rPr>
      </w:pPr>
      <w:r>
        <w:rPr>
          <w:rFonts w:ascii="Arial" w:cs="Arial" w:eastAsia="Arial" w:hAnsi="Arial"/>
          <w:sz w:val="18"/>
          <w:szCs w:val="18"/>
          <w:color w:val="auto"/>
        </w:rPr>
        <w:t>Pay for performance by requiring that a substantial portion of our executives’ compensation be earned based on performance goals Link our compensation program to our long-term corporate growth strategy and key drivers of sustainable shareholder value creation Use a mix of objective performance measures, cash- and equity-based components, and short- and long-term incentive opportunities that hold our executive officers accountable for executing on our long-term strategy</w:t>
      </w:r>
    </w:p>
    <w:p>
      <w:pPr>
        <w:spacing w:after="0" w:line="157" w:lineRule="exact"/>
        <w:rPr>
          <w:sz w:val="20"/>
          <w:szCs w:val="20"/>
          <w:color w:val="auto"/>
        </w:rPr>
      </w:pPr>
    </w:p>
    <w:p>
      <w:pPr>
        <w:jc w:val="both"/>
        <w:ind w:right="360" w:firstLine="191"/>
        <w:spacing w:after="0" w:line="255" w:lineRule="auto"/>
        <w:rPr>
          <w:sz w:val="20"/>
          <w:szCs w:val="20"/>
          <w:color w:val="auto"/>
        </w:rPr>
      </w:pPr>
      <w:r>
        <w:rPr>
          <w:rFonts w:ascii="Arial" w:cs="Arial" w:eastAsia="Arial" w:hAnsi="Arial"/>
          <w:sz w:val="18"/>
          <w:szCs w:val="18"/>
          <w:color w:val="auto"/>
        </w:rPr>
        <w:t>Engage an independent compensation consultant to evaluate and advise the Compensation Committee on our compensation program design and pay decisions for our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 maximum payout levels under our incentive plans</w:t>
      </w:r>
    </w:p>
    <w:p>
      <w:pPr>
        <w:spacing w:after="0" w:line="49" w:lineRule="exact"/>
        <w:rPr>
          <w:sz w:val="20"/>
          <w:szCs w:val="20"/>
          <w:color w:val="auto"/>
        </w:rPr>
      </w:pPr>
    </w:p>
    <w:p>
      <w:pPr>
        <w:ind w:right="160" w:firstLine="191"/>
        <w:spacing w:after="0" w:line="248" w:lineRule="auto"/>
        <w:rPr>
          <w:sz w:val="20"/>
          <w:szCs w:val="20"/>
          <w:color w:val="auto"/>
        </w:rPr>
      </w:pPr>
      <w:r>
        <w:rPr>
          <w:rFonts w:ascii="Arial" w:cs="Arial" w:eastAsia="Arial" w:hAnsi="Arial"/>
          <w:sz w:val="18"/>
          <w:szCs w:val="18"/>
          <w:color w:val="auto"/>
        </w:rPr>
        <w:t>Maintain a compensation recoupment (“clawback”) policy that provides for recoupment of incentive compensation paid to current and former executives in the event of an accounting restatement due to material noncompliance</w:t>
      </w:r>
    </w:p>
    <w:p>
      <w:pPr>
        <w:spacing w:after="0" w:line="8" w:lineRule="exact"/>
        <w:rPr>
          <w:sz w:val="20"/>
          <w:szCs w:val="20"/>
          <w:color w:val="auto"/>
        </w:rPr>
      </w:pPr>
    </w:p>
    <w:p>
      <w:pPr>
        <w:ind w:left="200" w:right="1900"/>
        <w:spacing w:after="0" w:line="339" w:lineRule="auto"/>
        <w:rPr>
          <w:sz w:val="20"/>
          <w:szCs w:val="20"/>
          <w:color w:val="auto"/>
        </w:rPr>
      </w:pPr>
      <w:r>
        <w:rPr>
          <w:rFonts w:ascii="Arial" w:cs="Arial" w:eastAsia="Arial" w:hAnsi="Arial"/>
          <w:sz w:val="18"/>
          <w:szCs w:val="18"/>
          <w:color w:val="auto"/>
        </w:rPr>
        <w:t>Maintain executive stock ownership guidelines Provide limited perquisites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459"/>
        <w:spacing w:after="0"/>
        <w:rPr>
          <w:sz w:val="20"/>
          <w:szCs w:val="20"/>
          <w:color w:val="auto"/>
        </w:rPr>
      </w:pPr>
      <w:r>
        <w:rPr>
          <w:rFonts w:ascii="Arial" w:cs="Arial" w:eastAsia="Arial" w:hAnsi="Arial"/>
          <w:sz w:val="22"/>
          <w:szCs w:val="22"/>
          <w:b w:val="1"/>
          <w:bCs w:val="1"/>
          <w:color w:val="C00D1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-145415</wp:posOffset>
            </wp:positionV>
            <wp:extent cx="8890" cy="2657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2657475"/>
                    </a:xfrm>
                    <a:prstGeom prst="rect">
                      <a:avLst/>
                    </a:prstGeom>
                    <a:noFill/>
                  </pic:spPr>
                </pic:pic>
              </a:graphicData>
            </a:graphic>
          </wp:anchor>
        </w:drawing>
      </w:r>
    </w:p>
    <w:p>
      <w:pPr>
        <w:spacing w:after="0" w:line="33" w:lineRule="exact"/>
        <w:rPr>
          <w:sz w:val="20"/>
          <w:szCs w:val="20"/>
          <w:color w:val="auto"/>
        </w:rPr>
      </w:pPr>
    </w:p>
    <w:p>
      <w:pPr>
        <w:ind w:left="-1" w:right="180" w:firstLine="1"/>
        <w:spacing w:after="0" w:line="261" w:lineRule="auto"/>
        <w:tabs>
          <w:tab w:leader="none" w:pos="149" w:val="left"/>
        </w:tabs>
        <w:numPr>
          <w:ilvl w:val="0"/>
          <w:numId w:val="41"/>
        </w:numPr>
        <w:rPr>
          <w:rFonts w:ascii="Arial" w:cs="Arial" w:eastAsia="Arial" w:hAnsi="Arial"/>
          <w:sz w:val="18"/>
          <w:szCs w:val="18"/>
          <w:color w:val="C00D1E"/>
        </w:rPr>
      </w:pPr>
      <w:r>
        <w:rPr>
          <w:rFonts w:ascii="Arial" w:cs="Arial" w:eastAsia="Arial" w:hAnsi="Arial"/>
          <w:sz w:val="18"/>
          <w:szCs w:val="18"/>
          <w:color w:val="auto"/>
        </w:rPr>
        <w:t>No special retirement benefits other than participation in our retirement plans on the same basis as other employees</w:t>
      </w:r>
    </w:p>
    <w:p>
      <w:pPr>
        <w:ind w:left="159" w:hanging="159"/>
        <w:spacing w:after="0"/>
        <w:tabs>
          <w:tab w:leader="none" w:pos="159" w:val="left"/>
        </w:tabs>
        <w:numPr>
          <w:ilvl w:val="0"/>
          <w:numId w:val="41"/>
        </w:numPr>
        <w:rPr>
          <w:rFonts w:ascii="Arial" w:cs="Arial" w:eastAsia="Arial" w:hAnsi="Arial"/>
          <w:sz w:val="18"/>
          <w:szCs w:val="18"/>
          <w:color w:val="C00D1E"/>
        </w:rPr>
      </w:pPr>
      <w:r>
        <w:rPr>
          <w:rFonts w:ascii="Arial" w:cs="Arial" w:eastAsia="Arial" w:hAnsi="Arial"/>
          <w:sz w:val="18"/>
          <w:szCs w:val="18"/>
          <w:color w:val="auto"/>
        </w:rPr>
        <w:t>No tax gross-ups for change in control pay</w:t>
      </w:r>
    </w:p>
    <w:p>
      <w:pPr>
        <w:spacing w:after="0" w:line="198" w:lineRule="exact"/>
        <w:rPr>
          <w:rFonts w:ascii="Arial" w:cs="Arial" w:eastAsia="Arial" w:hAnsi="Arial"/>
          <w:sz w:val="18"/>
          <w:szCs w:val="18"/>
          <w:color w:val="C00D1E"/>
        </w:rPr>
      </w:pPr>
    </w:p>
    <w:p>
      <w:pPr>
        <w:ind w:left="-1" w:right="320" w:firstLine="1"/>
        <w:spacing w:after="0" w:line="276" w:lineRule="auto"/>
        <w:tabs>
          <w:tab w:leader="none" w:pos="149" w:val="left"/>
        </w:tabs>
        <w:numPr>
          <w:ilvl w:val="0"/>
          <w:numId w:val="41"/>
        </w:numPr>
        <w:rPr>
          <w:rFonts w:ascii="Arial" w:cs="Arial" w:eastAsia="Arial" w:hAnsi="Arial"/>
          <w:sz w:val="18"/>
          <w:szCs w:val="18"/>
          <w:color w:val="C00D1E"/>
        </w:rPr>
      </w:pPr>
      <w:r>
        <w:rPr>
          <w:rFonts w:ascii="Arial" w:cs="Arial" w:eastAsia="Arial" w:hAnsi="Arial"/>
          <w:sz w:val="18"/>
          <w:szCs w:val="18"/>
          <w:color w:val="auto"/>
        </w:rPr>
        <w:t>No repricing of options or stock appreciation rights without prior shareholder approval</w:t>
      </w:r>
    </w:p>
    <w:p>
      <w:pPr>
        <w:spacing w:after="0" w:line="279" w:lineRule="exact"/>
        <w:rPr>
          <w:rFonts w:ascii="Arial" w:cs="Arial" w:eastAsia="Arial" w:hAnsi="Arial"/>
          <w:sz w:val="18"/>
          <w:szCs w:val="18"/>
          <w:color w:val="C00D1E"/>
        </w:rPr>
      </w:pPr>
    </w:p>
    <w:p>
      <w:pPr>
        <w:ind w:left="159" w:hanging="159"/>
        <w:spacing w:after="0"/>
        <w:tabs>
          <w:tab w:leader="none" w:pos="159" w:val="left"/>
        </w:tabs>
        <w:numPr>
          <w:ilvl w:val="0"/>
          <w:numId w:val="41"/>
        </w:numPr>
        <w:rPr>
          <w:rFonts w:ascii="Arial" w:cs="Arial" w:eastAsia="Arial" w:hAnsi="Arial"/>
          <w:sz w:val="18"/>
          <w:szCs w:val="18"/>
          <w:color w:val="C00D1E"/>
        </w:rPr>
      </w:pPr>
      <w:r>
        <w:rPr>
          <w:rFonts w:ascii="Arial" w:cs="Arial" w:eastAsia="Arial" w:hAnsi="Arial"/>
          <w:sz w:val="18"/>
          <w:szCs w:val="18"/>
          <w:color w:val="auto"/>
        </w:rPr>
        <w:t>No “single-trigger” vesting for awards</w:t>
      </w:r>
    </w:p>
    <w:p>
      <w:pPr>
        <w:spacing w:after="0" w:line="200" w:lineRule="exact"/>
        <w:rPr>
          <w:rFonts w:ascii="Arial" w:cs="Arial" w:eastAsia="Arial" w:hAnsi="Arial"/>
          <w:sz w:val="18"/>
          <w:szCs w:val="18"/>
          <w:color w:val="C00D1E"/>
        </w:rPr>
      </w:pPr>
    </w:p>
    <w:p>
      <w:pPr>
        <w:spacing w:after="0" w:line="254" w:lineRule="exact"/>
        <w:rPr>
          <w:rFonts w:ascii="Arial" w:cs="Arial" w:eastAsia="Arial" w:hAnsi="Arial"/>
          <w:sz w:val="18"/>
          <w:szCs w:val="18"/>
          <w:color w:val="C00D1E"/>
        </w:rPr>
      </w:pPr>
    </w:p>
    <w:p>
      <w:pPr>
        <w:ind w:left="159" w:hanging="159"/>
        <w:spacing w:after="0"/>
        <w:tabs>
          <w:tab w:leader="none" w:pos="159" w:val="left"/>
        </w:tabs>
        <w:numPr>
          <w:ilvl w:val="0"/>
          <w:numId w:val="41"/>
        </w:numPr>
        <w:rPr>
          <w:rFonts w:ascii="Arial" w:cs="Arial" w:eastAsia="Arial" w:hAnsi="Arial"/>
          <w:sz w:val="18"/>
          <w:szCs w:val="18"/>
          <w:color w:val="C00D1E"/>
        </w:rPr>
      </w:pPr>
      <w:r>
        <w:rPr>
          <w:rFonts w:ascii="Arial" w:cs="Arial" w:eastAsia="Arial" w:hAnsi="Arial"/>
          <w:sz w:val="18"/>
          <w:szCs w:val="18"/>
          <w:color w:val="auto"/>
        </w:rPr>
        <w:t>No pledging or hedging activities involving our stock</w:t>
      </w:r>
    </w:p>
    <w:p>
      <w:pPr>
        <w:spacing w:after="0" w:line="1698" w:lineRule="exact"/>
        <w:rPr>
          <w:sz w:val="20"/>
          <w:szCs w:val="20"/>
          <w:color w:val="auto"/>
        </w:rPr>
      </w:pPr>
    </w:p>
    <w:p>
      <w:pPr>
        <w:sectPr>
          <w:pgSz w:w="11900" w:h="16838" w:orient="portrait"/>
          <w:cols w:equalWidth="0" w:num="2">
            <w:col w:w="5780" w:space="341"/>
            <w:col w:w="5099"/>
          </w:cols>
          <w:pgMar w:left="340" w:top="1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960"/>
        <w:spacing w:after="0"/>
        <w:rPr>
          <w:sz w:val="20"/>
          <w:szCs w:val="20"/>
          <w:color w:val="auto"/>
        </w:rPr>
      </w:pPr>
      <w:r>
        <w:rPr>
          <w:sz w:val="1"/>
          <w:szCs w:val="1"/>
          <w:color w:val="auto"/>
        </w:rPr>
        <w:drawing>
          <wp:inline distT="0" distB="0" distL="0" distR="0">
            <wp:extent cx="643255" cy="1803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29</w:t>
      </w:r>
    </w:p>
    <w:p>
      <w:pPr>
        <w:sectPr>
          <w:pgSz w:w="11900" w:h="16838" w:orient="portrait"/>
          <w:cols w:equalWidth="0" w:num="1">
            <w:col w:w="11220"/>
          </w:cols>
          <w:pgMar w:left="340" w:top="111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b w:val="1"/>
          <w:bCs w:val="1"/>
          <w:color w:val="0090DA"/>
        </w:rPr>
        <w:t>Pay-for-Performance Philosophy</w:t>
      </w:r>
    </w:p>
    <w:p>
      <w:pPr>
        <w:spacing w:after="0" w:line="24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Our compensation philosophy for executive officers is based on the belief that the interests of our executives should be closely aligned with our long-term performance and sustainable value creation for our shareholders. To support this philosophy, a large portion of each executive officer’s compensation is placed “at risk” and linked to the accomplishment of specific financial and operational performance goals that we expect will lead to increased long-term value creation for our shareholders. The table below summarizes the key elements of the compensation that applied to our Named Executive Officers in fiscal 2020 relative to our pay-for-performance philosophy.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Highlights of Our Pay-for-Performance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ind w:left="220" w:right="280" w:hanging="194"/>
        <w:spacing w:after="0" w:line="258"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substantial majority of the compensation available for executives is performance-based and delivered in the form of equity in order to more closely align management and shareholder interests.</w:t>
      </w:r>
    </w:p>
    <w:p>
      <w:pPr>
        <w:ind w:left="220" w:right="60" w:hanging="194"/>
        <w:spacing w:after="0" w:line="242"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Data forms the basis of our compensation targets, with differentiation based on individual factors such as nature of the individual’s role, proficiency in the role, sustained performance over time, and importance to our leadership succession plans.</w:t>
      </w:r>
    </w:p>
    <w:p>
      <w:pPr>
        <w:ind w:left="220" w:right="240" w:hanging="194"/>
        <w:spacing w:after="0" w:line="234"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Incentive awards require achievement of critical financial and operating goals and are primarily measured against objective metrics that we believe result in the creation of sustainable value for our shareholders.</w:t>
      </w:r>
    </w:p>
    <w:p>
      <w:pPr>
        <w:spacing w:after="0" w:line="1" w:lineRule="exact"/>
        <w:rPr>
          <w:rFonts w:ascii="Arial" w:cs="Arial" w:eastAsia="Arial" w:hAnsi="Arial"/>
          <w:sz w:val="18"/>
          <w:szCs w:val="18"/>
          <w:color w:val="auto"/>
        </w:rPr>
      </w:pPr>
    </w:p>
    <w:p>
      <w:pPr>
        <w:ind w:left="220" w:hanging="194"/>
        <w:spacing w:after="0"/>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realized compensation is designed to fluctuate and be commensurate with changes in shareholder value over time.</w:t>
      </w:r>
    </w:p>
    <w:p>
      <w:pPr>
        <w:spacing w:after="0" w:line="22" w:lineRule="exact"/>
        <w:rPr>
          <w:rFonts w:ascii="Arial" w:cs="Arial" w:eastAsia="Arial" w:hAnsi="Arial"/>
          <w:sz w:val="18"/>
          <w:szCs w:val="18"/>
          <w:color w:val="auto"/>
        </w:rPr>
      </w:pPr>
    </w:p>
    <w:p>
      <w:pPr>
        <w:ind w:left="220" w:right="760" w:hanging="194"/>
        <w:spacing w:after="0" w:line="234"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Performance-based equity, measured by internal and external metrics ultimately aimed at driving shareholder value, comprises a significant portion of our long-term incentives.</w:t>
      </w:r>
    </w:p>
    <w:p>
      <w:pPr>
        <w:spacing w:after="0" w:line="1" w:lineRule="exact"/>
        <w:rPr>
          <w:rFonts w:ascii="Arial" w:cs="Arial" w:eastAsia="Arial" w:hAnsi="Arial"/>
          <w:sz w:val="18"/>
          <w:szCs w:val="18"/>
          <w:color w:val="auto"/>
        </w:rPr>
      </w:pPr>
    </w:p>
    <w:p>
      <w:pPr>
        <w:ind w:left="220" w:right="480" w:hanging="194"/>
        <w:spacing w:after="0" w:line="234"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Compensation Committee reviews our pay-for-performance compensation arrangements annually, with input from our CEO and advice from the Compensation Committee’s independent compensation consultant.</w:t>
      </w:r>
    </w:p>
    <w:p>
      <w:pPr>
        <w:spacing w:after="0" w:line="1" w:lineRule="exact"/>
        <w:rPr>
          <w:rFonts w:ascii="Arial" w:cs="Arial" w:eastAsia="Arial" w:hAnsi="Arial"/>
          <w:sz w:val="18"/>
          <w:szCs w:val="18"/>
          <w:color w:val="auto"/>
        </w:rPr>
      </w:pPr>
    </w:p>
    <w:p>
      <w:pPr>
        <w:ind w:left="220" w:right="80" w:hanging="194"/>
        <w:spacing w:after="0" w:line="224"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Individual performance assessment is based on numerous factors, including among others: contribution to business results and company performance; completion of objectives; behavior consistent with the highest standard of integrity, ethics and company values; and commitment to sustainability and diversity, equality, and inclusion programs and initiatives.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Targeting “Reasonable” and “Competitive” Pay</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believe that offering a compensation package that is “reasonable” and “competitive” with what our executives could otherwise obtain in the market, and especially from companies within our Compensation Peer Group, enables us to attract, motivate, reward, and retain qualified individuals and to meet our overall objective of increasing shareholder value. Our Compensation Peer Group consists of companies that we believe are especially likely to be our competitors for executive talent and is discussed further in </w:t>
      </w:r>
      <w:r>
        <w:rPr>
          <w:rFonts w:ascii="Arial" w:cs="Arial" w:eastAsia="Arial" w:hAnsi="Arial"/>
          <w:sz w:val="18"/>
          <w:szCs w:val="18"/>
          <w:i w:val="1"/>
          <w:iCs w:val="1"/>
          <w:color w:val="auto"/>
        </w:rPr>
        <w:t>“Market Data Defined”</w:t>
      </w:r>
      <w:r>
        <w:rPr>
          <w:rFonts w:ascii="Arial" w:cs="Arial" w:eastAsia="Arial" w:hAnsi="Arial"/>
          <w:sz w:val="18"/>
          <w:szCs w:val="18"/>
          <w:color w:val="auto"/>
        </w:rPr>
        <w:t xml:space="preserve"> below. We determine what would be “reasonable” and “competitive” compensation based upon an analysis of the Market Data, recommendations of our compensation consultant, and our historical experience.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w:t>
      </w:r>
    </w:p>
    <w:p>
      <w:pPr>
        <w:spacing w:after="0" w:line="250"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The Compensation Committee generally considers the Market Data median to be “reasonable,” but could deviate from such benchmark based on certain factors, such as:</w:t>
      </w:r>
    </w:p>
    <w:p>
      <w:pPr>
        <w:spacing w:after="0" w:line="171" w:lineRule="exact"/>
        <w:rPr>
          <w:sz w:val="20"/>
          <w:szCs w:val="20"/>
          <w:color w:val="auto"/>
        </w:rPr>
      </w:pPr>
    </w:p>
    <w:p>
      <w:pPr>
        <w:ind w:left="660" w:right="48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52" w:lineRule="exact"/>
        <w:rPr>
          <w:rFonts w:ascii="Arial" w:cs="Arial" w:eastAsia="Arial" w:hAnsi="Arial"/>
          <w:sz w:val="18"/>
          <w:szCs w:val="18"/>
          <w:color w:val="auto"/>
        </w:rPr>
      </w:pPr>
    </w:p>
    <w:p>
      <w:pPr>
        <w:ind w:left="660" w:right="220" w:hanging="328"/>
        <w:spacing w:after="0" w:line="292"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089" w:right="379" w:bottom="1440" w:gutter="0" w:footer="0" w:header="0"/>
          <w:type w:val="continuous"/>
        </w:sectPr>
      </w:pPr>
    </w:p>
    <w:bookmarkStart w:id="38" w:name="page39"/>
    <w:bookmarkEnd w:id="38"/>
    <w:p>
      <w:pPr>
        <w:ind w:right="100"/>
        <w:spacing w:after="0" w:line="241" w:lineRule="auto"/>
        <w:rPr>
          <w:sz w:val="20"/>
          <w:szCs w:val="20"/>
          <w:color w:val="auto"/>
        </w:rPr>
      </w:pPr>
      <w:r>
        <w:rPr>
          <w:rFonts w:ascii="Arial" w:cs="Arial" w:eastAsia="Arial" w:hAnsi="Arial"/>
          <w:sz w:val="18"/>
          <w:szCs w:val="18"/>
          <w:color w:val="auto"/>
        </w:rPr>
        <w:t>The semiconductor industry is highly volatile. Market Data, which is a compilation of data from many companies provided by our compensation consultant as further described below, may change dramatically from year to year and can evolve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Compensation Committee generally uses the Market Data median as its benchmark and guiding principle, officer compensation may vary, above or below the median, or a range from the median, year over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w:t>
      </w:r>
    </w:p>
    <w:p>
      <w:pPr>
        <w:spacing w:after="0" w:line="250"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We believe, including based on advice from our compensation consultant, that a competitive compensation package will address and measure compensation practices for executive positions with respect to three primary elements of compensation:</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incentive compensation (stock options, time-based restricted stock and performance-based restricted stock units).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and incentives tied to the performance of the Company and its stock) as compared to fixed (such as base salary), and that such variable compensation aligns executives’ interests with those of our shareholders. Additionally, although the Compensation Committee reviews total direct compensation (which is the sum of base salary, short-term incentive, and long-term incentive compensation) for each of our Named Executive Officers, it does not have a fixed objective with respect to such total direct compensation. The Compensation Committee’s philosophy is to use incentive pay opportunities as a way to ensure we are able to attract and retain top talent, rather than base salary.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Compensation-setting Process and the Determination of Compensation Levels</w:t>
      </w:r>
    </w:p>
    <w:p>
      <w:pPr>
        <w:spacing w:after="0" w:line="2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Compensation Committee reviews the compensation of our executive officers on an annual basis and sets compensation levels at the beginning of each fiscal year. As part of this process, the Compensation Committee reviews our financial results for the year just ended, projections for future periods, our strategic business plan, and the Market Data provided by our compensation consultant. The Compensation Committee also works with our CEO to establish performance goals that further our strategic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Compensation Consultant</w:t>
      </w:r>
    </w:p>
    <w:p>
      <w:pPr>
        <w:spacing w:after="0" w:line="25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Compensation Committee annually engages a compensation consultant to provide a comprehensive review of executive compensation matters. Our compensation consultant provided the Compensation Committee with information for our officers on cash and non-cash compensation elements and historical and trend payment data.</w:t>
      </w:r>
    </w:p>
    <w:p>
      <w:pPr>
        <w:spacing w:after="0" w:line="19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Compensation Committee has established procedures intended to keep our compensation consultant’s advice to the Compensation Committee objective and free of influence from our management. These procedures include: a direct reporting relationship to the Compensation Committee; a provision in the Compensation Committee’s engagement letter with the compensation consultant specifying what information, data, and recommendations can be shared with management; and an annual update to the Compensation Committee on the compensation consultant’s relationship with us, including a summary of the work performed for us during the preceding 12 months. For fiscal 2020, the specific activities undertaken by the compensation consultant for the Compensation Committee included:</w:t>
      </w:r>
    </w:p>
    <w:p>
      <w:pPr>
        <w:spacing w:after="0" w:line="20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non-employee director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31</w:t>
      </w:r>
    </w:p>
    <w:p>
      <w:pPr>
        <w:sectPr>
          <w:pgSz w:w="11900" w:h="16838" w:orient="portrait"/>
          <w:cols w:equalWidth="0" w:num="1">
            <w:col w:w="11240"/>
          </w:cols>
          <w:pgMar w:left="320" w:top="1089" w:right="339" w:bottom="1440" w:gutter="0" w:footer="0" w:header="0"/>
        </w:sectPr>
      </w:pPr>
    </w:p>
    <w:bookmarkStart w:id="39" w:name="page40"/>
    <w:bookmarkEnd w:id="39"/>
    <w:p>
      <w:pPr>
        <w:ind w:left="660" w:right="4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Compensation Peer Group (as defined in the Compensation Discussion and Analysis) and recommend any changes to its members;</w:t>
      </w:r>
    </w:p>
    <w:p>
      <w:pPr>
        <w:spacing w:after="0" w:line="171" w:lineRule="exact"/>
        <w:rPr>
          <w:rFonts w:ascii="Arial" w:cs="Arial" w:eastAsia="Arial" w:hAnsi="Arial"/>
          <w:sz w:val="18"/>
          <w:szCs w:val="18"/>
          <w:color w:val="auto"/>
        </w:rPr>
      </w:pPr>
    </w:p>
    <w:p>
      <w:pPr>
        <w:ind w:left="660" w:right="40" w:hanging="328"/>
        <w:spacing w:after="0" w:line="292"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benchmark total target direct compensation and its components (salary, target short-term incentives, and target long-term incentives) of our officers using several data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our proxy statement disclosure;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52"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Compensia, Inc. (“Compensia") was our compensation consultant in fiscal 2020. We paid Compensia a total of $165,944 in fiscal 2020 for services provided. Compensia provided services related exclusively to the executive and non-employee director compensation consulting work performed for the Compensation Committee and for the Governance and Sustainability Committee.</w:t>
      </w:r>
    </w:p>
    <w:p>
      <w:pPr>
        <w:spacing w:after="0" w:line="190"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Compensation Committee considered the independence of Compensia in light of SEC rules and the Listing Rules of Nasdaq. The Compensation Committee received a letter from Compensia addressing its independence, including the following factors: (i) other services provided to us by them; (ii) fees paid by us as a percentage of their total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them or the individual consultants involved in the engagement. The Compensation Committee concluded that there were no conflicts of interest with Compensia.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 Defined</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year, our Compensation Committee, with assistance from the management team (including our CEO) identify a group of peer companies for the Compensation Committee to use as benchmarks when setting target pay levels (our “Compensation Peer Group”). With input and advice from our compensation consultant, the Compensation Committee reviews our Compensation Peer Group annually to ensure that it reflects industry or economic changes, such as changes in business strategies, operations, product lines, revenues, or availability of key talent. Historically, the Compensation Committee’s peer selection process focused primarily on the semiconductor industry and revenue size. In consultation with Compensia, the Compensation Committee broadened its peer selection criteria in fiscal 2020 to include companies in the broader technology industry, which the Compensation Committee believes more accurately reflect the Company’s competition for key talent. The inclusion of a wider range of technology companies that are similar in size provides critical benchmarks as we compete to attract and retain key talent both from within and outside the semiconductor industry.</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such, to support the development of our incentive programs for fiscal 2020, Compensia performed a Compensation Peer Group analysis and recommended certain adjustments to our Compensation Peer Group, which were adopted by our Compensation Committee. Our Compensation Peer Group for fiscal 2020 is comprised of the following 16 companies (asterisks indicate new peers for fiscal 2020), which we believe are companies with which we are likely to compete for executive talent.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33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For our fiscal 2020, our Compensation Peer Group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191770</wp:posOffset>
            </wp:positionV>
            <wp:extent cx="5023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336"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3080" w:type="dxa"/>
            <w:vAlign w:val="bottom"/>
            <w:shd w:val="clear" w:color="auto" w:fill="CBCBCB"/>
          </w:tcPr>
          <w:p>
            <w:pPr>
              <w:ind w:left="20"/>
              <w:spacing w:after="0"/>
              <w:rPr>
                <w:sz w:val="20"/>
                <w:szCs w:val="20"/>
                <w:color w:val="auto"/>
              </w:rPr>
            </w:pPr>
            <w:r>
              <w:rPr>
                <w:rFonts w:ascii="Arial" w:cs="Arial" w:eastAsia="Arial" w:hAnsi="Arial"/>
                <w:sz w:val="18"/>
                <w:szCs w:val="18"/>
                <w:color w:val="auto"/>
              </w:rPr>
              <w:t>Adobe Inc.*</w:t>
            </w:r>
          </w:p>
        </w:tc>
        <w:tc>
          <w:tcPr>
            <w:tcW w:w="4840" w:type="dxa"/>
            <w:vAlign w:val="bottom"/>
            <w:shd w:val="clear" w:color="auto" w:fill="CBCBCB"/>
          </w:tcPr>
          <w:p>
            <w:pPr>
              <w:ind w:left="900"/>
              <w:spacing w:after="0"/>
              <w:rPr>
                <w:sz w:val="20"/>
                <w:szCs w:val="20"/>
                <w:color w:val="auto"/>
              </w:rPr>
            </w:pPr>
            <w:r>
              <w:rPr>
                <w:rFonts w:ascii="Arial" w:cs="Arial" w:eastAsia="Arial" w:hAnsi="Arial"/>
                <w:sz w:val="18"/>
                <w:szCs w:val="18"/>
                <w:color w:val="auto"/>
              </w:rPr>
              <w:t>Advanced Micro Devices, Inc.</w:t>
            </w: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4840" w:type="dxa"/>
            <w:vAlign w:val="bottom"/>
          </w:tcPr>
          <w:p>
            <w:pPr>
              <w:ind w:left="900"/>
              <w:spacing w:after="0"/>
              <w:rPr>
                <w:sz w:val="20"/>
                <w:szCs w:val="20"/>
                <w:color w:val="auto"/>
              </w:rPr>
            </w:pPr>
            <w:r>
              <w:rPr>
                <w:rFonts w:ascii="Arial" w:cs="Arial" w:eastAsia="Arial" w:hAnsi="Arial"/>
                <w:sz w:val="18"/>
                <w:szCs w:val="18"/>
                <w:color w:val="auto"/>
              </w:rPr>
              <w:t>Broadcom Limited</w:t>
            </w:r>
          </w:p>
        </w:tc>
      </w:tr>
      <w:tr>
        <w:trPr>
          <w:trHeight w:val="229"/>
        </w:trPr>
        <w:tc>
          <w:tcPr>
            <w:tcW w:w="3080" w:type="dxa"/>
            <w:vAlign w:val="bottom"/>
            <w:shd w:val="clear" w:color="auto" w:fill="CBCBCB"/>
          </w:tcPr>
          <w:p>
            <w:pPr>
              <w:ind w:left="20"/>
              <w:spacing w:after="0"/>
              <w:rPr>
                <w:sz w:val="20"/>
                <w:szCs w:val="20"/>
                <w:color w:val="auto"/>
              </w:rPr>
            </w:pPr>
            <w:r>
              <w:rPr>
                <w:rFonts w:ascii="Arial" w:cs="Arial" w:eastAsia="Arial" w:hAnsi="Arial"/>
                <w:sz w:val="18"/>
                <w:szCs w:val="18"/>
                <w:color w:val="auto"/>
              </w:rPr>
              <w:t>Cisco Systems, Inc.*</w:t>
            </w:r>
          </w:p>
        </w:tc>
        <w:tc>
          <w:tcPr>
            <w:tcW w:w="4840" w:type="dxa"/>
            <w:vAlign w:val="bottom"/>
            <w:shd w:val="clear" w:color="auto" w:fill="CBCBCB"/>
          </w:tcPr>
          <w:p>
            <w:pPr>
              <w:ind w:left="900"/>
              <w:spacing w:after="0"/>
              <w:rPr>
                <w:sz w:val="20"/>
                <w:szCs w:val="20"/>
                <w:color w:val="auto"/>
              </w:rPr>
            </w:pPr>
            <w:r>
              <w:rPr>
                <w:rFonts w:ascii="Arial" w:cs="Arial" w:eastAsia="Arial" w:hAnsi="Arial"/>
                <w:sz w:val="18"/>
                <w:szCs w:val="18"/>
                <w:color w:val="auto"/>
              </w:rPr>
              <w:t>Hewlett Packard Enterprise Company*</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IBM*</w:t>
            </w:r>
          </w:p>
        </w:tc>
        <w:tc>
          <w:tcPr>
            <w:tcW w:w="4840" w:type="dxa"/>
            <w:vAlign w:val="bottom"/>
          </w:tcPr>
          <w:p>
            <w:pPr>
              <w:ind w:left="900"/>
              <w:spacing w:after="0"/>
              <w:rPr>
                <w:sz w:val="20"/>
                <w:szCs w:val="20"/>
                <w:color w:val="auto"/>
              </w:rPr>
            </w:pPr>
            <w:r>
              <w:rPr>
                <w:rFonts w:ascii="Arial" w:cs="Arial" w:eastAsia="Arial" w:hAnsi="Arial"/>
                <w:sz w:val="18"/>
                <w:szCs w:val="18"/>
                <w:color w:val="auto"/>
              </w:rPr>
              <w:t>Intel Corporation</w:t>
            </w:r>
          </w:p>
        </w:tc>
      </w:tr>
      <w:tr>
        <w:trPr>
          <w:trHeight w:val="229"/>
        </w:trPr>
        <w:tc>
          <w:tcPr>
            <w:tcW w:w="3080" w:type="dxa"/>
            <w:vAlign w:val="bottom"/>
            <w:shd w:val="clear" w:color="auto" w:fill="CBCBCB"/>
          </w:tcPr>
          <w:p>
            <w:pPr>
              <w:ind w:left="20"/>
              <w:spacing w:after="0"/>
              <w:rPr>
                <w:sz w:val="20"/>
                <w:szCs w:val="20"/>
                <w:color w:val="auto"/>
              </w:rPr>
            </w:pPr>
            <w:r>
              <w:rPr>
                <w:rFonts w:ascii="Arial" w:cs="Arial" w:eastAsia="Arial" w:hAnsi="Arial"/>
                <w:sz w:val="18"/>
                <w:szCs w:val="18"/>
                <w:color w:val="auto"/>
              </w:rPr>
              <w:t>Lam Research Corporation</w:t>
            </w:r>
          </w:p>
        </w:tc>
        <w:tc>
          <w:tcPr>
            <w:tcW w:w="4840" w:type="dxa"/>
            <w:vAlign w:val="bottom"/>
            <w:shd w:val="clear" w:color="auto" w:fill="CBCBCB"/>
          </w:tcPr>
          <w:p>
            <w:pPr>
              <w:ind w:left="900"/>
              <w:spacing w:after="0"/>
              <w:rPr>
                <w:sz w:val="20"/>
                <w:szCs w:val="20"/>
                <w:color w:val="auto"/>
              </w:rPr>
            </w:pPr>
            <w:r>
              <w:rPr>
                <w:rFonts w:ascii="Arial" w:cs="Arial" w:eastAsia="Arial" w:hAnsi="Arial"/>
                <w:sz w:val="18"/>
                <w:szCs w:val="18"/>
                <w:color w:val="auto"/>
              </w:rPr>
              <w:t>NVIDIA Corporation</w:t>
            </w: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QUALCOMM Corporation</w:t>
            </w:r>
          </w:p>
        </w:tc>
        <w:tc>
          <w:tcPr>
            <w:tcW w:w="4840" w:type="dxa"/>
            <w:vAlign w:val="bottom"/>
          </w:tcPr>
          <w:p>
            <w:pPr>
              <w:ind w:left="900"/>
              <w:spacing w:after="0"/>
              <w:rPr>
                <w:sz w:val="20"/>
                <w:szCs w:val="20"/>
                <w:color w:val="auto"/>
              </w:rPr>
            </w:pPr>
            <w:r>
              <w:rPr>
                <w:rFonts w:ascii="Arial" w:cs="Arial" w:eastAsia="Arial" w:hAnsi="Arial"/>
                <w:sz w:val="18"/>
                <w:szCs w:val="18"/>
                <w:color w:val="auto"/>
              </w:rPr>
              <w:t>Salesforce.com, Inc.*</w:t>
            </w:r>
          </w:p>
        </w:tc>
      </w:tr>
      <w:tr>
        <w:trPr>
          <w:trHeight w:val="230"/>
        </w:trPr>
        <w:tc>
          <w:tcPr>
            <w:tcW w:w="3080" w:type="dxa"/>
            <w:vAlign w:val="bottom"/>
            <w:shd w:val="clear" w:color="auto" w:fill="CBCBCB"/>
          </w:tcPr>
          <w:p>
            <w:pPr>
              <w:ind w:left="20"/>
              <w:spacing w:after="0"/>
              <w:rPr>
                <w:sz w:val="20"/>
                <w:szCs w:val="20"/>
                <w:color w:val="auto"/>
              </w:rPr>
            </w:pPr>
            <w:r>
              <w:rPr>
                <w:rFonts w:ascii="Arial" w:cs="Arial" w:eastAsia="Arial" w:hAnsi="Arial"/>
                <w:sz w:val="18"/>
                <w:szCs w:val="18"/>
                <w:color w:val="auto"/>
              </w:rPr>
              <w:t>Seagate Technology</w:t>
            </w:r>
          </w:p>
        </w:tc>
        <w:tc>
          <w:tcPr>
            <w:tcW w:w="4840" w:type="dxa"/>
            <w:vAlign w:val="bottom"/>
            <w:shd w:val="clear" w:color="auto" w:fill="CBCBCB"/>
          </w:tcPr>
          <w:p>
            <w:pPr>
              <w:ind w:left="900"/>
              <w:spacing w:after="0"/>
              <w:rPr>
                <w:sz w:val="20"/>
                <w:szCs w:val="20"/>
                <w:color w:val="auto"/>
              </w:rPr>
            </w:pPr>
            <w:r>
              <w:rPr>
                <w:rFonts w:ascii="Arial" w:cs="Arial" w:eastAsia="Arial" w:hAnsi="Arial"/>
                <w:sz w:val="18"/>
                <w:szCs w:val="18"/>
                <w:color w:val="auto"/>
              </w:rPr>
              <w:t>Texas Instruments Incorporated</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VMware, Inc.*</w:t>
            </w:r>
          </w:p>
        </w:tc>
        <w:tc>
          <w:tcPr>
            <w:tcW w:w="4840" w:type="dxa"/>
            <w:vAlign w:val="bottom"/>
          </w:tcPr>
          <w:p>
            <w:pPr>
              <w:ind w:left="900"/>
              <w:spacing w:after="0"/>
              <w:rPr>
                <w:sz w:val="20"/>
                <w:szCs w:val="20"/>
                <w:color w:val="auto"/>
              </w:rPr>
            </w:pPr>
            <w:r>
              <w:rPr>
                <w:rFonts w:ascii="Arial" w:cs="Arial" w:eastAsia="Arial" w:hAnsi="Arial"/>
                <w:sz w:val="18"/>
                <w:szCs w:val="18"/>
                <w:color w:val="auto"/>
              </w:rPr>
              <w:t>Western Digital Corporation</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 Group Data</w:t>
      </w:r>
    </w:p>
    <w:p>
      <w:pPr>
        <w:spacing w:after="0" w:line="25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compensation consultant gathers data from the proxy statements published by our Compensation Peer Group and from published compensation surveys. The relevant survey and Compensation Peer Group data for fiscal 2020, each as discussed below, were weighted equally by the Compensation Committee and are collectively referred to throughout this discussion as the “Market Data.”</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When collecting and assessing market compensation data, we collect data based on job descriptions first. This permits the Compensation Committee to match positions held by our executives with those of our Compensation Peer Group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Survey Data</w:t>
      </w:r>
    </w:p>
    <w:p>
      <w:pPr>
        <w:spacing w:after="0" w:line="25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Survey data may vary from year to year. For fiscal 2020, our compensation consultant used the Radford Global Technology Survey and information obtained from public filings by the Compensation Peer Group. We believe these surveys are particularly relevant for high-technology companies given the high level of participation by such companies in the survey.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Compensation-Setting Process</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compensation consultant reviews the most recent available data and identifies the Market Data values for the 25th, 50th (i.e., median), and 75th percentile with respect to each position or rank, then compares our compensation data, both as to elements and amounts to be paid or potential value to be delivered, with that of the Market Data and reports its findings to the CEO and the Compensation Committee. Our CEO works with our compensation consultant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 The Compensation Committee reviews the Market Data, discusses the Market Data with the CEO and with the compensation consultant, discusses individual officer performance based on input from the CEO and, without the CEO present, discusses the CEO’s own performance for the most-recently completed fiscal year and anticipated performance for the current year. The Compensation Committee uses the Market Data and the deliberations to determine whether our compensation is competitive and reasonable as described above and whether, and to what extent, the Compensation Committee believes it would be appropriate to deviate from the Market Data and competitive practices. Following this deliberation, the Compensation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33</w:t>
      </w:r>
    </w:p>
    <w:p>
      <w:pPr>
        <w:sectPr>
          <w:pgSz w:w="11900" w:h="16838" w:orient="portrait"/>
          <w:cols w:equalWidth="0" w:num="1">
            <w:col w:w="11240"/>
          </w:cols>
          <w:pgMar w:left="320" w:top="1332"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0090DA"/>
        </w:rPr>
        <w:t>Fiscal 2020 Executive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Base Salaries</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the completion of fiscal 2019, Market Data showed that the base salaries of Messrs. Zinsner, DeBoer, and Sadana were below the 50th percentile for their positions or ranks, and the base salaries of Mr. Bhatia and Mr. Mehrotra were above the 60th and 75th percentiles, respectively, for their positions or ranks. The Compensation Committee decided to increase the base pay for each of our Named Executive Officers to be more competitive with the base salaries offered by peer companies.</w:t>
      </w:r>
    </w:p>
    <w:p>
      <w:pPr>
        <w:spacing w:after="0" w:line="19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fiscal year is the 52 or 53-week period ending on the Thursday closest to August 31. Fiscal 2020 contained 53 weeks and fiscal 2019 contained 52 weeks. The following table shows our Named Executive Officers’ fiscal 2020 salaries as compared to fiscal 2019, assuming a 52-week year for 2020, however, the amounts paid during fiscal 2020 included an additional week of salary in accordance with our 53-week fiscal year for 2020.</w:t>
      </w:r>
    </w:p>
    <w:p>
      <w:pPr>
        <w:spacing w:after="0" w:line="120"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rPr>
              <w:t>Base Salary %</w:t>
            </w:r>
          </w:p>
        </w:tc>
        <w:tc>
          <w:tcPr>
            <w:tcW w:w="0" w:type="dxa"/>
            <w:vAlign w:val="bottom"/>
          </w:tcPr>
          <w:p>
            <w:pPr>
              <w:spacing w:after="0"/>
              <w:rPr>
                <w:sz w:val="1"/>
                <w:szCs w:val="1"/>
                <w:color w:val="auto"/>
              </w:rPr>
            </w:pPr>
          </w:p>
        </w:tc>
      </w:tr>
      <w:tr>
        <w:trPr>
          <w:trHeight w:val="176"/>
        </w:trPr>
        <w:tc>
          <w:tcPr>
            <w:tcW w:w="3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1760" w:type="dxa"/>
            <w:vAlign w:val="bottom"/>
          </w:tcPr>
          <w:p>
            <w:pPr>
              <w:spacing w:after="0"/>
              <w:rPr>
                <w:sz w:val="15"/>
                <w:szCs w:val="15"/>
                <w:color w:val="auto"/>
              </w:rPr>
            </w:pPr>
          </w:p>
        </w:tc>
        <w:tc>
          <w:tcPr>
            <w:tcW w:w="30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Fiscal 2020   Change From Fiscal</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0090DA"/>
            </w:tcBorders>
            <w:vMerge w:val="continue"/>
          </w:tcPr>
          <w:p>
            <w:pPr>
              <w:spacing w:after="0"/>
              <w:rPr>
                <w:sz w:val="19"/>
                <w:szCs w:val="19"/>
                <w:color w:val="auto"/>
              </w:rPr>
            </w:pPr>
          </w:p>
        </w:tc>
        <w:tc>
          <w:tcPr>
            <w:tcW w:w="17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Base Salary</w:t>
            </w:r>
          </w:p>
        </w:tc>
        <w:tc>
          <w:tcPr>
            <w:tcW w:w="1700" w:type="dxa"/>
            <w:vAlign w:val="bottom"/>
            <w:tcBorders>
              <w:bottom w:val="single" w:sz="8" w:color="0090DA"/>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4"/>
        </w:trPr>
        <w:tc>
          <w:tcPr>
            <w:tcW w:w="3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7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BCBCB"/>
          </w:tcPr>
          <w:p>
            <w:pPr>
              <w:jc w:val="right"/>
              <w:ind w:right="90"/>
              <w:spacing w:after="0"/>
              <w:rPr>
                <w:sz w:val="20"/>
                <w:szCs w:val="20"/>
                <w:color w:val="auto"/>
              </w:rPr>
            </w:pPr>
            <w:r>
              <w:rPr>
                <w:rFonts w:ascii="Arial" w:cs="Arial" w:eastAsia="Arial" w:hAnsi="Arial"/>
                <w:sz w:val="18"/>
                <w:szCs w:val="18"/>
                <w:color w:val="auto"/>
              </w:rPr>
              <w:t>1,350,000</w:t>
            </w:r>
          </w:p>
        </w:tc>
        <w:tc>
          <w:tcPr>
            <w:tcW w:w="17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76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662,000</w:t>
            </w:r>
          </w:p>
        </w:tc>
        <w:tc>
          <w:tcPr>
            <w:tcW w:w="17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31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1760" w:type="dxa"/>
            <w:vAlign w:val="bottom"/>
            <w:shd w:val="clear" w:color="auto" w:fill="CBCBCB"/>
          </w:tcPr>
          <w:p>
            <w:pPr>
              <w:spacing w:after="0"/>
              <w:rPr>
                <w:sz w:val="19"/>
                <w:szCs w:val="19"/>
                <w:color w:val="auto"/>
              </w:rPr>
            </w:pPr>
          </w:p>
        </w:tc>
        <w:tc>
          <w:tcPr>
            <w:tcW w:w="1340" w:type="dxa"/>
            <w:vAlign w:val="bottom"/>
            <w:shd w:val="clear" w:color="auto" w:fill="CBCBCB"/>
          </w:tcPr>
          <w:p>
            <w:pPr>
              <w:jc w:val="right"/>
              <w:ind w:right="90"/>
              <w:spacing w:after="0"/>
              <w:rPr>
                <w:sz w:val="20"/>
                <w:szCs w:val="20"/>
                <w:color w:val="auto"/>
              </w:rPr>
            </w:pPr>
            <w:r>
              <w:rPr>
                <w:rFonts w:ascii="Arial" w:cs="Arial" w:eastAsia="Arial" w:hAnsi="Arial"/>
                <w:sz w:val="18"/>
                <w:szCs w:val="18"/>
                <w:color w:val="auto"/>
              </w:rPr>
              <w:t>695,000</w:t>
            </w:r>
          </w:p>
        </w:tc>
        <w:tc>
          <w:tcPr>
            <w:tcW w:w="17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76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595,000</w:t>
            </w:r>
          </w:p>
        </w:tc>
        <w:tc>
          <w:tcPr>
            <w:tcW w:w="170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31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1760" w:type="dxa"/>
            <w:vAlign w:val="bottom"/>
            <w:shd w:val="clear" w:color="auto" w:fill="CBCBCB"/>
          </w:tcPr>
          <w:p>
            <w:pPr>
              <w:spacing w:after="0"/>
              <w:rPr>
                <w:sz w:val="19"/>
                <w:szCs w:val="19"/>
                <w:color w:val="auto"/>
              </w:rPr>
            </w:pPr>
          </w:p>
        </w:tc>
        <w:tc>
          <w:tcPr>
            <w:tcW w:w="1340" w:type="dxa"/>
            <w:vAlign w:val="bottom"/>
            <w:shd w:val="clear" w:color="auto" w:fill="CBCBCB"/>
          </w:tcPr>
          <w:p>
            <w:pPr>
              <w:jc w:val="right"/>
              <w:ind w:right="90"/>
              <w:spacing w:after="0"/>
              <w:rPr>
                <w:sz w:val="20"/>
                <w:szCs w:val="20"/>
                <w:color w:val="auto"/>
              </w:rPr>
            </w:pPr>
            <w:r>
              <w:rPr>
                <w:rFonts w:ascii="Arial" w:cs="Arial" w:eastAsia="Arial" w:hAnsi="Arial"/>
                <w:sz w:val="18"/>
                <w:szCs w:val="18"/>
                <w:color w:val="auto"/>
              </w:rPr>
              <w:t>745,000</w:t>
            </w:r>
          </w:p>
        </w:tc>
        <w:tc>
          <w:tcPr>
            <w:tcW w:w="17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Short-Term Incentive Awards</w:t>
      </w:r>
    </w:p>
    <w:p>
      <w:pPr>
        <w:spacing w:after="0" w:line="25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provided annual short-term incentive cash awards to our executive officers pursuant to the EIP. The EIP was last approved by our shareholders in January 2018. The purpose of the EIP is to attract, retain, and reward qualified executives who are important to our success, by providing performance-based, incentive cash awards for outstanding performance at the individual and/or company-wide level. In fiscal 2020, the Compensation Committee set the short-term incentive “opportunity” (“Target Award”) for each Named Executive Officer in terms of a specified percentage of such officer’s base salary.</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target incentive amounts payable under the EIP for achievement of the fiscal 2020 goals are shown in the columns “Estimated Future Payouts under Non-Equity Incentive Plan Awards” of the “Grants of Plan-Based Awards in Fiscal 2020” table. All goals were established with threshold (50%), target (100%), and maximum (200%) payout levels, with the threshold, target, and maximum payouts requiring a significant level of execution and effort and no assurance of goal achievement.</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Target Awards established for fiscal 2020 for our Named Executive Officers, as a percentage of base salary, were measured against the Market Data median, as part of the Compensation Committee’s efforts to make such opportunities “Reasonable” as described above. Though the Market Data median is instructive, the Compensation Committee also considers the other factors described under the section labeled “Reasonable” above when determining Target Awards for our Named Executive Officers. For fiscal 2020, the following Target Awards were established, and were unchanged from fiscal 2019:</w:t>
      </w:r>
    </w:p>
    <w:p>
      <w:pPr>
        <w:spacing w:after="0" w:line="193"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4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3820" w:type="dxa"/>
            <w:vAlign w:val="bottom"/>
          </w:tcPr>
          <w:p>
            <w:pPr>
              <w:jc w:val="right"/>
              <w:ind w:right="230"/>
              <w:spacing w:after="0"/>
              <w:rPr>
                <w:sz w:val="20"/>
                <w:szCs w:val="20"/>
                <w:color w:val="auto"/>
              </w:rPr>
            </w:pPr>
            <w:r>
              <w:rPr>
                <w:rFonts w:ascii="Arial" w:cs="Arial" w:eastAsia="Arial" w:hAnsi="Arial"/>
                <w:sz w:val="18"/>
                <w:szCs w:val="18"/>
                <w:b w:val="1"/>
                <w:bCs w:val="1"/>
                <w:color w:val="auto"/>
              </w:rPr>
              <w:t>% of Base</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0090DA"/>
            </w:tcBorders>
            <w:vMerge w:val="continue"/>
          </w:tcPr>
          <w:p>
            <w:pPr>
              <w:spacing w:after="0"/>
              <w:rPr>
                <w:sz w:val="19"/>
                <w:szCs w:val="19"/>
                <w:color w:val="auto"/>
              </w:rPr>
            </w:pPr>
          </w:p>
        </w:tc>
        <w:tc>
          <w:tcPr>
            <w:tcW w:w="382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Salary</w:t>
            </w: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38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38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12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38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382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12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38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089" w:right="339" w:bottom="1440" w:gutter="0" w:footer="0" w:header="0"/>
        </w:sectPr>
      </w:pPr>
    </w:p>
    <w:bookmarkStart w:id="42" w:name="page43"/>
    <w:bookmarkEnd w:id="42"/>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Compensation Committee established a profitability goal and four operational metrics for evaluating performance in fiscal 2020, which includes performance on sustainability issues including labor practices, health and safety, environmental issues including climate change and water, and management systems:</w:t>
      </w:r>
    </w:p>
    <w:p>
      <w:pPr>
        <w:spacing w:after="0" w:line="19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31"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of certain product milestones (including sales of certain NAND and DRAM products as a percentage of total sales, growth of certain channel sales);</w:t>
      </w:r>
    </w:p>
    <w:p>
      <w:pPr>
        <w:ind w:left="660" w:right="380" w:hanging="328"/>
        <w:spacing w:after="0" w:line="25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execution to, and acceleration of, our technology roadmap (objective criteria/milestones related to NAND, DRAM, and 3D XPoint products);</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increases in our cost competitiveness (costs as measured against the Company’s fiscal 2019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 with, responsiveness to, and support of our customers (including quality scores provided by customers).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chose these metrics and their linkage to our business and results of operations because they believe:</w:t>
      </w:r>
    </w:p>
    <w:p>
      <w:pPr>
        <w:spacing w:after="0" w:line="252" w:lineRule="exact"/>
        <w:rPr>
          <w:sz w:val="20"/>
          <w:szCs w:val="20"/>
          <w:color w:val="auto"/>
        </w:rPr>
      </w:pPr>
    </w:p>
    <w:p>
      <w:pPr>
        <w:ind w:left="660" w:right="14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against these metrics enhances shareholder value and rewards operational excellence that positions the Company for better long-term performance;</w:t>
      </w: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sustainability benefits our team members, communities, and other stakeholders;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balanced weighting limits the likelihood of rewarding executives for taking excessive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including a target encourages the pursuit of profitable revenue and strong margins;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using different measures avoids paying for the same performance twice.</w:t>
      </w:r>
    </w:p>
    <w:p>
      <w:pPr>
        <w:spacing w:after="0" w:line="230"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Shortly after the fiscal year concluded, the Compensation Committee reviewed and determined the Company’s performance against these corporate metrics, applied the percentage of achievement to plan and weighted the results according to the weightings established at the beginning of the year. After applying this formula, the Compensation Committee considered each Named Executive Officer’s performance over fiscal 2020 and established a final EIP payout for fiscal 2020. Our Named Executive Officers received EIP bonuses in the following amounts in fiscal 2020:</w:t>
      </w:r>
    </w:p>
    <w:p>
      <w:pPr>
        <w:spacing w:after="0" w:line="213" w:lineRule="exact"/>
        <w:rPr>
          <w:sz w:val="20"/>
          <w:szCs w:val="20"/>
          <w:color w:val="auto"/>
        </w:rPr>
      </w:pPr>
    </w:p>
    <w:tbl>
      <w:tblPr>
        <w:tblLayout w:type="fixed"/>
        <w:tblInd w:w="2320" w:type="dxa"/>
        <w:tblCellMar>
          <w:top w:w="0" w:type="dxa"/>
          <w:left w:w="0" w:type="dxa"/>
          <w:bottom w:w="0" w:type="dxa"/>
          <w:right w:w="0" w:type="dxa"/>
        </w:tblCellMar>
      </w:tblPr>
      <w:tr>
        <w:trPr>
          <w:trHeight w:val="241"/>
        </w:trPr>
        <w:tc>
          <w:tcPr>
            <w:tcW w:w="3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Executive Officer</w:t>
            </w:r>
          </w:p>
        </w:tc>
        <w:tc>
          <w:tcPr>
            <w:tcW w:w="200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Bonus Paid</w:t>
            </w:r>
          </w:p>
        </w:tc>
      </w:tr>
      <w:tr>
        <w:trPr>
          <w:trHeight w:val="34"/>
        </w:trPr>
        <w:tc>
          <w:tcPr>
            <w:tcW w:w="3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33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2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3,591,001</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20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880,461</w:t>
            </w:r>
          </w:p>
        </w:tc>
      </w:tr>
      <w:tr>
        <w:trPr>
          <w:trHeight w:val="229"/>
        </w:trPr>
        <w:tc>
          <w:tcPr>
            <w:tcW w:w="33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2000" w:type="dxa"/>
            <w:vAlign w:val="bottom"/>
            <w:shd w:val="clear" w:color="auto" w:fill="CBCBCB"/>
          </w:tcPr>
          <w:p>
            <w:pPr>
              <w:spacing w:after="0"/>
              <w:rPr>
                <w:sz w:val="19"/>
                <w:szCs w:val="19"/>
                <w:color w:val="auto"/>
              </w:rPr>
            </w:pPr>
          </w:p>
        </w:tc>
        <w:tc>
          <w:tcPr>
            <w:tcW w:w="126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924,351</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20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791,351</w:t>
            </w:r>
          </w:p>
        </w:tc>
      </w:tr>
      <w:tr>
        <w:trPr>
          <w:trHeight w:val="230"/>
        </w:trPr>
        <w:tc>
          <w:tcPr>
            <w:tcW w:w="33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2000" w:type="dxa"/>
            <w:vAlign w:val="bottom"/>
            <w:shd w:val="clear" w:color="auto" w:fill="CBCBCB"/>
          </w:tcPr>
          <w:p>
            <w:pPr>
              <w:spacing w:after="0"/>
              <w:rPr>
                <w:sz w:val="19"/>
                <w:szCs w:val="19"/>
                <w:color w:val="auto"/>
              </w:rPr>
            </w:pPr>
          </w:p>
        </w:tc>
        <w:tc>
          <w:tcPr>
            <w:tcW w:w="126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1,089,936</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Long-Term Equity Incentives</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believe long-term incentive compensation should be tied to our success and promote increases in shareholder value. Accordingly, performance-based restricted stock unit awards are a significant component of our executive compensation program. We believe these awards are especially aligned with shareholders’ interests as their value is dependent upon the achievement of key operational milestones or stock price performance. To help retain executives, we also grant time-based restricted stock awards. The Compensation Committee reviews peer data related to the mix and types of long-term incentive awards and works with its independent compensation consultant to determine the allocation and type of performance- and time-based awards to grant each fiscal year.</w:t>
      </w:r>
    </w:p>
    <w:p>
      <w:pPr>
        <w:spacing w:after="0" w:line="204"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In fiscal 2020, the Compensation Committee set the long-term incentive mix at 50% performance-based restricted stock units (“PRSUs”) and 50% time-based restricted stock units. The Compensation Committee believes that a high percentage of PRSUs emphasizes Micron’s strong pay-for-performance philosophy underlying our executive compensation program.</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35</w:t>
      </w:r>
    </w:p>
    <w:p>
      <w:pPr>
        <w:sectPr>
          <w:pgSz w:w="11900" w:h="16838" w:orient="portrait"/>
          <w:cols w:equalWidth="0" w:num="1">
            <w:col w:w="11240"/>
          </w:cols>
          <w:pgMar w:left="320" w:top="1440" w:right="339" w:bottom="1440" w:gutter="0" w:footer="0" w:header="0"/>
        </w:sectPr>
      </w:pPr>
    </w:p>
    <w:bookmarkStart w:id="43" w:name="page44"/>
    <w:bookmarkEnd w:id="43"/>
    <w:p>
      <w:pPr>
        <w:ind w:right="80"/>
        <w:spacing w:after="0" w:line="264" w:lineRule="auto"/>
        <w:rPr>
          <w:sz w:val="20"/>
          <w:szCs w:val="20"/>
          <w:color w:val="auto"/>
        </w:rPr>
      </w:pPr>
      <w:r>
        <w:rPr>
          <w:rFonts w:ascii="Arial" w:cs="Arial" w:eastAsia="Arial" w:hAnsi="Arial"/>
          <w:sz w:val="18"/>
          <w:szCs w:val="18"/>
          <w:color w:val="auto"/>
        </w:rPr>
        <w:t>In determining the amount of the long-term equity incentive awards for our Named Executive Officers, the Compensation Committee reviewed Market Data and information provided by Mr. Mehrotra related to the other officers’ performance and his recommendation as to the amount of their awards. For information on Mr. Mehrotra’s long-term equity incentive, please see the discussion below on CEO compensation. The following table shows the value of our Named Executive Officers’ fiscal 2020 long-term equity incentives:</w:t>
      </w:r>
    </w:p>
    <w:p>
      <w:pPr>
        <w:spacing w:after="0" w:line="188"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20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Fiscal 2020 Long-Term</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0090DA"/>
            </w:tcBorders>
            <w:vMerge w:val="continue"/>
          </w:tcPr>
          <w:p>
            <w:pPr>
              <w:spacing w:after="0"/>
              <w:rPr>
                <w:sz w:val="19"/>
                <w:szCs w:val="19"/>
                <w:color w:val="auto"/>
              </w:rPr>
            </w:pPr>
          </w:p>
        </w:tc>
        <w:tc>
          <w:tcPr>
            <w:tcW w:w="2020" w:type="dxa"/>
            <w:vAlign w:val="bottom"/>
            <w:tcBorders>
              <w:bottom w:val="single" w:sz="8" w:color="0090DA"/>
            </w:tcBorders>
          </w:tcPr>
          <w:p>
            <w:pPr>
              <w:spacing w:after="0"/>
              <w:rPr>
                <w:sz w:val="19"/>
                <w:szCs w:val="19"/>
                <w:color w:val="auto"/>
              </w:rPr>
            </w:pPr>
          </w:p>
        </w:tc>
        <w:tc>
          <w:tcPr>
            <w:tcW w:w="204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Equity Incentives(1)</w:t>
            </w: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20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20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0"/>
        </w:trPr>
        <w:tc>
          <w:tcPr>
            <w:tcW w:w="40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2020" w:type="dxa"/>
            <w:vAlign w:val="bottom"/>
            <w:shd w:val="clear" w:color="auto" w:fill="CBCBCB"/>
          </w:tcPr>
          <w:p>
            <w:pPr>
              <w:spacing w:after="0"/>
              <w:rPr>
                <w:sz w:val="19"/>
                <w:szCs w:val="19"/>
                <w:color w:val="auto"/>
              </w:rPr>
            </w:pPr>
          </w:p>
        </w:tc>
        <w:tc>
          <w:tcPr>
            <w:tcW w:w="20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20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9"/>
        </w:trPr>
        <w:tc>
          <w:tcPr>
            <w:tcW w:w="40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2020" w:type="dxa"/>
            <w:vAlign w:val="bottom"/>
            <w:shd w:val="clear" w:color="auto" w:fill="CBCBCB"/>
          </w:tcPr>
          <w:p>
            <w:pPr>
              <w:spacing w:after="0"/>
              <w:rPr>
                <w:sz w:val="19"/>
                <w:szCs w:val="19"/>
                <w:color w:val="auto"/>
              </w:rPr>
            </w:pPr>
          </w:p>
        </w:tc>
        <w:tc>
          <w:tcPr>
            <w:tcW w:w="20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940" w:hanging="717"/>
        <w:spacing w:after="0"/>
        <w:tabs>
          <w:tab w:leader="none" w:pos="1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target grant-date fair value.</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not, and do not plan to time the grant of long-term incentive awards (or the award or payment of any other compensation) with the release of material, non-public information. Historically, long-term incentive awards have been made in the first quarter of the fiscal year with the exact grant date corresponding with the date of the meeting of the Compensation Committee. Historically, long-term incentive grants to the Named Executive Officers are approved by the Compensation Committee on the same day as the grants to other executive officers. For purposes of our equity plans, fair market value is defined as the closing price as quoted on Nasdaq for the last market-trading day prior to the date of grant.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 Granted in Fiscal 2020</w:t>
      </w:r>
    </w:p>
    <w:p>
      <w:pPr>
        <w:spacing w:after="0" w:line="25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PRSUs support the Compensation Committee’s desire to link realized value to the Company’s long-term success and help align executive compensation with shareholder interests. For fiscal 2020, the Compensation Committee awarded PRSUs under performance metrics that measure relative total shareholder return (TSR) growth (the “2020 TSR PRSU Award”) and the percentage of bits shipped as part of a high-value solution (the “2020 High-Value Solutions PRSU Award”), with the 2020 TSR PRSU Award and the 2020 High-Value Solutions PRSU Award each representing 50% of the total target PRSU opportunity for each Named Executive Officer. The achievement of these awards requires a significant level of execution and effort and there is no assurance of goal achievement.</w:t>
      </w:r>
    </w:p>
    <w:p>
      <w:pPr>
        <w:spacing w:after="0" w:line="20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PRSU awards are eligible to be earned (or “banked”) during the three-year period covering fiscal years 2020, 2021, and 2022 (the “Performance Period”) based upon results against performance metrics set at the beginning of the Performance Period. The actual number of PRSUs that will be banked and become eligible to vest under the 2020 TSR PRSU Award and the 2020 High-Value Solutions PRSU Award (together the “2020 PRSU Awards”) is determined by reference to each Named Executive Officer’s target number of PRSUs and the payout factor that results from actual performance versus pre-established performance metrics (the “Payout Factor”), and is subject to the caps discussed below.</w:t>
      </w:r>
    </w:p>
    <w:p>
      <w:pPr>
        <w:spacing w:after="0" w:line="20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number of PRSUs that each Named Executive Officer may earn under all 2020 PRSU Awards (taken together) during the Performance Period will not exceed two times the aggregate target number of PRSUs covered by all of a Named Executive Officers’ 2020 PRSU Awards (the “2x Limit”). As a result, our Named Executive Officers’ ability to earn and vest any PRSUs is capped at the 2x Limit. Additionally, the maximum award of PRSUs may not exceed 5,000,000 shares of our Common Stock in any one calendar year to any one participant, as provided in the applicable equity incentive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TSR PRSU Award</w:t>
      </w:r>
    </w:p>
    <w:p>
      <w:pPr>
        <w:spacing w:after="0" w:line="23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2020 TSR PRSU Award ties 50% of each Named Executive Officer’s performance-based long-term incentive opportunity to the Company’s share price growth as compared to the median total shareholder return of the companies in the PHLX Semiconductor Sector Index (SOX) over a three-year period. For fiscal 2020,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332" w:right="359" w:bottom="1440" w:gutter="0" w:footer="0" w:header="0"/>
        </w:sectPr>
      </w:pPr>
    </w:p>
    <w:bookmarkStart w:id="44" w:name="page45"/>
    <w:bookmarkEnd w:id="44"/>
    <w:p>
      <w:pPr>
        <w:ind w:right="240"/>
        <w:spacing w:after="0" w:line="271" w:lineRule="auto"/>
        <w:rPr>
          <w:sz w:val="20"/>
          <w:szCs w:val="20"/>
          <w:color w:val="auto"/>
        </w:rPr>
      </w:pPr>
      <w:r>
        <w:rPr>
          <w:rFonts w:ascii="Arial" w:cs="Arial" w:eastAsia="Arial" w:hAnsi="Arial"/>
          <w:sz w:val="18"/>
          <w:szCs w:val="18"/>
          <w:color w:val="auto"/>
        </w:rPr>
        <w:t>Compensation Committee set the target goal at the median of the SOX index, which is composed of companies primarily involved in the design, distribution, manufacture, and sale of semiconductors, calculated based on the difference between the Company’s and the median SOX index company’s 60-day average three-year TSR CAGR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Payout Factor</w:t>
      </w:r>
    </w:p>
    <w:p>
      <w:pPr>
        <w:spacing w:after="0" w:line="23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Payout Factor for the 2020 TSR PRSU Award is based on the average of the Company’s three-year total shareholder return for each of the 60 days trailing the applicable measurement date (inclusive of the measurement date), expressed as a compounded annual growth rate (the “TSR CAGR”), relative to the TSR CAGR of the median company in the PHLX Semiconductor Sector Index (SOX) (the “Median SOX Company”). The relative TSR CAGRs of the Company versus the Median SOX Company (the “rTSR CAGR”) will be measured on each day starting on the first day of fiscal 2021 through the last day of the Performance Period (each, a “measurement date”).</w:t>
      </w:r>
    </w:p>
    <w:p>
      <w:pPr>
        <w:spacing w:after="0" w:line="199"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The following table sets forth the levels of rTSR CAGR required to be achieved under a 2020 TSR PRSU Award to result in the Payout Factors specified below:</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207"/>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rTSR CAGR Achieved on a Measurement Date</w:t>
            </w:r>
          </w:p>
        </w:tc>
        <w:tc>
          <w:tcPr>
            <w:tcW w:w="2560" w:type="dxa"/>
            <w:vAlign w:val="bottom"/>
          </w:tcPr>
          <w:p>
            <w:pPr>
              <w:ind w:left="680"/>
              <w:spacing w:after="0"/>
              <w:rPr>
                <w:sz w:val="20"/>
                <w:szCs w:val="20"/>
                <w:color w:val="auto"/>
              </w:rPr>
            </w:pPr>
            <w:r>
              <w:rPr>
                <w:rFonts w:ascii="Arial" w:cs="Arial" w:eastAsia="Arial" w:hAnsi="Arial"/>
                <w:sz w:val="18"/>
                <w:szCs w:val="18"/>
                <w:b w:val="1"/>
                <w:bCs w:val="1"/>
                <w:color w:val="auto"/>
              </w:rPr>
              <w:t>Payout Factor for the</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0090DA"/>
            </w:tcBorders>
            <w:vMerge w:val="continue"/>
          </w:tcPr>
          <w:p>
            <w:pPr>
              <w:spacing w:after="0"/>
              <w:rPr>
                <w:sz w:val="19"/>
                <w:szCs w:val="19"/>
                <w:color w:val="auto"/>
              </w:rPr>
            </w:pPr>
          </w:p>
        </w:tc>
        <w:tc>
          <w:tcPr>
            <w:tcW w:w="2560" w:type="dxa"/>
            <w:vAlign w:val="bottom"/>
            <w:tcBorders>
              <w:bottom w:val="single" w:sz="8" w:color="0090DA"/>
            </w:tcBorders>
          </w:tcPr>
          <w:p>
            <w:pPr>
              <w:ind w:left="1080"/>
              <w:spacing w:after="0"/>
              <w:rPr>
                <w:sz w:val="20"/>
                <w:szCs w:val="20"/>
                <w:color w:val="auto"/>
              </w:rPr>
            </w:pPr>
            <w:r>
              <w:rPr>
                <w:rFonts w:ascii="Arial" w:cs="Arial" w:eastAsia="Arial" w:hAnsi="Arial"/>
                <w:sz w:val="18"/>
                <w:szCs w:val="18"/>
                <w:b w:val="1"/>
                <w:bCs w:val="1"/>
                <w:color w:val="auto"/>
              </w:rPr>
              <w:t>rTSR CAGR</w:t>
            </w:r>
          </w:p>
        </w:tc>
        <w:tc>
          <w:tcPr>
            <w:tcW w:w="0" w:type="dxa"/>
            <w:vAlign w:val="bottom"/>
          </w:tcPr>
          <w:p>
            <w:pPr>
              <w:spacing w:after="0"/>
              <w:rPr>
                <w:sz w:val="1"/>
                <w:szCs w:val="1"/>
                <w:color w:val="auto"/>
              </w:rPr>
            </w:pPr>
          </w:p>
        </w:tc>
      </w:tr>
      <w:tr>
        <w:trPr>
          <w:trHeight w:val="34"/>
        </w:trPr>
        <w:tc>
          <w:tcPr>
            <w:tcW w:w="46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BCBCB"/>
          </w:tcPr>
          <w:p>
            <w:pPr>
              <w:ind w:left="20"/>
              <w:spacing w:after="0"/>
              <w:rPr>
                <w:sz w:val="20"/>
                <w:szCs w:val="20"/>
                <w:color w:val="auto"/>
              </w:rPr>
            </w:pPr>
            <w:r>
              <w:rPr>
                <w:rFonts w:ascii="Arial" w:cs="Arial" w:eastAsia="Arial" w:hAnsi="Arial"/>
                <w:sz w:val="18"/>
                <w:szCs w:val="18"/>
                <w:color w:val="auto"/>
              </w:rPr>
              <w:t>Less than -50%</w:t>
            </w:r>
          </w:p>
        </w:tc>
        <w:tc>
          <w:tcPr>
            <w:tcW w:w="2560" w:type="dxa"/>
            <w:vAlign w:val="bottom"/>
            <w:shd w:val="clear" w:color="auto" w:fill="CBCBCB"/>
          </w:tcPr>
          <w:p>
            <w:pPr>
              <w:ind w:left="2220"/>
              <w:spacing w:after="0"/>
              <w:rPr>
                <w:sz w:val="20"/>
                <w:szCs w:val="20"/>
                <w:color w:val="auto"/>
              </w:rPr>
            </w:pPr>
            <w:r>
              <w:rPr>
                <w:rFonts w:ascii="Arial" w:cs="Arial" w:eastAsia="Arial" w:hAnsi="Arial"/>
                <w:sz w:val="18"/>
                <w:szCs w:val="18"/>
                <w:color w:val="auto"/>
                <w:w w:val="93"/>
              </w:rPr>
              <w:t>0.0x</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-50% (“rTSR Threshold”)</w:t>
            </w:r>
          </w:p>
        </w:tc>
        <w:tc>
          <w:tcPr>
            <w:tcW w:w="2560" w:type="dxa"/>
            <w:vAlign w:val="bottom"/>
          </w:tcPr>
          <w:p>
            <w:pPr>
              <w:ind w:left="2220"/>
              <w:spacing w:after="0"/>
              <w:rPr>
                <w:sz w:val="20"/>
                <w:szCs w:val="20"/>
                <w:color w:val="auto"/>
              </w:rPr>
            </w:pPr>
            <w:r>
              <w:rPr>
                <w:rFonts w:ascii="Arial" w:cs="Arial" w:eastAsia="Arial" w:hAnsi="Arial"/>
                <w:sz w:val="18"/>
                <w:szCs w:val="18"/>
                <w:color w:val="auto"/>
                <w:w w:val="93"/>
              </w:rPr>
              <w:t>0.5x</w:t>
            </w:r>
          </w:p>
        </w:tc>
        <w:tc>
          <w:tcPr>
            <w:tcW w:w="0" w:type="dxa"/>
            <w:vAlign w:val="bottom"/>
          </w:tcPr>
          <w:p>
            <w:pPr>
              <w:spacing w:after="0"/>
              <w:rPr>
                <w:sz w:val="1"/>
                <w:szCs w:val="1"/>
                <w:color w:val="auto"/>
              </w:rPr>
            </w:pPr>
          </w:p>
        </w:tc>
      </w:tr>
      <w:tr>
        <w:trPr>
          <w:trHeight w:val="230"/>
        </w:trPr>
        <w:tc>
          <w:tcPr>
            <w:tcW w:w="4640" w:type="dxa"/>
            <w:vAlign w:val="bottom"/>
            <w:shd w:val="clear" w:color="auto" w:fill="CBCBCB"/>
          </w:tcPr>
          <w:p>
            <w:pPr>
              <w:ind w:left="20"/>
              <w:spacing w:after="0"/>
              <w:rPr>
                <w:sz w:val="20"/>
                <w:szCs w:val="20"/>
                <w:color w:val="auto"/>
              </w:rPr>
            </w:pPr>
            <w:r>
              <w:rPr>
                <w:rFonts w:ascii="Arial" w:cs="Arial" w:eastAsia="Arial" w:hAnsi="Arial"/>
                <w:sz w:val="18"/>
                <w:szCs w:val="18"/>
                <w:color w:val="auto"/>
              </w:rPr>
              <w:t>0% (“rTSR Target”)</w:t>
            </w:r>
          </w:p>
        </w:tc>
        <w:tc>
          <w:tcPr>
            <w:tcW w:w="2560" w:type="dxa"/>
            <w:vAlign w:val="bottom"/>
            <w:shd w:val="clear" w:color="auto" w:fill="CBCBCB"/>
          </w:tcPr>
          <w:p>
            <w:pPr>
              <w:ind w:left="2220"/>
              <w:spacing w:after="0"/>
              <w:rPr>
                <w:sz w:val="20"/>
                <w:szCs w:val="20"/>
                <w:color w:val="auto"/>
              </w:rPr>
            </w:pPr>
            <w:r>
              <w:rPr>
                <w:rFonts w:ascii="Arial" w:cs="Arial" w:eastAsia="Arial" w:hAnsi="Arial"/>
                <w:sz w:val="18"/>
                <w:szCs w:val="18"/>
                <w:color w:val="auto"/>
                <w:w w:val="93"/>
              </w:rPr>
              <w:t>1.0x</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+25% (“rTSR Maximum”)</w:t>
            </w:r>
          </w:p>
        </w:tc>
        <w:tc>
          <w:tcPr>
            <w:tcW w:w="2560" w:type="dxa"/>
            <w:vAlign w:val="bottom"/>
          </w:tcPr>
          <w:p>
            <w:pPr>
              <w:ind w:left="2220"/>
              <w:spacing w:after="0"/>
              <w:rPr>
                <w:sz w:val="20"/>
                <w:szCs w:val="20"/>
                <w:color w:val="auto"/>
              </w:rPr>
            </w:pPr>
            <w:r>
              <w:rPr>
                <w:rFonts w:ascii="Arial" w:cs="Arial" w:eastAsia="Arial" w:hAnsi="Arial"/>
                <w:sz w:val="18"/>
                <w:szCs w:val="18"/>
                <w:color w:val="auto"/>
                <w:w w:val="93"/>
              </w:rPr>
              <w:t>1.5x</w:t>
            </w:r>
          </w:p>
        </w:tc>
        <w:tc>
          <w:tcPr>
            <w:tcW w:w="0" w:type="dxa"/>
            <w:vAlign w:val="bottom"/>
          </w:tcPr>
          <w:p>
            <w:pPr>
              <w:spacing w:after="0"/>
              <w:rPr>
                <w:sz w:val="1"/>
                <w:szCs w:val="1"/>
                <w:color w:val="auto"/>
              </w:rPr>
            </w:pPr>
          </w:p>
        </w:tc>
      </w:tr>
      <w:tr>
        <w:trPr>
          <w:trHeight w:val="230"/>
        </w:trPr>
        <w:tc>
          <w:tcPr>
            <w:tcW w:w="4640" w:type="dxa"/>
            <w:vAlign w:val="bottom"/>
            <w:shd w:val="clear" w:color="auto" w:fill="CBCBCB"/>
          </w:tcPr>
          <w:p>
            <w:pPr>
              <w:ind w:left="20"/>
              <w:spacing w:after="0"/>
              <w:rPr>
                <w:sz w:val="20"/>
                <w:szCs w:val="20"/>
                <w:color w:val="auto"/>
              </w:rPr>
            </w:pPr>
            <w:r>
              <w:rPr>
                <w:rFonts w:ascii="Arial" w:cs="Arial" w:eastAsia="Arial" w:hAnsi="Arial"/>
                <w:sz w:val="18"/>
                <w:szCs w:val="18"/>
                <w:color w:val="auto"/>
              </w:rPr>
              <w:t>Greater than +25%</w:t>
            </w:r>
          </w:p>
        </w:tc>
        <w:tc>
          <w:tcPr>
            <w:tcW w:w="2560" w:type="dxa"/>
            <w:vAlign w:val="bottom"/>
            <w:shd w:val="clear" w:color="auto" w:fill="CBCBCB"/>
          </w:tcPr>
          <w:p>
            <w:pPr>
              <w:ind w:left="2220"/>
              <w:spacing w:after="0"/>
              <w:rPr>
                <w:sz w:val="20"/>
                <w:szCs w:val="20"/>
                <w:color w:val="auto"/>
              </w:rPr>
            </w:pPr>
            <w:r>
              <w:rPr>
                <w:rFonts w:ascii="Arial" w:cs="Arial" w:eastAsia="Arial" w:hAnsi="Arial"/>
                <w:sz w:val="18"/>
                <w:szCs w:val="18"/>
                <w:color w:val="auto"/>
                <w:w w:val="93"/>
              </w:rPr>
              <w:t>1.5x</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If the rTSR CAGR achieved is between the rTSR Threshold and rTSR Target levels or the rTSR Target and rTSR Maximum levels, the Payout Factor will be determined using linear interpolation between the applicable levels.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 on PRSU Earning and Vesting</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maximum number of PRSUs that may vest is equal to 150% of the target number of PRSUs granted under the 2020 TSR PRSU Award (subject to the total cap discussed under “Performance-based RSUs Granted in Fiscal 2020”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Determination of Payout</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any measurement date, the number of PRSUs under a 2020 TSR PRSU Award that are considered banked through such date will equal the product of the Payout Factor determined based on the greatest rTSR CAGR achieved during the Performance Period through such date, and the target number of PRSUs subject to the 2020 TSR PRSU Award. Accordingly, once PRSUs under a 2020 TSR PRSU Award become banked on a measurement date (due to achievement of a particular rTSR CAGR level), additional PRSUs can become banked only if a greater rTSR CAGR level is achieved on a later measurement date. Such additional PRSUs banked, if any, will be equal to the excess of the Payout Factor determined using the new, greater rTSR CAGR achieved, over the Payout Factor determined using the next greatest rTSR CAGR previously achieved, multiplied by the target PRSUs subject to the 2020 TSR PRSU Award. Following completion of each of fiscal years 2021 and 2022, the Compensation Committee will certify the extent of achievement of the Payout Factors as set forth above during fiscal years 2021 and 2022, respectively (a “rTSR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39"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On the date of the first rTSR Certification (following fiscal 2021), 50% of any PRSUs that have been certified as banked through the date of such rTSR Certification will vest, subject to the Named Executive Officer’s continued employment with the Company through such date. On the date of the second rTSR Certification (following fiscal 2022), the remaining 50% of PRSUs that were certified as banked upon the first rTSR Certification, and 100% of any additional PRSUs that are certified as banked for achievement of a greater Payout Factor during the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37</w:t>
      </w:r>
    </w:p>
    <w:p>
      <w:pPr>
        <w:sectPr>
          <w:pgSz w:w="11900" w:h="16838" w:orient="portrait"/>
          <w:cols w:equalWidth="0" w:num="1">
            <w:col w:w="11240"/>
          </w:cols>
          <w:pgMar w:left="320" w:top="1089" w:right="339" w:bottom="1440" w:gutter="0" w:footer="0" w:header="0"/>
        </w:sectPr>
      </w:pPr>
    </w:p>
    <w:bookmarkStart w:id="45" w:name="page46"/>
    <w:bookmarkEnd w:id="45"/>
    <w:p>
      <w:pPr>
        <w:ind w:right="80"/>
        <w:spacing w:after="0" w:line="255" w:lineRule="auto"/>
        <w:rPr>
          <w:sz w:val="20"/>
          <w:szCs w:val="20"/>
          <w:color w:val="auto"/>
        </w:rPr>
      </w:pPr>
      <w:r>
        <w:rPr>
          <w:rFonts w:ascii="Arial" w:cs="Arial" w:eastAsia="Arial" w:hAnsi="Arial"/>
          <w:sz w:val="18"/>
          <w:szCs w:val="18"/>
          <w:color w:val="auto"/>
        </w:rPr>
        <w:t>remainder of the Performance Period after the first rTSR Certification, will vest, subject to the Named Executive Officer’s continued employment with the Company through such date. If the Named Executive Officer terminates employment with the Company for any reason other than a termination by the Company for cause, any banked shares also will continue to vest on the vesting schedule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High-Value Solutions PRSU Award</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2020 High-Value Solutions PRSU Award ties 50% of each Named Executive Officer’s performance-based long-term incentive opportunity to the achievement of certain percentages of products shipped as high-value solutions, with two additional earnings opportunities for stretch goals based on technology development milestones.</w:t>
      </w:r>
    </w:p>
    <w:p>
      <w:pPr>
        <w:spacing w:after="0" w:line="19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Performance is measured by exceeding a threshold, then meeting certain prescribed targets, subject to a maximum payout. 2020 High-Value Solutions PRSU Awards do not bank unless performance meets or exceeds the established threshold. When performance results in achievement above the threshold and between performance levels, the applicable Payout Factor will be determined based on straight line interpolation.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Determination of Payout</w:t>
      </w:r>
    </w:p>
    <w:p>
      <w:pPr>
        <w:spacing w:after="0" w:line="23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Achievement levels with respect to the Payout Factor applicable to a 2020 High-Value Solutions PRSU Award are measured at the end of each applicable fiscal year of the Performance Period. No later than 60 days after the end of each fiscal year in the Performance Period (the “High Value Solutions Certification Date”), the Compensation Committee determines and certifies the resulting Payout Factors as set forth above. PRSUs that are earned become banked.</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2020 Payout Factors with respect to the 2020 High-Value Solutions PRSU Award may be increased upon achievement of stretch milestones that the Compensation Committee believes represent significant progress in the development of next-generation products that will enhance long-term shareholder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3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PRSUs do not vest under the 2020 High-Value Solutions PRSU Award until the Certification Date that immediately follows the end of fiscal 2021, when 50% of the then-unvested banked PRSUs (for the avoidance of doubt, inclusive of any PRSUs becoming banked PRSUs as of such Certification Date) will vest. Remaining banked PRSUs and/or incremental PRSUs that become banked PRSUs will vest as of the Certification Date that immediately follows the end of fiscal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PRSUs Achievement</w:t>
      </w:r>
    </w:p>
    <w:p>
      <w:pPr>
        <w:spacing w:after="0" w:line="23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October 2020, the Compensation Committee reviewed the Company’s performance relative to the 2020 PRSU Award metrics, applied the applicable 2020 Payout Factors, determined that the Company had achieved both stretch milestones related to execution of next-generation product stretch goals, and certified that the following shares had been banked by our Named Executive Officers under the 2020 PRSU Awards:</w:t>
      </w:r>
    </w:p>
    <w:p>
      <w:pPr>
        <w:jc w:val="center"/>
        <w:ind w:left="5600"/>
        <w:spacing w:after="0" w:line="231" w:lineRule="auto"/>
        <w:rPr>
          <w:sz w:val="20"/>
          <w:szCs w:val="20"/>
          <w:color w:val="auto"/>
        </w:rPr>
      </w:pPr>
      <w:r>
        <w:rPr>
          <w:rFonts w:ascii="Arial" w:cs="Arial" w:eastAsia="Arial" w:hAnsi="Arial"/>
          <w:sz w:val="18"/>
          <w:szCs w:val="18"/>
          <w:b w:val="1"/>
          <w:bCs w:val="1"/>
          <w:color w:val="auto"/>
        </w:rPr>
        <w:t>Shares Banked for Fiscal 2020 High-Value</w:t>
      </w:r>
    </w:p>
    <w:p>
      <w:pPr>
        <w:jc w:val="center"/>
        <w:ind w:left="5600"/>
        <w:spacing w:after="0"/>
        <w:rPr>
          <w:sz w:val="20"/>
          <w:szCs w:val="20"/>
          <w:color w:val="auto"/>
        </w:rPr>
      </w:pPr>
      <w:r>
        <w:rPr>
          <w:rFonts w:ascii="Arial" w:cs="Arial" w:eastAsia="Arial" w:hAnsi="Arial"/>
          <w:sz w:val="18"/>
          <w:szCs w:val="18"/>
          <w:b w:val="1"/>
          <w:bCs w:val="1"/>
          <w:color w:val="auto"/>
        </w:rPr>
        <w:t>Solutions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6350</wp:posOffset>
            </wp:positionV>
            <wp:extent cx="5983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6160" w:type="dxa"/>
            <w:vAlign w:val="bottom"/>
            <w:shd w:val="clear" w:color="auto" w:fill="CBCBCB"/>
          </w:tcPr>
          <w:p>
            <w:pPr>
              <w:ind w:left="20"/>
              <w:spacing w:after="0"/>
              <w:rPr>
                <w:sz w:val="20"/>
                <w:szCs w:val="20"/>
                <w:color w:val="auto"/>
              </w:rPr>
            </w:pPr>
            <w:r>
              <w:rPr>
                <w:rFonts w:ascii="Arial" w:cs="Arial" w:eastAsia="Arial" w:hAnsi="Arial"/>
                <w:sz w:val="18"/>
                <w:szCs w:val="18"/>
                <w:color w:val="auto"/>
              </w:rPr>
              <w:t>High Value Solutions (including stretch goals)</w:t>
            </w:r>
          </w:p>
        </w:tc>
        <w:tc>
          <w:tcPr>
            <w:tcW w:w="3260" w:type="dxa"/>
            <w:vAlign w:val="bottom"/>
            <w:shd w:val="clear" w:color="auto" w:fill="CBCBCB"/>
          </w:tcPr>
          <w:p>
            <w:pPr>
              <w:jc w:val="right"/>
              <w:spacing w:after="0"/>
              <w:rPr>
                <w:sz w:val="20"/>
                <w:szCs w:val="20"/>
                <w:color w:val="auto"/>
              </w:rPr>
            </w:pPr>
            <w:r>
              <w:rPr>
                <w:rFonts w:ascii="Arial" w:cs="Arial" w:eastAsia="Arial" w:hAnsi="Arial"/>
                <w:sz w:val="18"/>
                <w:szCs w:val="18"/>
                <w:color w:val="auto"/>
              </w:rPr>
              <w:t>626,215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089" w:right="379" w:bottom="1440" w:gutter="0" w:footer="0" w:header="0"/>
        </w:sectPr>
      </w:pPr>
    </w:p>
    <w:bookmarkStart w:id="46" w:name="page47"/>
    <w:bookmarkEnd w:id="46"/>
    <w:tbl>
      <w:tblPr>
        <w:tblLayout w:type="fixed"/>
        <w:tblInd w:w="94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5820" w:type="dxa"/>
            <w:vAlign w:val="bottom"/>
            <w:gridSpan w:val="2"/>
          </w:tcPr>
          <w:p>
            <w:pPr>
              <w:ind w:left="1420"/>
              <w:spacing w:after="0"/>
              <w:rPr>
                <w:sz w:val="20"/>
                <w:szCs w:val="20"/>
                <w:color w:val="auto"/>
              </w:rPr>
            </w:pPr>
            <w:r>
              <w:rPr>
                <w:rFonts w:ascii="Arial" w:cs="Arial" w:eastAsia="Arial" w:hAnsi="Arial"/>
                <w:sz w:val="18"/>
                <w:szCs w:val="18"/>
                <w:b w:val="1"/>
                <w:bCs w:val="1"/>
                <w:color w:val="auto"/>
              </w:rPr>
              <w:t>Shares Banked for Fiscal Shares Vested for Fiscal</w:t>
            </w:r>
          </w:p>
        </w:tc>
        <w:tc>
          <w:tcPr>
            <w:tcW w:w="0" w:type="dxa"/>
            <w:vAlign w:val="bottom"/>
          </w:tcPr>
          <w:p>
            <w:pPr>
              <w:spacing w:after="0"/>
              <w:rPr>
                <w:sz w:val="1"/>
                <w:szCs w:val="1"/>
                <w:color w:val="auto"/>
              </w:rPr>
            </w:pPr>
          </w:p>
        </w:tc>
      </w:tr>
      <w:tr>
        <w:trPr>
          <w:trHeight w:val="175"/>
        </w:trPr>
        <w:tc>
          <w:tcPr>
            <w:tcW w:w="3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362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2020 High-Value</w:t>
            </w:r>
          </w:p>
        </w:tc>
        <w:tc>
          <w:tcPr>
            <w:tcW w:w="2200" w:type="dxa"/>
            <w:vAlign w:val="bottom"/>
          </w:tcPr>
          <w:p>
            <w:pPr>
              <w:ind w:left="400"/>
              <w:spacing w:after="0" w:line="176" w:lineRule="exact"/>
              <w:rPr>
                <w:sz w:val="20"/>
                <w:szCs w:val="20"/>
                <w:color w:val="auto"/>
              </w:rPr>
            </w:pPr>
            <w:r>
              <w:rPr>
                <w:rFonts w:ascii="Arial" w:cs="Arial" w:eastAsia="Arial" w:hAnsi="Arial"/>
                <w:sz w:val="18"/>
                <w:szCs w:val="18"/>
                <w:b w:val="1"/>
                <w:bCs w:val="1"/>
                <w:color w:val="auto"/>
              </w:rPr>
              <w:t>2020 High-Value</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0090DA"/>
            </w:tcBorders>
            <w:vMerge w:val="continue"/>
          </w:tcPr>
          <w:p>
            <w:pPr>
              <w:spacing w:after="0"/>
              <w:rPr>
                <w:sz w:val="19"/>
                <w:szCs w:val="19"/>
                <w:color w:val="auto"/>
              </w:rPr>
            </w:pPr>
          </w:p>
        </w:tc>
        <w:tc>
          <w:tcPr>
            <w:tcW w:w="362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Solutions Performance</w:t>
            </w:r>
          </w:p>
        </w:tc>
        <w:tc>
          <w:tcPr>
            <w:tcW w:w="2200" w:type="dxa"/>
            <w:vAlign w:val="bottom"/>
            <w:tcBorders>
              <w:bottom w:val="single" w:sz="8" w:color="0090DA"/>
            </w:tcBorders>
          </w:tcPr>
          <w:p>
            <w:pPr>
              <w:ind w:left="100"/>
              <w:spacing w:after="0"/>
              <w:rPr>
                <w:sz w:val="20"/>
                <w:szCs w:val="20"/>
                <w:color w:val="auto"/>
              </w:rPr>
            </w:pPr>
            <w:r>
              <w:rPr>
                <w:rFonts w:ascii="Arial" w:cs="Arial" w:eastAsia="Arial" w:hAnsi="Arial"/>
                <w:sz w:val="18"/>
                <w:szCs w:val="18"/>
                <w:b w:val="1"/>
                <w:bCs w:val="1"/>
                <w:color w:val="auto"/>
              </w:rPr>
              <w:t>Solutions Performance</w:t>
            </w:r>
          </w:p>
        </w:tc>
        <w:tc>
          <w:tcPr>
            <w:tcW w:w="0" w:type="dxa"/>
            <w:vAlign w:val="bottom"/>
          </w:tcPr>
          <w:p>
            <w:pPr>
              <w:spacing w:after="0"/>
              <w:rPr>
                <w:sz w:val="1"/>
                <w:szCs w:val="1"/>
                <w:color w:val="auto"/>
              </w:rPr>
            </w:pPr>
          </w:p>
        </w:tc>
      </w:tr>
      <w:tr>
        <w:trPr>
          <w:trHeight w:val="34"/>
        </w:trPr>
        <w:tc>
          <w:tcPr>
            <w:tcW w:w="3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362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282,503</w:t>
            </w:r>
          </w:p>
        </w:tc>
        <w:tc>
          <w:tcPr>
            <w:tcW w:w="2200" w:type="dxa"/>
            <w:vAlign w:val="bottom"/>
            <w:shd w:val="clear" w:color="auto" w:fill="CBCBCB"/>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3620" w:type="dxa"/>
            <w:vAlign w:val="bottom"/>
          </w:tcPr>
          <w:p>
            <w:pPr>
              <w:jc w:val="right"/>
              <w:ind w:right="10"/>
              <w:spacing w:after="0"/>
              <w:rPr>
                <w:sz w:val="20"/>
                <w:szCs w:val="20"/>
                <w:color w:val="auto"/>
              </w:rPr>
            </w:pPr>
            <w:r>
              <w:rPr>
                <w:rFonts w:ascii="Arial" w:cs="Arial" w:eastAsia="Arial" w:hAnsi="Arial"/>
                <w:sz w:val="18"/>
                <w:szCs w:val="18"/>
                <w:color w:val="auto"/>
              </w:rPr>
              <w:t>75,334</w:t>
            </w: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362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94,168</w:t>
            </w:r>
          </w:p>
        </w:tc>
        <w:tc>
          <w:tcPr>
            <w:tcW w:w="2200" w:type="dxa"/>
            <w:vAlign w:val="bottom"/>
            <w:shd w:val="clear" w:color="auto" w:fill="CBCBCB"/>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3620" w:type="dxa"/>
            <w:vAlign w:val="bottom"/>
          </w:tcPr>
          <w:p>
            <w:pPr>
              <w:jc w:val="right"/>
              <w:ind w:right="10"/>
              <w:spacing w:after="0"/>
              <w:rPr>
                <w:sz w:val="20"/>
                <w:szCs w:val="20"/>
                <w:color w:val="auto"/>
              </w:rPr>
            </w:pPr>
            <w:r>
              <w:rPr>
                <w:rFonts w:ascii="Arial" w:cs="Arial" w:eastAsia="Arial" w:hAnsi="Arial"/>
                <w:sz w:val="18"/>
                <w:szCs w:val="18"/>
                <w:color w:val="auto"/>
              </w:rPr>
              <w:t>70,627</w:t>
            </w: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362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103,583</w:t>
            </w:r>
          </w:p>
        </w:tc>
        <w:tc>
          <w:tcPr>
            <w:tcW w:w="2200" w:type="dxa"/>
            <w:vAlign w:val="bottom"/>
            <w:shd w:val="clear" w:color="auto" w:fill="CBCBCB"/>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PRSUs Achievement</w:t>
      </w:r>
    </w:p>
    <w:p>
      <w:pPr>
        <w:spacing w:after="0" w:line="23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fiscal 2019, awards of PRSUs (“2019 PRSU Awards”) comprised 50% of the target value of long-term incentive awards granted to our Named Executive Officers. 2019 PRSU Awards are eligible to be earned during the three-year period covering fiscal years 2019, 2020, and 2021 based on results against two-year performance metrics plus a one-year service period, and the Compensation Committee certified that the following shares had been banked under the 2019 PRSU Awards:</w:t>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Shares Banked for Fiscal 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20320</wp:posOffset>
            </wp:positionV>
            <wp:extent cx="59747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66"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3880" w:type="dxa"/>
            <w:vAlign w:val="bottom"/>
            <w:gridSpan w:val="2"/>
            <w:shd w:val="clear" w:color="auto" w:fill="CBCBCB"/>
          </w:tcPr>
          <w:p>
            <w:pPr>
              <w:ind w:left="20"/>
              <w:spacing w:after="0"/>
              <w:rPr>
                <w:sz w:val="20"/>
                <w:szCs w:val="20"/>
                <w:color w:val="auto"/>
              </w:rPr>
            </w:pPr>
            <w:r>
              <w:rPr>
                <w:rFonts w:ascii="Arial" w:cs="Arial" w:eastAsia="Arial" w:hAnsi="Arial"/>
                <w:sz w:val="18"/>
                <w:szCs w:val="18"/>
                <w:color w:val="auto"/>
              </w:rPr>
              <w:t>High Value Solutions (35% weight)</w:t>
            </w:r>
          </w:p>
        </w:tc>
        <w:tc>
          <w:tcPr>
            <w:tcW w:w="3420" w:type="dxa"/>
            <w:vAlign w:val="bottom"/>
            <w:shd w:val="clear" w:color="auto" w:fill="CBCBCB"/>
          </w:tcPr>
          <w:p>
            <w:pPr>
              <w:spacing w:after="0"/>
              <w:rPr>
                <w:sz w:val="19"/>
                <w:szCs w:val="19"/>
                <w:color w:val="auto"/>
              </w:rPr>
            </w:pPr>
          </w:p>
        </w:tc>
        <w:tc>
          <w:tcPr>
            <w:tcW w:w="2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253,400</w:t>
            </w:r>
          </w:p>
        </w:tc>
        <w:tc>
          <w:tcPr>
            <w:tcW w:w="20" w:type="dxa"/>
            <w:vAlign w:val="bottom"/>
            <w:shd w:val="clear" w:color="auto" w:fill="CBCBC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Free Cash Flow (40% weight)</w:t>
            </w:r>
          </w:p>
        </w:tc>
        <w:tc>
          <w:tcPr>
            <w:tcW w:w="3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42,079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BCBCB"/>
          </w:tcPr>
          <w:p>
            <w:pPr>
              <w:ind w:left="20"/>
              <w:spacing w:after="0"/>
              <w:rPr>
                <w:sz w:val="20"/>
                <w:szCs w:val="20"/>
                <w:color w:val="auto"/>
              </w:rPr>
            </w:pPr>
            <w:r>
              <w:rPr>
                <w:rFonts w:ascii="Arial" w:cs="Arial" w:eastAsia="Arial" w:hAnsi="Arial"/>
                <w:sz w:val="18"/>
                <w:szCs w:val="18"/>
                <w:color w:val="auto"/>
              </w:rPr>
              <w:t>Company Valuation</w:t>
            </w:r>
          </w:p>
        </w:tc>
        <w:tc>
          <w:tcPr>
            <w:tcW w:w="3420" w:type="dxa"/>
            <w:vAlign w:val="bottom"/>
            <w:shd w:val="clear" w:color="auto" w:fill="CBCBCB"/>
          </w:tcPr>
          <w:p>
            <w:pPr>
              <w:spacing w:after="0"/>
              <w:rPr>
                <w:sz w:val="19"/>
                <w:szCs w:val="19"/>
                <w:color w:val="auto"/>
              </w:rPr>
            </w:pPr>
          </w:p>
        </w:tc>
        <w:tc>
          <w:tcPr>
            <w:tcW w:w="2120" w:type="dxa"/>
            <w:vAlign w:val="bottom"/>
            <w:gridSpan w:val="2"/>
            <w:shd w:val="clear" w:color="auto" w:fill="CBCBCB"/>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5540" w:type="dxa"/>
            <w:vAlign w:val="bottom"/>
            <w:gridSpan w:val="3"/>
          </w:tcPr>
          <w:p>
            <w:pPr>
              <w:ind w:left="1120"/>
              <w:spacing w:after="0"/>
              <w:rPr>
                <w:sz w:val="20"/>
                <w:szCs w:val="20"/>
                <w:color w:val="auto"/>
              </w:rPr>
            </w:pPr>
            <w:r>
              <w:rPr>
                <w:rFonts w:ascii="Arial" w:cs="Arial" w:eastAsia="Arial" w:hAnsi="Arial"/>
                <w:sz w:val="18"/>
                <w:szCs w:val="18"/>
                <w:b w:val="1"/>
                <w:bCs w:val="1"/>
                <w:color w:val="auto"/>
              </w:rPr>
              <w:t>Shares Banked for Fiscal Shares Vested for Fiscal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34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 Performance</w:t>
            </w:r>
          </w:p>
        </w:tc>
        <w:tc>
          <w:tcPr>
            <w:tcW w:w="2120" w:type="dxa"/>
            <w:vAlign w:val="bottom"/>
            <w:gridSpan w:val="2"/>
          </w:tcPr>
          <w:p>
            <w:pPr>
              <w:ind w:left="220"/>
              <w:spacing w:after="0"/>
              <w:rPr>
                <w:sz w:val="20"/>
                <w:szCs w:val="20"/>
                <w:color w:val="auto"/>
              </w:rPr>
            </w:pPr>
            <w:r>
              <w:rPr>
                <w:rFonts w:ascii="Arial" w:cs="Arial" w:eastAsia="Arial" w:hAnsi="Arial"/>
                <w:sz w:val="18"/>
                <w:szCs w:val="18"/>
                <w:b w:val="1"/>
                <w:bCs w:val="1"/>
                <w:color w:val="auto"/>
              </w:rPr>
              <w:t>2020 Performance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60" w:type="dxa"/>
            <w:vAlign w:val="bottom"/>
            <w:tcBorders>
              <w:top w:val="single" w:sz="8" w:color="0090DA"/>
            </w:tcBorders>
          </w:tcPr>
          <w:p>
            <w:pPr>
              <w:spacing w:after="0"/>
              <w:rPr>
                <w:sz w:val="2"/>
                <w:szCs w:val="2"/>
                <w:color w:val="auto"/>
              </w:rPr>
            </w:pPr>
          </w:p>
        </w:tc>
        <w:tc>
          <w:tcPr>
            <w:tcW w:w="3420" w:type="dxa"/>
            <w:vAlign w:val="bottom"/>
            <w:tcBorders>
              <w:top w:val="single" w:sz="8" w:color="0090DA"/>
            </w:tcBorders>
          </w:tcPr>
          <w:p>
            <w:pPr>
              <w:spacing w:after="0"/>
              <w:rPr>
                <w:sz w:val="2"/>
                <w:szCs w:val="2"/>
                <w:color w:val="auto"/>
              </w:rPr>
            </w:pPr>
          </w:p>
        </w:tc>
        <w:tc>
          <w:tcPr>
            <w:tcW w:w="210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342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135,332</w:t>
            </w:r>
          </w:p>
        </w:tc>
        <w:tc>
          <w:tcPr>
            <w:tcW w:w="2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111,789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33,835</w:t>
            </w:r>
          </w:p>
        </w:tc>
        <w:tc>
          <w:tcPr>
            <w:tcW w:w="2100" w:type="dxa"/>
            <w:vAlign w:val="bottom"/>
          </w:tcPr>
          <w:p>
            <w:pPr>
              <w:jc w:val="right"/>
              <w:spacing w:after="0"/>
              <w:rPr>
                <w:sz w:val="20"/>
                <w:szCs w:val="20"/>
                <w:color w:val="auto"/>
              </w:rPr>
            </w:pPr>
            <w:r>
              <w:rPr>
                <w:rFonts w:ascii="Arial" w:cs="Arial" w:eastAsia="Arial" w:hAnsi="Arial"/>
                <w:sz w:val="18"/>
                <w:szCs w:val="18"/>
                <w:color w:val="auto"/>
              </w:rPr>
              <w:t>27,949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342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42,855</w:t>
            </w:r>
          </w:p>
        </w:tc>
        <w:tc>
          <w:tcPr>
            <w:tcW w:w="2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35,401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3420" w:type="dxa"/>
            <w:vAlign w:val="bottom"/>
          </w:tcPr>
          <w:p>
            <w:pPr>
              <w:jc w:val="right"/>
              <w:ind w:right="110"/>
              <w:spacing w:after="0"/>
              <w:rPr>
                <w:sz w:val="20"/>
                <w:szCs w:val="20"/>
                <w:color w:val="auto"/>
              </w:rPr>
            </w:pPr>
            <w:r>
              <w:rPr>
                <w:rFonts w:ascii="Arial" w:cs="Arial" w:eastAsia="Arial" w:hAnsi="Arial"/>
                <w:sz w:val="18"/>
                <w:szCs w:val="18"/>
                <w:color w:val="auto"/>
              </w:rPr>
              <w:t>33,835</w:t>
            </w:r>
          </w:p>
        </w:tc>
        <w:tc>
          <w:tcPr>
            <w:tcW w:w="2100" w:type="dxa"/>
            <w:vAlign w:val="bottom"/>
          </w:tcPr>
          <w:p>
            <w:pPr>
              <w:jc w:val="right"/>
              <w:spacing w:after="0"/>
              <w:rPr>
                <w:sz w:val="20"/>
                <w:szCs w:val="20"/>
                <w:color w:val="auto"/>
              </w:rPr>
            </w:pPr>
            <w:r>
              <w:rPr>
                <w:rFonts w:ascii="Arial" w:cs="Arial" w:eastAsia="Arial" w:hAnsi="Arial"/>
                <w:sz w:val="18"/>
                <w:szCs w:val="18"/>
                <w:color w:val="auto"/>
              </w:rPr>
              <w:t>27,949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342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49,622</w:t>
            </w:r>
          </w:p>
        </w:tc>
        <w:tc>
          <w:tcPr>
            <w:tcW w:w="2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40,990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RSUs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Time-based restricted stock units (“RSUs”) support retention and are linked to shareholder value and ownership. Annual RSUs vest ratably over three years from the date of grant, subject to continued employment. In fiscal 2020, RSUs comprised 50% of the target value of awards granted.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Fiscal 2020 Employee Benefits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provide a competitive level of time-off, health, life, disability, and retirement benefits to substantially all employees. The Named Executive Officers participate in the same plans as our other employees. Executive perquisites are minor in scope and amount, and therefore are not considered to be material elements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39</w:t>
      </w:r>
    </w:p>
    <w:p>
      <w:pPr>
        <w:sectPr>
          <w:pgSz w:w="11900" w:h="16838" w:orient="portrait"/>
          <w:cols w:equalWidth="0" w:num="1">
            <w:col w:w="11240"/>
          </w:cols>
          <w:pgMar w:left="320" w:top="1107"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0090DA"/>
        </w:rPr>
        <w:t>CEO Compensation</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charts show one-year relative TSR data, three-year relative TSR data, and CEO compensation for us and our Compensation Peer Group. The information presented in the one-year TSR chart below is based on closing prices of our Common Stock on September 3, 2019, and September 3, 2020, and represents the rates of return of our Common Stock reflecting price appreciation plus reinvestment of any dividends and the compounding effect of any dividends paid on reinvested dividends. The information presented in the three-year TSR chart below is based on closing prices of our Common Stock on September 1, 2017, and September 3, 2020, and represents the rates of return of our Common Stock reflecting price appreciation plus reinvestment of any dividends and the compounding effect of any dividends paid on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143510</wp:posOffset>
            </wp:positionV>
            <wp:extent cx="5271770" cy="4860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71770" cy="486092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089" w:right="379" w:bottom="1440" w:gutter="0" w:footer="0" w:header="0"/>
          <w:type w:val="continuous"/>
        </w:sectPr>
      </w:pPr>
    </w:p>
    <w:bookmarkStart w:id="48" w:name="page49"/>
    <w:bookmarkEnd w:id="48"/>
    <w:p>
      <w:pPr>
        <w:ind w:right="60"/>
        <w:spacing w:after="0" w:line="243" w:lineRule="auto"/>
        <w:rPr>
          <w:sz w:val="20"/>
          <w:szCs w:val="20"/>
          <w:color w:val="auto"/>
        </w:rPr>
      </w:pPr>
      <w:r>
        <w:rPr>
          <w:rFonts w:ascii="Arial" w:cs="Arial" w:eastAsia="Arial" w:hAnsi="Arial"/>
          <w:sz w:val="18"/>
          <w:szCs w:val="18"/>
          <w:color w:val="auto"/>
        </w:rPr>
        <w:t>The CEO pay information presented in the chart below represents peer compensation data via proxy statements presented to the Compensation Committee in September 2019. The CEO pay information for one of the companies in our Compensation Peer Group was not available and was excluded from the presentation to the Compensation Committee.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presented in the charts below represents total target direct compensation (i.e. the sum of base salary, target short-term incentive, and target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152400</wp:posOffset>
            </wp:positionV>
            <wp:extent cx="5271770" cy="23660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7177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240" w:type="dxa"/>
        <w:tblCellMar>
          <w:top w:w="0" w:type="dxa"/>
          <w:left w:w="0" w:type="dxa"/>
          <w:bottom w:w="0" w:type="dxa"/>
          <w:right w:w="0" w:type="dxa"/>
        </w:tblCellMar>
      </w:tblPr>
      <w:tr>
        <w:trPr>
          <w:trHeight w:val="229"/>
        </w:trPr>
        <w:tc>
          <w:tcPr>
            <w:tcW w:w="154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340" w:type="dxa"/>
            <w:vAlign w:val="bottom"/>
            <w:shd w:val="clear" w:color="auto" w:fill="0090DA"/>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8"/>
                <w:szCs w:val="18"/>
                <w:b w:val="1"/>
                <w:bCs w:val="1"/>
                <w:color w:val="auto"/>
                <w:w w:val="98"/>
              </w:rPr>
              <w:t>Micron</w:t>
            </w:r>
          </w:p>
        </w:tc>
      </w:tr>
    </w:tbl>
    <w:p>
      <w:pPr>
        <w:spacing w:after="0" w:line="328"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Compensation Committee considered this data (except for fiscal 2020 TSR since Mr. Mehrotra’s compensation was set early in fiscal 2020) and Market Data in setting Mr. Mehrotra’s total target direct compensation for fiscal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Mehrotra’s compensation is comprised of the following elements: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52"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Mr. Mehrotra’s base salary for fiscal 2020 was $1,350,000. Market Data showed that Mr. Mehrotra’s base salary was above the 75th percentile for CEOs in our Compensation Peer Group. Our fiscal year is the 52 or 53-week period ending on the Thursday closest to August</w:t>
      </w:r>
    </w:p>
    <w:p>
      <w:pPr>
        <w:spacing w:after="0" w:line="1" w:lineRule="exact"/>
        <w:rPr>
          <w:sz w:val="20"/>
          <w:szCs w:val="20"/>
          <w:color w:val="auto"/>
        </w:rPr>
      </w:pPr>
    </w:p>
    <w:p>
      <w:pPr>
        <w:jc w:val="both"/>
        <w:ind w:firstLine="8"/>
        <w:spacing w:after="0" w:line="258"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Fiscal 2020 contained 53 weeks and fiscal 2019 and 2018 each contained 52 weeks. Mr. Mehrotra’s base salary for fiscal 2020 assumes a 52-week year for 2020, however, the amounts paid during fiscal 2020 included an additional week of salary in accordance with our 53-week fiscal year for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w:t>
      </w:r>
    </w:p>
    <w:p>
      <w:pPr>
        <w:spacing w:after="0" w:line="252"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Mr. Mehrotra’s short-term incentive target was 200% of his base salary for fiscal 2020. Market Data showed that a short-term incentive of 200% of base salary was at the 60th percentile for CEOs in our Compensation Peer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w:t>
      </w:r>
    </w:p>
    <w:p>
      <w:pPr>
        <w:spacing w:after="0" w:line="25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Mr. Mehrotra’s long-term equity incentive opportunity for fiscal 2020 was $15,000,000. Mr. Mehrotra’s equity awards were comprised of 50% time-based restricted stock and 50% performance-based restricted stock units. Market Data showed that Mr. Mehrotra’s long-term equity incentive was between the 60th and 75th percentile for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41</w:t>
      </w:r>
    </w:p>
    <w:p>
      <w:pPr>
        <w:sectPr>
          <w:pgSz w:w="11900" w:h="16838" w:orient="portrait"/>
          <w:cols w:equalWidth="0" w:num="1">
            <w:col w:w="11240"/>
          </w:cols>
          <w:pgMar w:left="320" w:top="108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sets forth the elements and amounts of Mr. Mehrotra’s long-term incentive awards: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Awards</w:t>
            </w:r>
          </w:p>
        </w:tc>
        <w:tc>
          <w:tcPr>
            <w:tcW w:w="164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7"/>
                <w:szCs w:val="17"/>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0090DA"/>
            </w:tcBorders>
            <w:vMerge w:val="continue"/>
          </w:tcPr>
          <w:p>
            <w:pPr>
              <w:spacing w:after="0"/>
              <w:rPr>
                <w:sz w:val="19"/>
                <w:szCs w:val="19"/>
                <w:color w:val="auto"/>
              </w:rPr>
            </w:pPr>
          </w:p>
        </w:tc>
        <w:tc>
          <w:tcPr>
            <w:tcW w:w="16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w w:val="99"/>
              </w:rPr>
              <w:t>Options/ Shares(1)</w:t>
            </w:r>
          </w:p>
        </w:tc>
        <w:tc>
          <w:tcPr>
            <w:tcW w:w="160" w:type="dxa"/>
            <w:vAlign w:val="bottom"/>
            <w:tcBorders>
              <w:bottom w:val="single" w:sz="8" w:color="0090DA"/>
            </w:tcBorders>
          </w:tcPr>
          <w:p>
            <w:pPr>
              <w:spacing w:after="0"/>
              <w:rPr>
                <w:sz w:val="19"/>
                <w:szCs w:val="19"/>
                <w:color w:val="auto"/>
              </w:rPr>
            </w:pPr>
          </w:p>
        </w:tc>
        <w:tc>
          <w:tcPr>
            <w:tcW w:w="15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Value(1)</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Fiscal 2020</w:t>
            </w:r>
          </w:p>
        </w:tc>
        <w:tc>
          <w:tcPr>
            <w:tcW w:w="164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5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Time-based Restricted Stock</w:t>
            </w:r>
          </w:p>
        </w:tc>
        <w:tc>
          <w:tcPr>
            <w:tcW w:w="1640" w:type="dxa"/>
            <w:vAlign w:val="bottom"/>
          </w:tcPr>
          <w:p>
            <w:pPr>
              <w:jc w:val="right"/>
              <w:spacing w:after="0"/>
              <w:rPr>
                <w:sz w:val="20"/>
                <w:szCs w:val="20"/>
                <w:color w:val="auto"/>
              </w:rPr>
            </w:pPr>
            <w:r>
              <w:rPr>
                <w:rFonts w:ascii="Arial" w:cs="Arial" w:eastAsia="Arial" w:hAnsi="Arial"/>
                <w:sz w:val="18"/>
                <w:szCs w:val="18"/>
                <w:color w:val="auto"/>
              </w:rPr>
              <w:t>161,429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7,499,991</w:t>
            </w:r>
          </w:p>
        </w:tc>
        <w:tc>
          <w:tcPr>
            <w:tcW w:w="0" w:type="dxa"/>
            <w:vAlign w:val="bottom"/>
          </w:tcPr>
          <w:p>
            <w:pPr>
              <w:spacing w:after="0"/>
              <w:rPr>
                <w:sz w:val="1"/>
                <w:szCs w:val="1"/>
                <w:color w:val="auto"/>
              </w:rPr>
            </w:pPr>
          </w:p>
        </w:tc>
      </w:tr>
      <w:tr>
        <w:trPr>
          <w:trHeight w:val="230"/>
        </w:trPr>
        <w:tc>
          <w:tcPr>
            <w:tcW w:w="4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Performance-based Restricted Stock Units(2)</w:t>
            </w:r>
          </w:p>
        </w:tc>
        <w:tc>
          <w:tcPr>
            <w:tcW w:w="1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144,993</w:t>
            </w:r>
          </w:p>
        </w:tc>
        <w:tc>
          <w:tcPr>
            <w:tcW w:w="160" w:type="dxa"/>
            <w:vAlign w:val="bottom"/>
            <w:tcBorders>
              <w:bottom w:val="single" w:sz="8" w:color="auto"/>
            </w:tcBorders>
            <w:shd w:val="clear" w:color="auto" w:fill="D1D2D4"/>
          </w:tcPr>
          <w:p>
            <w:pPr>
              <w:spacing w:after="0"/>
              <w:rPr>
                <w:sz w:val="19"/>
                <w:szCs w:val="19"/>
                <w:color w:val="auto"/>
              </w:rPr>
            </w:pPr>
          </w:p>
        </w:tc>
        <w:tc>
          <w:tcPr>
            <w:tcW w:w="15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7,499,997</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14,999,988</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620" w:right="100" w:hanging="316"/>
        <w:spacing w:after="0" w:line="271" w:lineRule="auto"/>
        <w:tabs>
          <w:tab w:leader="none" w:pos="161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Information related to Mr. Mehrotra’s long-term incentive award is also included in the “Grants of Plan-Based Awards in Fiscal 2020” table. The time-based share amounts are listed in the column “All Other Stock Awards: Number of Shares of Stock or Units,” and the performance-based share amounts are listed in the column “Estimated Future Payouts under Equity Incentive Plan Awards.” The values included in those tables reflect the grant-date fair value under U.S. GAAP.</w:t>
      </w:r>
    </w:p>
    <w:p>
      <w:pPr>
        <w:spacing w:after="0" w:line="3" w:lineRule="exact"/>
        <w:rPr>
          <w:rFonts w:ascii="Arial" w:cs="Arial" w:eastAsia="Arial" w:hAnsi="Arial"/>
          <w:sz w:val="17"/>
          <w:szCs w:val="17"/>
          <w:color w:val="auto"/>
        </w:rPr>
      </w:pPr>
    </w:p>
    <w:p>
      <w:pPr>
        <w:ind w:left="1620" w:right="440" w:hanging="316"/>
        <w:spacing w:after="0" w:line="266" w:lineRule="auto"/>
        <w:tabs>
          <w:tab w:leader="none" w:pos="16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Mehrotra banked 282,503 shares based on achievement of the 2020 Performance Metrics. Please see “– Fiscal 2020 Executive Compensation – Fiscal 2020 Long-Term Equity Incentives”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5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The Compensation Committee agreed to reimburse Mr. Mehrotra for commuting expenses, and federal, state, and other income taxes resulting from imputed income related to his commuting expenses. See footnote 7 to the Fiscal 2020 Summary Compensation Table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Severance and Change in Control Arrangements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President and Chief Executive Officer</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the time of his hire, we entered into an executive agreement with Mr. Mehrotra (the “Executive Agreement”) providing for severance benefits in certain circumstances. The Executive Agreement provides that if Mr. Mehrotra’s employment is terminated (i) as result of his death or “disability,” (ii) 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02" w:lineRule="exact"/>
        <w:rPr>
          <w:sz w:val="20"/>
          <w:szCs w:val="20"/>
          <w:color w:val="auto"/>
        </w:rPr>
      </w:pPr>
    </w:p>
    <w:p>
      <w:pPr>
        <w:ind w:left="660" w:right="60" w:hanging="328"/>
        <w:spacing w:after="0" w:line="27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189" w:lineRule="exact"/>
        <w:rPr>
          <w:rFonts w:ascii="Arial" w:cs="Arial" w:eastAsia="Arial" w:hAnsi="Arial"/>
          <w:sz w:val="18"/>
          <w:szCs w:val="18"/>
          <w:color w:val="auto"/>
        </w:rPr>
      </w:pPr>
    </w:p>
    <w:p>
      <w:pPr>
        <w:ind w:left="660" w:right="4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pro-rated annual bonus under the EIP for the year of termination, subject to achievement of applicable performance criteria, paid in accordance with the terms of the EIP;</w:t>
      </w:r>
    </w:p>
    <w:p>
      <w:pPr>
        <w:spacing w:after="0" w:line="171" w:lineRule="exact"/>
        <w:rPr>
          <w:rFonts w:ascii="Arial" w:cs="Arial" w:eastAsia="Arial" w:hAnsi="Arial"/>
          <w:sz w:val="18"/>
          <w:szCs w:val="18"/>
          <w:color w:val="auto"/>
        </w:rPr>
      </w:pPr>
    </w:p>
    <w:p>
      <w:pPr>
        <w:ind w:left="660" w:right="220" w:hanging="328"/>
        <w:spacing w:after="0" w:line="29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additional bonus of two times Mr. Mehrotra’s target annual bonus under the EIP for the year of termination paid on the one-year anniversary of Mr. Mehrotra’s termination;</w:t>
      </w:r>
    </w:p>
    <w:p>
      <w:pPr>
        <w:spacing w:after="0" w:line="171" w:lineRule="exact"/>
        <w:rPr>
          <w:rFonts w:ascii="Arial" w:cs="Arial" w:eastAsia="Arial" w:hAnsi="Arial"/>
          <w:sz w:val="18"/>
          <w:szCs w:val="18"/>
          <w:color w:val="auto"/>
        </w:rPr>
      </w:pPr>
    </w:p>
    <w:p>
      <w:pPr>
        <w:jc w:val="both"/>
        <w:ind w:left="660" w:right="120" w:hanging="328"/>
        <w:spacing w:after="0" w:line="27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vesting (and exercisability) of any options, restricted stock or other time-based, and, subject to achievement of applicable performance criteria, performance-based equity awards for the one-year period following Mr. Mehrotra’s termination of employment;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089" w:right="339" w:bottom="1440" w:gutter="0" w:footer="0" w:header="0"/>
        </w:sectPr>
      </w:pPr>
    </w:p>
    <w:bookmarkStart w:id="50" w:name="page51"/>
    <w:bookmarkEnd w:id="50"/>
    <w:p>
      <w:pPr>
        <w:ind w:left="660" w:right="120" w:hanging="328"/>
        <w:spacing w:after="0" w:line="29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cash payment equal to the medical benefits and employer qualified plan matching contributions Mr. Mehrotra would have received had Mr. Mehrotra remained employed for an additional two years, paid in a lump sum following termination.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Mr. Mehrotra’s severance benefits become payable on account of his “good reason” resignation prior to a “change in control,” the unvested portion of his sign-on equity award will be forfeited and, in addition, if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The Executive Agreement does not provide a tax gross-up for any such tax. Mr. Mehrotra’s entitlement to the benefits provided under the Executive Agreement are conditioned on Mr. Mehrotra signing a release of claims in favor of Micron and on Mr. Mehrotra’s compliance with terms of our non-competition, non-solicitation, and non-disclosure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Named Executive Officers</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Each of our other Named Executive Officers have severance agreements (together, the “NEO Severance Agreements”). The NEO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if termination occurs within 12 months of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Provided a Named Executive Officer complies with post-employment obligations and restrictions described below and all other terms of the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executive bonus, and in certain cases, continued vesting of outstanding stock options and restricted shares. With respect to cash and equity awards that are performance-based, the Named Executive Officer is entitled to receive such awards only if the goals are achieved before or during the 12- or 18-month period following termination of employment. Such terminated Named Executive Officers are not entitled to receive any new awards under our equity plans or the EIP or to the payment of any compensation that would be deferred past the 12- or 18-month period following termination of employment due to payment criteria of an incentive program, as those criteria exist as of the date of termination. Mr. Bhatia’s severance agreement also provides for acceleration of any unvested shares granted in connection with his hiring, with any shares that remain unvested at the end of the 12- or 18-month period following termination of employment becoming 100% vested and earned on the last day of such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Terminated Named Executive Officers are subject to the following post-termination obligations and restrictions:</w:t>
      </w:r>
    </w:p>
    <w:p>
      <w:pPr>
        <w:spacing w:after="0" w:line="25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52" w:lineRule="exact"/>
        <w:rPr>
          <w:rFonts w:ascii="Arial" w:cs="Arial" w:eastAsia="Arial" w:hAnsi="Arial"/>
          <w:sz w:val="18"/>
          <w:szCs w:val="18"/>
          <w:color w:val="auto"/>
        </w:rPr>
      </w:pPr>
    </w:p>
    <w:p>
      <w:pPr>
        <w:ind w:left="660" w:right="20" w:hanging="328"/>
        <w:spacing w:after="0" w:line="264"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43</w:t>
      </w:r>
    </w:p>
    <w:p>
      <w:pPr>
        <w:sectPr>
          <w:pgSz w:w="11900" w:h="16838" w:orient="portrait"/>
          <w:cols w:equalWidth="0" w:num="1">
            <w:col w:w="11240"/>
          </w:cols>
          <w:pgMar w:left="320" w:top="1089" w:right="339" w:bottom="1440" w:gutter="0" w:footer="0" w:header="0"/>
        </w:sectPr>
      </w:pPr>
    </w:p>
    <w:bookmarkStart w:id="51" w:name="page52"/>
    <w:bookmarkEnd w:id="51"/>
    <w:p>
      <w:pPr>
        <w:ind w:right="300"/>
        <w:spacing w:after="0" w:line="264" w:lineRule="auto"/>
        <w:rPr>
          <w:sz w:val="20"/>
          <w:szCs w:val="20"/>
          <w:color w:val="auto"/>
        </w:rPr>
      </w:pPr>
      <w:r>
        <w:rPr>
          <w:rFonts w:ascii="Arial" w:cs="Arial" w:eastAsia="Arial" w:hAnsi="Arial"/>
          <w:sz w:val="18"/>
          <w:szCs w:val="18"/>
          <w:color w:val="auto"/>
        </w:rPr>
        <w:t>Upon receipt of all benefits under the NEO Severance Agreement,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Severance Payments</w:t>
      </w:r>
    </w:p>
    <w:p>
      <w:pPr>
        <w:spacing w:after="0" w:line="25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See “Potential Payments Upon Termination or Change in Control” on page 53 for a description of the estimated severance amounts as of the end of fiscal 2020 for Messrs. Mehrotra, Zinsner, Bhatia, DeBoer, and Sadana.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Arrangements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do not have separate change in control agreements for our Named Executive Officers and directors. The Executive Agreement and the NEO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Our equity plans provide for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The compensation that Named Executive Officers could receive if a change in control occurs is intended to enable them to objectively evaluate whether a potential change in control is in the best interest of us and our shareholders. Estimated value that the Named Executive Officers could receive from our change in control provisions can be found in “Potential Payments Upon Termination or Change in Control” on page 53.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Consideration of Tax Consequences when Making Compensation Decisions</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162(m) generally disallows a tax deduction to public companies such as Micron for annual compensation over $1,000,000 per person paid to our Named Executive Officers and certain other current or former executive officers. Prior to fiscal 2019, qualifying performance-based compensation was not subject to the deduction limit if certain requirements were met. The key components of our long-term incentives in the form of stock option grants and performance-based restricted stock unit awards were designed to comply with these requirements. Awards under the EIP also generally were designed to comply with the statute. A number of requirements must be met for particular compensation to qualify, however, there can be no assurance that such compensation will be fully deductible under all circumstances. Although the Compensation Committee considers the deductibility of compensation under Section 162(m), it reserves the right to grant or approve compensation or awards that may be non-deductible when it believes such compensation or awards are in our and our shareholders’ best interests.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Ownership Guidelines</w:t>
      </w:r>
    </w:p>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officers will more effectively manage a company in the best interests of the shareholders if they are also shareholders. The minimum ownership guideline for our CEO is to hold shares with a value equal to five times his base salary. Messrs. Zinsner, Bhatia, DeBoer, and Sadana are required to hold shares with a value equal to three times their base salary. Executive officers are given five years to meet the ownership guidelines. The Governance and Sustainability Committee reviews the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08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shows compliance with the guidelines as of the Record Date:</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Officer</w:t>
            </w:r>
          </w:p>
        </w:tc>
        <w:tc>
          <w:tcPr>
            <w:tcW w:w="2180" w:type="dxa"/>
            <w:vAlign w:val="bottom"/>
          </w:tcPr>
          <w:p>
            <w:pPr>
              <w:jc w:val="center"/>
              <w:ind w:left="990"/>
              <w:spacing w:after="0"/>
              <w:rPr>
                <w:sz w:val="20"/>
                <w:szCs w:val="20"/>
                <w:color w:val="auto"/>
              </w:rPr>
            </w:pPr>
            <w:r>
              <w:rPr>
                <w:rFonts w:ascii="Arial" w:cs="Arial" w:eastAsia="Arial" w:hAnsi="Arial"/>
                <w:sz w:val="18"/>
                <w:szCs w:val="18"/>
                <w:b w:val="1"/>
                <w:bCs w:val="1"/>
                <w:color w:val="auto"/>
                <w:w w:val="99"/>
              </w:rPr>
              <w:t>Guideline</w:t>
            </w:r>
          </w:p>
        </w:tc>
        <w:tc>
          <w:tcPr>
            <w:tcW w:w="300" w:type="dxa"/>
            <w:vAlign w:val="bottom"/>
          </w:tcPr>
          <w:p>
            <w:pPr>
              <w:spacing w:after="0"/>
              <w:rPr>
                <w:sz w:val="17"/>
                <w:szCs w:val="17"/>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Guideline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Compliance</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0090DA"/>
            </w:tcBorders>
            <w:vMerge w:val="continue"/>
          </w:tcPr>
          <w:p>
            <w:pPr>
              <w:spacing w:after="0"/>
              <w:rPr>
                <w:sz w:val="19"/>
                <w:szCs w:val="19"/>
                <w:color w:val="auto"/>
              </w:rPr>
            </w:pPr>
          </w:p>
        </w:tc>
        <w:tc>
          <w:tcPr>
            <w:tcW w:w="2180" w:type="dxa"/>
            <w:vAlign w:val="bottom"/>
            <w:tcBorders>
              <w:bottom w:val="single" w:sz="8" w:color="0090DA"/>
            </w:tcBorders>
          </w:tcPr>
          <w:p>
            <w:pPr>
              <w:jc w:val="center"/>
              <w:ind w:left="1010"/>
              <w:spacing w:after="0"/>
              <w:rPr>
                <w:sz w:val="20"/>
                <w:szCs w:val="20"/>
                <w:color w:val="auto"/>
              </w:rPr>
            </w:pPr>
            <w:r>
              <w:rPr>
                <w:rFonts w:ascii="Arial" w:cs="Arial" w:eastAsia="Arial" w:hAnsi="Arial"/>
                <w:sz w:val="18"/>
                <w:szCs w:val="18"/>
                <w:b w:val="1"/>
                <w:bCs w:val="1"/>
                <w:color w:val="auto"/>
                <w:w w:val="99"/>
              </w:rPr>
              <w:t>Multiplier</w:t>
            </w:r>
          </w:p>
        </w:tc>
        <w:tc>
          <w:tcPr>
            <w:tcW w:w="30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Amount(1)</w:t>
            </w:r>
          </w:p>
        </w:tc>
        <w:tc>
          <w:tcPr>
            <w:tcW w:w="13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with Guideline</w:t>
            </w:r>
          </w:p>
        </w:tc>
        <w:tc>
          <w:tcPr>
            <w:tcW w:w="0" w:type="dxa"/>
            <w:vAlign w:val="bottom"/>
          </w:tcPr>
          <w:p>
            <w:pPr>
              <w:spacing w:after="0"/>
              <w:rPr>
                <w:sz w:val="1"/>
                <w:szCs w:val="1"/>
                <w:color w:val="auto"/>
              </w:rPr>
            </w:pPr>
          </w:p>
        </w:tc>
      </w:tr>
      <w:tr>
        <w:trPr>
          <w:trHeight w:val="34"/>
        </w:trPr>
        <w:tc>
          <w:tcPr>
            <w:tcW w:w="27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Sanjay Mehrotra</w:t>
            </w:r>
          </w:p>
        </w:tc>
        <w:tc>
          <w:tcPr>
            <w:tcW w:w="2180" w:type="dxa"/>
            <w:vAlign w:val="bottom"/>
            <w:shd w:val="clear" w:color="auto" w:fill="D1D2D4"/>
          </w:tcPr>
          <w:p>
            <w:pPr>
              <w:jc w:val="center"/>
              <w:ind w:left="990"/>
              <w:spacing w:after="0"/>
              <w:rPr>
                <w:sz w:val="20"/>
                <w:szCs w:val="20"/>
                <w:color w:val="auto"/>
              </w:rPr>
            </w:pPr>
            <w:r>
              <w:rPr>
                <w:rFonts w:ascii="Arial" w:cs="Arial" w:eastAsia="Arial" w:hAnsi="Arial"/>
                <w:sz w:val="18"/>
                <w:szCs w:val="18"/>
                <w:color w:val="auto"/>
                <w:w w:val="99"/>
              </w:rPr>
              <w:t>5</w:t>
            </w: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6,750,000</w:t>
            </w:r>
          </w:p>
        </w:tc>
        <w:tc>
          <w:tcPr>
            <w:tcW w:w="13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2180" w:type="dxa"/>
            <w:vAlign w:val="bottom"/>
          </w:tcPr>
          <w:p>
            <w:pPr>
              <w:jc w:val="center"/>
              <w:ind w:left="99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1,986,000</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30"/>
        </w:trPr>
        <w:tc>
          <w:tcPr>
            <w:tcW w:w="2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Manish Bhatia</w:t>
            </w:r>
          </w:p>
        </w:tc>
        <w:tc>
          <w:tcPr>
            <w:tcW w:w="2180" w:type="dxa"/>
            <w:vAlign w:val="bottom"/>
            <w:shd w:val="clear" w:color="auto" w:fill="D1D2D4"/>
          </w:tcPr>
          <w:p>
            <w:pPr>
              <w:jc w:val="center"/>
              <w:ind w:left="990"/>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2,085,000</w:t>
            </w:r>
          </w:p>
        </w:tc>
        <w:tc>
          <w:tcPr>
            <w:tcW w:w="13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2180" w:type="dxa"/>
            <w:vAlign w:val="bottom"/>
          </w:tcPr>
          <w:p>
            <w:pPr>
              <w:jc w:val="center"/>
              <w:ind w:left="99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1,785,000</w:t>
            </w:r>
          </w:p>
        </w:tc>
        <w:tc>
          <w:tcPr>
            <w:tcW w:w="136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29"/>
        </w:trPr>
        <w:tc>
          <w:tcPr>
            <w:tcW w:w="2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Sumit Sadana</w:t>
            </w:r>
          </w:p>
        </w:tc>
        <w:tc>
          <w:tcPr>
            <w:tcW w:w="2180" w:type="dxa"/>
            <w:vAlign w:val="bottom"/>
            <w:shd w:val="clear" w:color="auto" w:fill="D1D2D4"/>
          </w:tcPr>
          <w:p>
            <w:pPr>
              <w:jc w:val="center"/>
              <w:ind w:left="990"/>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2,235,000</w:t>
            </w:r>
          </w:p>
        </w:tc>
        <w:tc>
          <w:tcPr>
            <w:tcW w:w="136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 Based on salary amounts as of the Record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Please see page 20 for information on stock ownership guidelines for our directors.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COMMITTEE REPORT</w:t>
      </w:r>
    </w:p>
    <w:p>
      <w:pPr>
        <w:spacing w:after="0" w:line="2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The Compensation Committee</w:t>
      </w:r>
    </w:p>
    <w:p>
      <w:pPr>
        <w:ind w:left="5040"/>
        <w:spacing w:after="0" w:line="203" w:lineRule="auto"/>
        <w:rPr>
          <w:sz w:val="20"/>
          <w:szCs w:val="20"/>
          <w:color w:val="auto"/>
        </w:rPr>
      </w:pPr>
      <w:r>
        <w:rPr>
          <w:rFonts w:ascii="Arial" w:cs="Arial" w:eastAsia="Arial" w:hAnsi="Arial"/>
          <w:sz w:val="18"/>
          <w:szCs w:val="18"/>
          <w:color w:val="auto"/>
        </w:rPr>
        <w:t>Richard M. Beyer</w:t>
      </w:r>
    </w:p>
    <w:p>
      <w:pPr>
        <w:ind w:left="5040"/>
        <w:spacing w:after="0" w:line="203" w:lineRule="auto"/>
        <w:rPr>
          <w:sz w:val="20"/>
          <w:szCs w:val="20"/>
          <w:color w:val="auto"/>
        </w:rPr>
      </w:pPr>
      <w:r>
        <w:rPr>
          <w:rFonts w:ascii="Arial" w:cs="Arial" w:eastAsia="Arial" w:hAnsi="Arial"/>
          <w:sz w:val="18"/>
          <w:szCs w:val="18"/>
          <w:color w:val="auto"/>
        </w:rPr>
        <w:t>Robert E. Switz</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MaryAnn Wright</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 Committee Interlocks and Insider Participation</w:t>
      </w:r>
    </w:p>
    <w:p>
      <w:pPr>
        <w:spacing w:after="0" w:line="24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2020. During fiscal 2020,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45</w:t>
      </w:r>
    </w:p>
    <w:p>
      <w:pPr>
        <w:sectPr>
          <w:pgSz w:w="11900" w:h="16838" w:orient="portrait"/>
          <w:cols w:equalWidth="0" w:num="1">
            <w:col w:w="11240"/>
          </w:cols>
          <w:pgMar w:left="320" w:top="1089" w:right="339" w:bottom="1440" w:gutter="0" w:footer="0" w:header="0"/>
        </w:sectPr>
      </w:pPr>
    </w:p>
    <w:bookmarkStart w:id="53" w:name="page54"/>
    <w:bookmarkEnd w:id="53"/>
    <w:p>
      <w:pPr>
        <w:spacing w:after="0"/>
        <w:rPr>
          <w:sz w:val="20"/>
          <w:szCs w:val="20"/>
          <w:color w:val="auto"/>
        </w:rPr>
      </w:pPr>
      <w:r>
        <w:rPr>
          <w:rFonts w:ascii="Arial" w:cs="Arial" w:eastAsia="Arial" w:hAnsi="Arial"/>
          <w:sz w:val="40"/>
          <w:szCs w:val="40"/>
          <w:b w:val="1"/>
          <w:bCs w:val="1"/>
          <w:color w:val="auto"/>
        </w:rPr>
        <w:t>FISCAL 2020 SUMMARY COMPENSATION TABLE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2020, 2019, and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Pr>
          <w:p>
            <w:pPr>
              <w:jc w:val="center"/>
              <w:ind w:right="28"/>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14"/>
                <w:szCs w:val="14"/>
                <w:color w:val="auto"/>
              </w:rPr>
            </w:pPr>
          </w:p>
        </w:tc>
        <w:tc>
          <w:tcPr>
            <w:tcW w:w="12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Salary(1)</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0090DA"/>
            </w:tcBorders>
            <w:vMerge w:val="continue"/>
          </w:tcPr>
          <w:p>
            <w:pPr>
              <w:spacing w:after="0"/>
              <w:rPr>
                <w:sz w:val="15"/>
                <w:szCs w:val="15"/>
                <w:color w:val="auto"/>
              </w:rPr>
            </w:pPr>
          </w:p>
        </w:tc>
        <w:tc>
          <w:tcPr>
            <w:tcW w:w="600" w:type="dxa"/>
            <w:vAlign w:val="bottom"/>
            <w:tcBorders>
              <w:bottom w:val="single" w:sz="8" w:color="0090DA"/>
            </w:tcBorders>
            <w:vMerge w:val="continue"/>
          </w:tcPr>
          <w:p>
            <w:pPr>
              <w:spacing w:after="0"/>
              <w:rPr>
                <w:sz w:val="15"/>
                <w:szCs w:val="15"/>
                <w:color w:val="auto"/>
              </w:rPr>
            </w:pPr>
          </w:p>
        </w:tc>
        <w:tc>
          <w:tcPr>
            <w:tcW w:w="980" w:type="dxa"/>
            <w:vAlign w:val="bottom"/>
            <w:tcBorders>
              <w:bottom w:val="single" w:sz="8" w:color="0090DA"/>
            </w:tcBorders>
            <w:vMerge w:val="continue"/>
          </w:tcPr>
          <w:p>
            <w:pPr>
              <w:spacing w:after="0"/>
              <w:rPr>
                <w:sz w:val="15"/>
                <w:szCs w:val="15"/>
                <w:color w:val="auto"/>
              </w:rPr>
            </w:pPr>
          </w:p>
        </w:tc>
        <w:tc>
          <w:tcPr>
            <w:tcW w:w="100" w:type="dxa"/>
            <w:vAlign w:val="bottom"/>
            <w:tcBorders>
              <w:bottom w:val="single" w:sz="8" w:color="0090DA"/>
            </w:tcBorders>
          </w:tcPr>
          <w:p>
            <w:pPr>
              <w:spacing w:after="0"/>
              <w:rPr>
                <w:sz w:val="15"/>
                <w:szCs w:val="15"/>
                <w:color w:val="auto"/>
              </w:rPr>
            </w:pPr>
          </w:p>
        </w:tc>
        <w:tc>
          <w:tcPr>
            <w:tcW w:w="1000" w:type="dxa"/>
            <w:vAlign w:val="bottom"/>
            <w:tcBorders>
              <w:bottom w:val="single" w:sz="8" w:color="0090DA"/>
            </w:tcBorders>
          </w:tcPr>
          <w:p>
            <w:pPr>
              <w:jc w:val="right"/>
              <w:ind w:right="48"/>
              <w:spacing w:after="0"/>
              <w:rPr>
                <w:sz w:val="20"/>
                <w:szCs w:val="20"/>
                <w:color w:val="auto"/>
              </w:rPr>
            </w:pPr>
            <w:r>
              <w:rPr>
                <w:rFonts w:ascii="Arial" w:cs="Arial" w:eastAsia="Arial" w:hAnsi="Arial"/>
                <w:sz w:val="14"/>
                <w:szCs w:val="14"/>
                <w:b w:val="1"/>
                <w:bCs w:val="1"/>
                <w:color w:val="auto"/>
              </w:rPr>
              <w:t>Awards(2)(3)</w:t>
            </w:r>
          </w:p>
        </w:tc>
        <w:tc>
          <w:tcPr>
            <w:tcW w:w="240" w:type="dxa"/>
            <w:vAlign w:val="bottom"/>
            <w:tcBorders>
              <w:bottom w:val="single" w:sz="8" w:color="0090DA"/>
            </w:tcBorders>
          </w:tcPr>
          <w:p>
            <w:pPr>
              <w:spacing w:after="0"/>
              <w:rPr>
                <w:sz w:val="15"/>
                <w:szCs w:val="15"/>
                <w:color w:val="auto"/>
              </w:rPr>
            </w:pPr>
          </w:p>
        </w:tc>
        <w:tc>
          <w:tcPr>
            <w:tcW w:w="960" w:type="dxa"/>
            <w:vAlign w:val="bottom"/>
            <w:tcBorders>
              <w:bottom w:val="single" w:sz="8" w:color="0090DA"/>
            </w:tcBorders>
          </w:tcPr>
          <w:p>
            <w:pPr>
              <w:jc w:val="right"/>
              <w:ind w:right="408"/>
              <w:spacing w:after="0"/>
              <w:rPr>
                <w:sz w:val="20"/>
                <w:szCs w:val="20"/>
                <w:color w:val="auto"/>
              </w:rPr>
            </w:pPr>
            <w:r>
              <w:rPr>
                <w:rFonts w:ascii="Arial" w:cs="Arial" w:eastAsia="Arial" w:hAnsi="Arial"/>
                <w:sz w:val="14"/>
                <w:szCs w:val="14"/>
                <w:b w:val="1"/>
                <w:bCs w:val="1"/>
                <w:color w:val="auto"/>
              </w:rPr>
              <w:t>(4)(5)</w:t>
            </w:r>
          </w:p>
        </w:tc>
        <w:tc>
          <w:tcPr>
            <w:tcW w:w="1300" w:type="dxa"/>
            <w:vAlign w:val="bottom"/>
            <w:tcBorders>
              <w:bottom w:val="single" w:sz="8" w:color="0090DA"/>
            </w:tcBorders>
          </w:tcPr>
          <w:p>
            <w:pPr>
              <w:jc w:val="center"/>
              <w:ind w:right="28"/>
              <w:spacing w:after="0"/>
              <w:rPr>
                <w:sz w:val="20"/>
                <w:szCs w:val="20"/>
                <w:color w:val="auto"/>
              </w:rPr>
            </w:pPr>
            <w:r>
              <w:rPr>
                <w:rFonts w:ascii="Arial" w:cs="Arial" w:eastAsia="Arial" w:hAnsi="Arial"/>
                <w:sz w:val="14"/>
                <w:szCs w:val="14"/>
                <w:b w:val="1"/>
                <w:bCs w:val="1"/>
                <w:color w:val="auto"/>
              </w:rPr>
              <w:t>Compensation(6)</w:t>
            </w:r>
          </w:p>
        </w:tc>
        <w:tc>
          <w:tcPr>
            <w:tcW w:w="120" w:type="dxa"/>
            <w:vAlign w:val="bottom"/>
            <w:tcBorders>
              <w:bottom w:val="single" w:sz="8" w:color="0090DA"/>
            </w:tcBorders>
          </w:tcPr>
          <w:p>
            <w:pPr>
              <w:spacing w:after="0"/>
              <w:rPr>
                <w:sz w:val="15"/>
                <w:szCs w:val="15"/>
                <w:color w:val="auto"/>
              </w:rPr>
            </w:pPr>
          </w:p>
        </w:tc>
        <w:tc>
          <w:tcPr>
            <w:tcW w:w="1280" w:type="dxa"/>
            <w:vAlign w:val="bottom"/>
            <w:tcBorders>
              <w:bottom w:val="single" w:sz="8" w:color="0090DA"/>
            </w:tcBorders>
          </w:tcPr>
          <w:p>
            <w:pPr>
              <w:jc w:val="right"/>
              <w:ind w:right="28"/>
              <w:spacing w:after="0"/>
              <w:rPr>
                <w:sz w:val="20"/>
                <w:szCs w:val="20"/>
                <w:color w:val="auto"/>
              </w:rPr>
            </w:pPr>
            <w:r>
              <w:rPr>
                <w:rFonts w:ascii="Arial" w:cs="Arial" w:eastAsia="Arial" w:hAnsi="Arial"/>
                <w:sz w:val="14"/>
                <w:szCs w:val="14"/>
                <w:b w:val="1"/>
                <w:bCs w:val="1"/>
                <w:color w:val="auto"/>
              </w:rPr>
              <w:t>Compensation(7)</w:t>
            </w:r>
          </w:p>
        </w:tc>
        <w:tc>
          <w:tcPr>
            <w:tcW w:w="220" w:type="dxa"/>
            <w:vAlign w:val="bottom"/>
            <w:tcBorders>
              <w:bottom w:val="single" w:sz="8" w:color="0090DA"/>
            </w:tcBorders>
          </w:tcPr>
          <w:p>
            <w:pPr>
              <w:spacing w:after="0"/>
              <w:rPr>
                <w:sz w:val="15"/>
                <w:szCs w:val="15"/>
                <w:color w:val="auto"/>
              </w:rPr>
            </w:pPr>
          </w:p>
        </w:tc>
        <w:tc>
          <w:tcPr>
            <w:tcW w:w="900" w:type="dxa"/>
            <w:vAlign w:val="bottom"/>
            <w:tcBorders>
              <w:bottom w:val="single" w:sz="8" w:color="0090DA"/>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shd w:val="clear" w:color="auto" w:fill="CBCBCB"/>
          </w:tcPr>
          <w:p>
            <w:pPr>
              <w:ind w:left="20"/>
              <w:spacing w:after="0"/>
              <w:rPr>
                <w:sz w:val="20"/>
                <w:szCs w:val="20"/>
                <w:color w:val="auto"/>
              </w:rPr>
            </w:pPr>
            <w:r>
              <w:rPr>
                <w:rFonts w:ascii="Arial" w:cs="Arial" w:eastAsia="Arial" w:hAnsi="Arial"/>
                <w:sz w:val="14"/>
                <w:szCs w:val="14"/>
                <w:color w:val="auto"/>
              </w:rPr>
              <w:t>Sanjay Mehrotra</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1,369,039</w:t>
            </w:r>
          </w:p>
        </w:tc>
        <w:tc>
          <w:tcPr>
            <w:tcW w:w="1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14,999,989</w:t>
            </w:r>
          </w:p>
        </w:tc>
        <w:tc>
          <w:tcPr>
            <w:tcW w:w="240" w:type="dxa"/>
            <w:vAlign w:val="bottom"/>
            <w:shd w:val="clear" w:color="auto" w:fill="CBCBCB"/>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3,591,001</w:t>
            </w:r>
          </w:p>
        </w:tc>
        <w:tc>
          <w:tcPr>
            <w:tcW w:w="1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35,459</w:t>
            </w:r>
          </w:p>
        </w:tc>
        <w:tc>
          <w:tcPr>
            <w:tcW w:w="2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19,995,488</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100"/>
              <w:spacing w:after="0"/>
              <w:rPr>
                <w:sz w:val="20"/>
                <w:szCs w:val="20"/>
                <w:color w:val="auto"/>
              </w:rPr>
            </w:pPr>
            <w:r>
              <w:rPr>
                <w:rFonts w:ascii="Arial" w:cs="Arial" w:eastAsia="Arial" w:hAnsi="Arial"/>
                <w:sz w:val="14"/>
                <w:szCs w:val="14"/>
                <w:color w:val="auto"/>
              </w:rPr>
              <w:t>President and Chief</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2019</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1,286,154</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11,999,963</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3,640,000</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18,634</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16,944,751</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100"/>
              <w:spacing w:after="0"/>
              <w:rPr>
                <w:sz w:val="20"/>
                <w:szCs w:val="20"/>
                <w:color w:val="auto"/>
              </w:rPr>
            </w:pPr>
            <w:r>
              <w:rPr>
                <w:rFonts w:ascii="Arial" w:cs="Arial" w:eastAsia="Arial" w:hAnsi="Arial"/>
                <w:sz w:val="14"/>
                <w:szCs w:val="14"/>
                <w:color w:val="auto"/>
              </w:rPr>
              <w:t>Executive Officer</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2018</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1,200,000</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7,499,952</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2,500,001</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41,630</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14,241,583</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David A. Zinsner</w:t>
            </w:r>
          </w:p>
        </w:tc>
        <w:tc>
          <w:tcPr>
            <w:tcW w:w="600" w:type="dxa"/>
            <w:vAlign w:val="bottom"/>
          </w:tcPr>
          <w:p>
            <w:pPr>
              <w:ind w:left="140"/>
              <w:spacing w:after="0"/>
              <w:rPr>
                <w:sz w:val="20"/>
                <w:szCs w:val="20"/>
                <w:color w:val="auto"/>
              </w:rPr>
            </w:pPr>
            <w:r>
              <w:rPr>
                <w:rFonts w:ascii="Arial" w:cs="Arial" w:eastAsia="Arial" w:hAnsi="Arial"/>
                <w:sz w:val="14"/>
                <w:szCs w:val="14"/>
                <w:color w:val="auto"/>
              </w:rPr>
              <w:t>2020</w:t>
            </w:r>
          </w:p>
        </w:tc>
        <w:tc>
          <w:tcPr>
            <w:tcW w:w="980" w:type="dxa"/>
            <w:vAlign w:val="bottom"/>
          </w:tcPr>
          <w:p>
            <w:pPr>
              <w:jc w:val="right"/>
              <w:spacing w:after="0"/>
              <w:rPr>
                <w:sz w:val="20"/>
                <w:szCs w:val="20"/>
                <w:color w:val="auto"/>
              </w:rPr>
            </w:pPr>
            <w:r>
              <w:rPr>
                <w:rFonts w:ascii="Arial" w:cs="Arial" w:eastAsia="Arial" w:hAnsi="Arial"/>
                <w:sz w:val="14"/>
                <w:szCs w:val="14"/>
                <w:color w:val="auto"/>
              </w:rPr>
              <w:t>670,992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4,000,021</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880,461</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17,531</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5,569,005</w:t>
            </w:r>
          </w:p>
        </w:tc>
        <w:tc>
          <w:tcPr>
            <w:tcW w:w="0" w:type="dxa"/>
            <w:vAlign w:val="bottom"/>
          </w:tcPr>
          <w:p>
            <w:pPr>
              <w:spacing w:after="0"/>
              <w:rPr>
                <w:sz w:val="1"/>
                <w:szCs w:val="1"/>
                <w:color w:val="auto"/>
              </w:rPr>
            </w:pPr>
          </w:p>
        </w:tc>
      </w:tr>
      <w:tr>
        <w:trPr>
          <w:trHeight w:val="189"/>
        </w:trPr>
        <w:tc>
          <w:tcPr>
            <w:tcW w:w="3540" w:type="dxa"/>
            <w:vAlign w:val="bottom"/>
          </w:tcPr>
          <w:p>
            <w:pPr>
              <w:ind w:left="100"/>
              <w:spacing w:after="0"/>
              <w:rPr>
                <w:sz w:val="20"/>
                <w:szCs w:val="20"/>
                <w:color w:val="auto"/>
              </w:rPr>
            </w:pPr>
            <w:r>
              <w:rPr>
                <w:rFonts w:ascii="Arial" w:cs="Arial" w:eastAsia="Arial" w:hAnsi="Arial"/>
                <w:sz w:val="14"/>
                <w:szCs w:val="14"/>
                <w:color w:val="auto"/>
              </w:rPr>
              <w:t>Senior Vice President and</w:t>
            </w:r>
          </w:p>
        </w:tc>
        <w:tc>
          <w:tcPr>
            <w:tcW w:w="600" w:type="dxa"/>
            <w:vAlign w:val="bottom"/>
          </w:tcPr>
          <w:p>
            <w:pPr>
              <w:ind w:left="140"/>
              <w:spacing w:after="0"/>
              <w:rPr>
                <w:sz w:val="20"/>
                <w:szCs w:val="20"/>
                <w:color w:val="auto"/>
              </w:rPr>
            </w:pPr>
            <w:r>
              <w:rPr>
                <w:rFonts w:ascii="Arial" w:cs="Arial" w:eastAsia="Arial" w:hAnsi="Arial"/>
                <w:sz w:val="14"/>
                <w:szCs w:val="14"/>
                <w:color w:val="auto"/>
              </w:rPr>
              <w:t>2019</w:t>
            </w:r>
          </w:p>
        </w:tc>
        <w:tc>
          <w:tcPr>
            <w:tcW w:w="980" w:type="dxa"/>
            <w:vAlign w:val="bottom"/>
          </w:tcPr>
          <w:p>
            <w:pPr>
              <w:jc w:val="right"/>
              <w:spacing w:after="0"/>
              <w:rPr>
                <w:sz w:val="20"/>
                <w:szCs w:val="20"/>
                <w:color w:val="auto"/>
              </w:rPr>
            </w:pPr>
            <w:r>
              <w:rPr>
                <w:rFonts w:ascii="Arial" w:cs="Arial" w:eastAsia="Arial" w:hAnsi="Arial"/>
                <w:sz w:val="14"/>
                <w:szCs w:val="14"/>
                <w:color w:val="auto"/>
              </w:rPr>
              <w:t>632,923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3,000,019</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666,750</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14,000</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4,313,692</w:t>
            </w:r>
          </w:p>
        </w:tc>
        <w:tc>
          <w:tcPr>
            <w:tcW w:w="0" w:type="dxa"/>
            <w:vAlign w:val="bottom"/>
          </w:tcPr>
          <w:p>
            <w:pPr>
              <w:spacing w:after="0"/>
              <w:rPr>
                <w:sz w:val="1"/>
                <w:szCs w:val="1"/>
                <w:color w:val="auto"/>
              </w:rPr>
            </w:pPr>
          </w:p>
        </w:tc>
      </w:tr>
      <w:tr>
        <w:trPr>
          <w:trHeight w:val="189"/>
        </w:trPr>
        <w:tc>
          <w:tcPr>
            <w:tcW w:w="3540" w:type="dxa"/>
            <w:vAlign w:val="bottom"/>
          </w:tcPr>
          <w:p>
            <w:pPr>
              <w:ind w:left="100"/>
              <w:spacing w:after="0"/>
              <w:rPr>
                <w:sz w:val="20"/>
                <w:szCs w:val="20"/>
                <w:color w:val="auto"/>
              </w:rPr>
            </w:pPr>
            <w:r>
              <w:rPr>
                <w:rFonts w:ascii="Arial" w:cs="Arial" w:eastAsia="Arial" w:hAnsi="Arial"/>
                <w:sz w:val="14"/>
                <w:szCs w:val="14"/>
                <w:color w:val="auto"/>
              </w:rPr>
              <w:t>Chief Financial Officer</w:t>
            </w:r>
          </w:p>
        </w:tc>
        <w:tc>
          <w:tcPr>
            <w:tcW w:w="600" w:type="dxa"/>
            <w:vAlign w:val="bottom"/>
          </w:tcPr>
          <w:p>
            <w:pPr>
              <w:ind w:left="140"/>
              <w:spacing w:after="0"/>
              <w:rPr>
                <w:sz w:val="20"/>
                <w:szCs w:val="20"/>
                <w:color w:val="auto"/>
              </w:rPr>
            </w:pPr>
            <w:r>
              <w:rPr>
                <w:rFonts w:ascii="Arial" w:cs="Arial" w:eastAsia="Arial" w:hAnsi="Arial"/>
                <w:sz w:val="14"/>
                <w:szCs w:val="14"/>
                <w:color w:val="auto"/>
              </w:rPr>
              <w:t>2018</w:t>
            </w:r>
          </w:p>
        </w:tc>
        <w:tc>
          <w:tcPr>
            <w:tcW w:w="980" w:type="dxa"/>
            <w:vAlign w:val="bottom"/>
          </w:tcPr>
          <w:p>
            <w:pPr>
              <w:jc w:val="right"/>
              <w:spacing w:after="0"/>
              <w:rPr>
                <w:sz w:val="20"/>
                <w:szCs w:val="20"/>
                <w:color w:val="auto"/>
              </w:rPr>
            </w:pPr>
            <w:r>
              <w:rPr>
                <w:rFonts w:ascii="Arial" w:cs="Arial" w:eastAsia="Arial" w:hAnsi="Arial"/>
                <w:sz w:val="14"/>
                <w:szCs w:val="14"/>
                <w:color w:val="auto"/>
              </w:rPr>
              <w:t>331,462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2,124,998</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2,124,997</w:t>
            </w:r>
          </w:p>
        </w:tc>
        <w:tc>
          <w:tcPr>
            <w:tcW w:w="1300" w:type="dxa"/>
            <w:vAlign w:val="bottom"/>
          </w:tcPr>
          <w:p>
            <w:pPr>
              <w:jc w:val="right"/>
              <w:spacing w:after="0"/>
              <w:rPr>
                <w:sz w:val="20"/>
                <w:szCs w:val="20"/>
                <w:color w:val="auto"/>
              </w:rPr>
            </w:pPr>
            <w:r>
              <w:rPr>
                <w:rFonts w:ascii="Arial" w:cs="Arial" w:eastAsia="Arial" w:hAnsi="Arial"/>
                <w:sz w:val="14"/>
                <w:szCs w:val="14"/>
                <w:color w:val="auto"/>
              </w:rPr>
              <w:t>493,105</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235,202</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5,309,764</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20"/>
              <w:spacing w:after="0"/>
              <w:rPr>
                <w:sz w:val="20"/>
                <w:szCs w:val="20"/>
                <w:color w:val="auto"/>
              </w:rPr>
            </w:pPr>
            <w:r>
              <w:rPr>
                <w:rFonts w:ascii="Arial" w:cs="Arial" w:eastAsia="Arial" w:hAnsi="Arial"/>
                <w:sz w:val="14"/>
                <w:szCs w:val="14"/>
                <w:color w:val="auto"/>
              </w:rPr>
              <w:t>Manish Bhatia</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704,211</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5,000,012</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924,351</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583,785</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7,212,359</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100"/>
              <w:spacing w:after="0"/>
              <w:rPr>
                <w:sz w:val="20"/>
                <w:szCs w:val="20"/>
                <w:color w:val="auto"/>
              </w:rPr>
            </w:pPr>
            <w:r>
              <w:rPr>
                <w:rFonts w:ascii="Arial" w:cs="Arial" w:eastAsia="Arial" w:hAnsi="Arial"/>
                <w:sz w:val="14"/>
                <w:szCs w:val="14"/>
                <w:color w:val="auto"/>
              </w:rPr>
              <w:t>Executive Vice President,</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2019</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660,846</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3,800,003</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931,000</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594,806</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5,986,655</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100"/>
              <w:spacing w:after="0"/>
              <w:rPr>
                <w:sz w:val="20"/>
                <w:szCs w:val="20"/>
                <w:color w:val="auto"/>
              </w:rPr>
            </w:pPr>
            <w:r>
              <w:rPr>
                <w:rFonts w:ascii="Arial" w:cs="Arial" w:eastAsia="Arial" w:hAnsi="Arial"/>
                <w:sz w:val="14"/>
                <w:szCs w:val="14"/>
                <w:color w:val="auto"/>
              </w:rPr>
              <w:t>Global Operations</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2018</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559,289</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7,850,023</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950,000</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918,221</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177,873</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10,455,406</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rPr>
                <w:sz w:val="20"/>
                <w:szCs w:val="20"/>
                <w:color w:val="auto"/>
              </w:rPr>
            </w:pPr>
            <w:r>
              <w:rPr>
                <w:rFonts w:ascii="Arial" w:cs="Arial" w:eastAsia="Arial" w:hAnsi="Arial"/>
                <w:sz w:val="14"/>
                <w:szCs w:val="14"/>
                <w:color w:val="auto"/>
              </w:rPr>
              <w:t>Scott J. DeBoer</w:t>
            </w:r>
          </w:p>
        </w:tc>
        <w:tc>
          <w:tcPr>
            <w:tcW w:w="600" w:type="dxa"/>
            <w:vAlign w:val="bottom"/>
          </w:tcPr>
          <w:p>
            <w:pPr>
              <w:ind w:left="140"/>
              <w:spacing w:after="0"/>
              <w:rPr>
                <w:sz w:val="20"/>
                <w:szCs w:val="20"/>
                <w:color w:val="auto"/>
              </w:rPr>
            </w:pPr>
            <w:r>
              <w:rPr>
                <w:rFonts w:ascii="Arial" w:cs="Arial" w:eastAsia="Arial" w:hAnsi="Arial"/>
                <w:sz w:val="14"/>
                <w:szCs w:val="14"/>
                <w:color w:val="auto"/>
              </w:rPr>
              <w:t>2020</w:t>
            </w:r>
          </w:p>
        </w:tc>
        <w:tc>
          <w:tcPr>
            <w:tcW w:w="980" w:type="dxa"/>
            <w:vAlign w:val="bottom"/>
          </w:tcPr>
          <w:p>
            <w:pPr>
              <w:jc w:val="right"/>
              <w:spacing w:after="0"/>
              <w:rPr>
                <w:sz w:val="20"/>
                <w:szCs w:val="20"/>
                <w:color w:val="auto"/>
              </w:rPr>
            </w:pPr>
            <w:r>
              <w:rPr>
                <w:rFonts w:ascii="Arial" w:cs="Arial" w:eastAsia="Arial" w:hAnsi="Arial"/>
                <w:sz w:val="14"/>
                <w:szCs w:val="14"/>
                <w:color w:val="auto"/>
              </w:rPr>
              <w:t>601,596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3,750,026</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791,351</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16,887</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5,159,860</w:t>
            </w:r>
          </w:p>
        </w:tc>
        <w:tc>
          <w:tcPr>
            <w:tcW w:w="0" w:type="dxa"/>
            <w:vAlign w:val="bottom"/>
          </w:tcPr>
          <w:p>
            <w:pPr>
              <w:spacing w:after="0"/>
              <w:rPr>
                <w:sz w:val="1"/>
                <w:szCs w:val="1"/>
                <w:color w:val="auto"/>
              </w:rPr>
            </w:pPr>
          </w:p>
        </w:tc>
      </w:tr>
      <w:tr>
        <w:trPr>
          <w:trHeight w:val="189"/>
        </w:trPr>
        <w:tc>
          <w:tcPr>
            <w:tcW w:w="3540" w:type="dxa"/>
            <w:vAlign w:val="bottom"/>
          </w:tcPr>
          <w:p>
            <w:pPr>
              <w:ind w:left="100"/>
              <w:spacing w:after="0"/>
              <w:rPr>
                <w:sz w:val="20"/>
                <w:szCs w:val="20"/>
                <w:color w:val="auto"/>
              </w:rPr>
            </w:pPr>
            <w:r>
              <w:rPr>
                <w:rFonts w:ascii="Arial" w:cs="Arial" w:eastAsia="Arial" w:hAnsi="Arial"/>
                <w:sz w:val="14"/>
                <w:szCs w:val="14"/>
                <w:color w:val="auto"/>
              </w:rPr>
              <w:t>Executive Vice President,</w:t>
            </w:r>
          </w:p>
        </w:tc>
        <w:tc>
          <w:tcPr>
            <w:tcW w:w="600" w:type="dxa"/>
            <w:vAlign w:val="bottom"/>
          </w:tcPr>
          <w:p>
            <w:pPr>
              <w:ind w:left="140"/>
              <w:spacing w:after="0"/>
              <w:rPr>
                <w:sz w:val="20"/>
                <w:szCs w:val="20"/>
                <w:color w:val="auto"/>
              </w:rPr>
            </w:pPr>
            <w:r>
              <w:rPr>
                <w:rFonts w:ascii="Arial" w:cs="Arial" w:eastAsia="Arial" w:hAnsi="Arial"/>
                <w:sz w:val="14"/>
                <w:szCs w:val="14"/>
                <w:color w:val="auto"/>
              </w:rPr>
              <w:t>2019</w:t>
            </w:r>
          </w:p>
        </w:tc>
        <w:tc>
          <w:tcPr>
            <w:tcW w:w="980" w:type="dxa"/>
            <w:vAlign w:val="bottom"/>
          </w:tcPr>
          <w:p>
            <w:pPr>
              <w:jc w:val="right"/>
              <w:spacing w:after="0"/>
              <w:rPr>
                <w:sz w:val="20"/>
                <w:szCs w:val="20"/>
                <w:color w:val="auto"/>
              </w:rPr>
            </w:pPr>
            <w:r>
              <w:rPr>
                <w:rFonts w:ascii="Arial" w:cs="Arial" w:eastAsia="Arial" w:hAnsi="Arial"/>
                <w:sz w:val="14"/>
                <w:szCs w:val="14"/>
                <w:color w:val="auto"/>
              </w:rPr>
              <w:t>554,462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3,000,019</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784,000</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15,662</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4,354,143</w:t>
            </w:r>
          </w:p>
        </w:tc>
        <w:tc>
          <w:tcPr>
            <w:tcW w:w="0" w:type="dxa"/>
            <w:vAlign w:val="bottom"/>
          </w:tcPr>
          <w:p>
            <w:pPr>
              <w:spacing w:after="0"/>
              <w:rPr>
                <w:sz w:val="1"/>
                <w:szCs w:val="1"/>
                <w:color w:val="auto"/>
              </w:rPr>
            </w:pPr>
          </w:p>
        </w:tc>
      </w:tr>
      <w:tr>
        <w:trPr>
          <w:trHeight w:val="189"/>
        </w:trPr>
        <w:tc>
          <w:tcPr>
            <w:tcW w:w="3540" w:type="dxa"/>
            <w:vAlign w:val="bottom"/>
          </w:tcPr>
          <w:p>
            <w:pPr>
              <w:ind w:left="100"/>
              <w:spacing w:after="0"/>
              <w:rPr>
                <w:sz w:val="20"/>
                <w:szCs w:val="20"/>
                <w:color w:val="auto"/>
              </w:rPr>
            </w:pPr>
            <w:r>
              <w:rPr>
                <w:rFonts w:ascii="Arial" w:cs="Arial" w:eastAsia="Arial" w:hAnsi="Arial"/>
                <w:sz w:val="14"/>
                <w:szCs w:val="14"/>
                <w:color w:val="auto"/>
              </w:rPr>
              <w:t>Technology and Products</w:t>
            </w:r>
          </w:p>
        </w:tc>
        <w:tc>
          <w:tcPr>
            <w:tcW w:w="600" w:type="dxa"/>
            <w:vAlign w:val="bottom"/>
          </w:tcPr>
          <w:p>
            <w:pPr>
              <w:ind w:left="140"/>
              <w:spacing w:after="0"/>
              <w:rPr>
                <w:sz w:val="20"/>
                <w:szCs w:val="20"/>
                <w:color w:val="auto"/>
              </w:rPr>
            </w:pPr>
            <w:r>
              <w:rPr>
                <w:rFonts w:ascii="Arial" w:cs="Arial" w:eastAsia="Arial" w:hAnsi="Arial"/>
                <w:sz w:val="14"/>
                <w:szCs w:val="14"/>
                <w:color w:val="auto"/>
              </w:rPr>
              <w:t>2018</w:t>
            </w:r>
          </w:p>
        </w:tc>
        <w:tc>
          <w:tcPr>
            <w:tcW w:w="980" w:type="dxa"/>
            <w:vAlign w:val="bottom"/>
          </w:tcPr>
          <w:p>
            <w:pPr>
              <w:jc w:val="right"/>
              <w:spacing w:after="0"/>
              <w:rPr>
                <w:sz w:val="20"/>
                <w:szCs w:val="20"/>
                <w:color w:val="auto"/>
              </w:rPr>
            </w:pPr>
            <w:r>
              <w:rPr>
                <w:rFonts w:ascii="Arial" w:cs="Arial" w:eastAsia="Arial" w:hAnsi="Arial"/>
                <w:sz w:val="14"/>
                <w:szCs w:val="14"/>
                <w:color w:val="auto"/>
              </w:rPr>
              <w:t>511,154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1,875,032</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625,000</w:t>
            </w:r>
          </w:p>
        </w:tc>
        <w:tc>
          <w:tcPr>
            <w:tcW w:w="1300" w:type="dxa"/>
            <w:vAlign w:val="bottom"/>
          </w:tcPr>
          <w:p>
            <w:pPr>
              <w:jc w:val="right"/>
              <w:spacing w:after="0"/>
              <w:rPr>
                <w:sz w:val="20"/>
                <w:szCs w:val="20"/>
                <w:color w:val="auto"/>
              </w:rPr>
            </w:pPr>
            <w:r>
              <w:rPr>
                <w:rFonts w:ascii="Arial" w:cs="Arial" w:eastAsia="Arial" w:hAnsi="Arial"/>
                <w:sz w:val="14"/>
                <w:szCs w:val="14"/>
                <w:color w:val="auto"/>
              </w:rPr>
              <w:t>936,000</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139,029</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4,086,215</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20"/>
              <w:spacing w:after="0"/>
              <w:rPr>
                <w:sz w:val="20"/>
                <w:szCs w:val="20"/>
                <w:color w:val="auto"/>
              </w:rPr>
            </w:pPr>
            <w:r>
              <w:rPr>
                <w:rFonts w:ascii="Arial" w:cs="Arial" w:eastAsia="Arial" w:hAnsi="Arial"/>
                <w:sz w:val="14"/>
                <w:szCs w:val="14"/>
                <w:color w:val="auto"/>
              </w:rPr>
              <w:t>Sumit Sadana</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2020</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755,173</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5,500,013</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1,089,936</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14,250</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7,359,372</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100"/>
              <w:spacing w:after="0"/>
              <w:rPr>
                <w:sz w:val="20"/>
                <w:szCs w:val="20"/>
                <w:color w:val="auto"/>
              </w:rPr>
            </w:pPr>
            <w:r>
              <w:rPr>
                <w:rFonts w:ascii="Arial" w:cs="Arial" w:eastAsia="Arial" w:hAnsi="Arial"/>
                <w:sz w:val="14"/>
                <w:szCs w:val="14"/>
                <w:color w:val="auto"/>
              </w:rPr>
              <w:t>Executive Vice President</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2019</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709,462</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4,399,958</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1,101,100</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14,000</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6,224,520</w:t>
            </w:r>
          </w:p>
        </w:tc>
        <w:tc>
          <w:tcPr>
            <w:tcW w:w="0" w:type="dxa"/>
            <w:vAlign w:val="bottom"/>
          </w:tcPr>
          <w:p>
            <w:pPr>
              <w:spacing w:after="0"/>
              <w:rPr>
                <w:sz w:val="1"/>
                <w:szCs w:val="1"/>
                <w:color w:val="auto"/>
              </w:rPr>
            </w:pPr>
          </w:p>
        </w:tc>
      </w:tr>
      <w:tr>
        <w:trPr>
          <w:trHeight w:val="189"/>
        </w:trPr>
        <w:tc>
          <w:tcPr>
            <w:tcW w:w="3540" w:type="dxa"/>
            <w:vAlign w:val="bottom"/>
            <w:shd w:val="clear" w:color="auto" w:fill="CBCBCB"/>
          </w:tcPr>
          <w:p>
            <w:pPr>
              <w:ind w:left="100"/>
              <w:spacing w:after="0"/>
              <w:rPr>
                <w:sz w:val="20"/>
                <w:szCs w:val="20"/>
                <w:color w:val="auto"/>
              </w:rPr>
            </w:pPr>
            <w:r>
              <w:rPr>
                <w:rFonts w:ascii="Arial" w:cs="Arial" w:eastAsia="Arial" w:hAnsi="Arial"/>
                <w:sz w:val="14"/>
                <w:szCs w:val="14"/>
                <w:color w:val="auto"/>
              </w:rPr>
              <w:t>and Chief Business Officer</w:t>
            </w:r>
          </w:p>
        </w:tc>
        <w:tc>
          <w:tcPr>
            <w:tcW w:w="600" w:type="dxa"/>
            <w:vAlign w:val="bottom"/>
            <w:shd w:val="clear" w:color="auto" w:fill="CBCBCB"/>
          </w:tcPr>
          <w:p>
            <w:pPr>
              <w:ind w:left="140"/>
              <w:spacing w:after="0"/>
              <w:rPr>
                <w:sz w:val="20"/>
                <w:szCs w:val="20"/>
                <w:color w:val="auto"/>
              </w:rPr>
            </w:pPr>
            <w:r>
              <w:rPr>
                <w:rFonts w:ascii="Arial" w:cs="Arial" w:eastAsia="Arial" w:hAnsi="Arial"/>
                <w:sz w:val="14"/>
                <w:szCs w:val="14"/>
                <w:color w:val="auto"/>
              </w:rPr>
              <w:t>2018</w:t>
            </w:r>
          </w:p>
        </w:tc>
        <w:tc>
          <w:tcPr>
            <w:tcW w:w="9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675,000</w:t>
            </w:r>
          </w:p>
        </w:tc>
        <w:tc>
          <w:tcPr>
            <w:tcW w:w="100" w:type="dxa"/>
            <w:vAlign w:val="bottom"/>
            <w:shd w:val="clear" w:color="auto" w:fill="CBCBCB"/>
          </w:tcPr>
          <w:p>
            <w:pPr>
              <w:spacing w:after="0"/>
              <w:rPr>
                <w:sz w:val="16"/>
                <w:szCs w:val="16"/>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2,999,945</w:t>
            </w:r>
          </w:p>
        </w:tc>
        <w:tc>
          <w:tcPr>
            <w:tcW w:w="240" w:type="dxa"/>
            <w:vAlign w:val="bottom"/>
            <w:shd w:val="clear" w:color="auto" w:fill="CBCBCB"/>
          </w:tcPr>
          <w:p>
            <w:pPr>
              <w:spacing w:after="0"/>
              <w:rPr>
                <w:sz w:val="16"/>
                <w:szCs w:val="16"/>
                <w:color w:val="auto"/>
              </w:rPr>
            </w:pPr>
          </w:p>
        </w:tc>
        <w:tc>
          <w:tcPr>
            <w:tcW w:w="960" w:type="dxa"/>
            <w:vAlign w:val="bottom"/>
            <w:shd w:val="clear" w:color="auto" w:fill="CBCBCB"/>
          </w:tcPr>
          <w:p>
            <w:pPr>
              <w:jc w:val="right"/>
              <w:ind w:right="108"/>
              <w:spacing w:after="0"/>
              <w:rPr>
                <w:sz w:val="20"/>
                <w:szCs w:val="20"/>
                <w:color w:val="auto"/>
              </w:rPr>
            </w:pPr>
            <w:r>
              <w:rPr>
                <w:rFonts w:ascii="Arial" w:cs="Arial" w:eastAsia="Arial" w:hAnsi="Arial"/>
                <w:sz w:val="14"/>
                <w:szCs w:val="14"/>
                <w:color w:val="auto"/>
              </w:rPr>
              <w:t>999,997</w:t>
            </w:r>
          </w:p>
        </w:tc>
        <w:tc>
          <w:tcPr>
            <w:tcW w:w="13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1,485,000</w:t>
            </w:r>
          </w:p>
        </w:tc>
        <w:tc>
          <w:tcPr>
            <w:tcW w:w="120" w:type="dxa"/>
            <w:vAlign w:val="bottom"/>
            <w:shd w:val="clear" w:color="auto" w:fill="CBCBCB"/>
          </w:tcPr>
          <w:p>
            <w:pPr>
              <w:spacing w:after="0"/>
              <w:rPr>
                <w:sz w:val="16"/>
                <w:szCs w:val="16"/>
                <w:color w:val="auto"/>
              </w:rPr>
            </w:pPr>
          </w:p>
        </w:tc>
        <w:tc>
          <w:tcPr>
            <w:tcW w:w="12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23,356</w:t>
            </w:r>
          </w:p>
        </w:tc>
        <w:tc>
          <w:tcPr>
            <w:tcW w:w="22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6,183,298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160" w:hanging="332"/>
        <w:spacing w:after="0" w:line="239" w:lineRule="auto"/>
        <w:tabs>
          <w:tab w:leader="none" w:pos="352" w:val="left"/>
        </w:tabs>
        <w:numPr>
          <w:ilvl w:val="0"/>
          <w:numId w:val="55"/>
        </w:numPr>
        <w:rPr>
          <w:rFonts w:ascii="Arial" w:cs="Arial" w:eastAsia="Arial" w:hAnsi="Arial"/>
          <w:sz w:val="20"/>
          <w:szCs w:val="20"/>
          <w:color w:val="auto"/>
        </w:rPr>
      </w:pPr>
      <w:r>
        <w:rPr>
          <w:rFonts w:ascii="Arial" w:cs="Arial" w:eastAsia="Arial" w:hAnsi="Arial"/>
          <w:sz w:val="18"/>
          <w:szCs w:val="18"/>
          <w:color w:val="auto"/>
        </w:rPr>
        <w:t>Our fiscal year is the 52 or 53-week period ending on the Thursday closest to August 31. Fiscal 2020 contained 53 weeks and fiscal 2019 and 2018 each contained 52 weeks. The amounts shown for salary for 2020 include an additional week as compared to 2019 and 2018 in accordance with our fiscal calendar. Mr. Zinsner joined the Company as Senior Vice President and Chief Financial Officer in February 2018 and his annual base salary for fiscal 2018 was $620,000.</w:t>
      </w:r>
    </w:p>
    <w:p>
      <w:pPr>
        <w:spacing w:after="0" w:line="205" w:lineRule="exact"/>
        <w:rPr>
          <w:rFonts w:ascii="Arial" w:cs="Arial" w:eastAsia="Arial" w:hAnsi="Arial"/>
          <w:sz w:val="20"/>
          <w:szCs w:val="20"/>
          <w:color w:val="auto"/>
        </w:rPr>
      </w:pPr>
    </w:p>
    <w:p>
      <w:pPr>
        <w:ind w:left="340" w:right="120" w:hanging="332"/>
        <w:spacing w:after="0" w:line="255" w:lineRule="auto"/>
        <w:tabs>
          <w:tab w:leader="none" w:pos="3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grant-date fair values for the stock awards are based on the closing price on the last market-trading day prior to the date of grant. The grant date fair value of the performance-based awards granted in fiscal 2020, 2019, and 2018 was computed by multiplying (i) the target number of restricted shares or units awarded to each Named Executive Officer, which was the assumed probable outcome as of the grant date,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 Although the assumed probable outcome as of the grant date was achievement at the target level, the terms of the awards for performance-based restricted stock unit awards granted in 2020, 2019, and 2018 also provide for achievement of up to 200% of the target amount (“maximum”). The table below presents the aggregate grant-date fair value of stock awards for the periods presented assuming achievement at the maximum level for such performance-based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00" w:type="dxa"/>
            <w:vAlign w:val="bottom"/>
          </w:tcPr>
          <w:p>
            <w:pPr>
              <w:spacing w:after="0"/>
              <w:rPr>
                <w:sz w:val="16"/>
                <w:szCs w:val="16"/>
                <w:color w:val="auto"/>
              </w:rPr>
            </w:pPr>
          </w:p>
        </w:tc>
        <w:tc>
          <w:tcPr>
            <w:tcW w:w="900" w:type="dxa"/>
            <w:vAlign w:val="bottom"/>
            <w:tcBorders>
              <w:bottom w:val="single" w:sz="8" w:color="0090DA"/>
            </w:tcBorders>
          </w:tcPr>
          <w:p>
            <w:pPr>
              <w:spacing w:after="0"/>
              <w:rPr>
                <w:sz w:val="16"/>
                <w:szCs w:val="16"/>
                <w:color w:val="auto"/>
              </w:rPr>
            </w:pPr>
          </w:p>
        </w:tc>
        <w:tc>
          <w:tcPr>
            <w:tcW w:w="104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0090DA"/>
            </w:tcBorders>
          </w:tcPr>
          <w:p>
            <w:pPr>
              <w:spacing w:after="0"/>
              <w:rPr>
                <w:sz w:val="16"/>
                <w:szCs w:val="16"/>
                <w:color w:val="auto"/>
              </w:rPr>
            </w:pPr>
          </w:p>
        </w:tc>
        <w:tc>
          <w:tcPr>
            <w:tcW w:w="880" w:type="dxa"/>
            <w:vAlign w:val="bottom"/>
            <w:tcBorders>
              <w:bottom w:val="single" w:sz="8" w:color="0090DA"/>
            </w:tcBorders>
          </w:tcPr>
          <w:p>
            <w:pPr>
              <w:spacing w:after="0"/>
              <w:rPr>
                <w:sz w:val="16"/>
                <w:szCs w:val="16"/>
                <w:color w:val="auto"/>
              </w:rPr>
            </w:pPr>
          </w:p>
        </w:tc>
        <w:tc>
          <w:tcPr>
            <w:tcW w:w="120" w:type="dxa"/>
            <w:vAlign w:val="bottom"/>
            <w:tcBorders>
              <w:bottom w:val="single" w:sz="8" w:color="0090DA"/>
            </w:tcBorders>
          </w:tcPr>
          <w:p>
            <w:pPr>
              <w:spacing w:after="0"/>
              <w:rPr>
                <w:sz w:val="16"/>
                <w:szCs w:val="16"/>
                <w:color w:val="auto"/>
              </w:rPr>
            </w:pPr>
          </w:p>
        </w:tc>
        <w:tc>
          <w:tcPr>
            <w:tcW w:w="102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0090DA"/>
            </w:tcBorders>
          </w:tcPr>
          <w:p>
            <w:pPr>
              <w:spacing w:after="0"/>
              <w:rPr>
                <w:sz w:val="16"/>
                <w:szCs w:val="16"/>
                <w:color w:val="auto"/>
              </w:rPr>
            </w:pPr>
          </w:p>
        </w:tc>
        <w:tc>
          <w:tcPr>
            <w:tcW w:w="900" w:type="dxa"/>
            <w:vAlign w:val="bottom"/>
            <w:tcBorders>
              <w:bottom w:val="single" w:sz="8" w:color="0090DA"/>
            </w:tcBorders>
          </w:tcPr>
          <w:p>
            <w:pPr>
              <w:spacing w:after="0"/>
              <w:rPr>
                <w:sz w:val="16"/>
                <w:szCs w:val="16"/>
                <w:color w:val="auto"/>
              </w:rPr>
            </w:pPr>
          </w:p>
        </w:tc>
        <w:tc>
          <w:tcPr>
            <w:tcW w:w="120" w:type="dxa"/>
            <w:vAlign w:val="bottom"/>
            <w:tcBorders>
              <w:bottom w:val="single" w:sz="8" w:color="0090DA"/>
            </w:tcBorders>
          </w:tcPr>
          <w:p>
            <w:pPr>
              <w:spacing w:after="0"/>
              <w:rPr>
                <w:sz w:val="16"/>
                <w:szCs w:val="16"/>
                <w:color w:val="auto"/>
              </w:rPr>
            </w:pPr>
          </w:p>
        </w:tc>
        <w:tc>
          <w:tcPr>
            <w:tcW w:w="102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0090DA"/>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Performance-</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Performance-</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Performance-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based Stock</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Time-based</w:t>
            </w: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Award at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Stock</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Time-based</w:t>
            </w:r>
          </w:p>
        </w:tc>
        <w:tc>
          <w:tcPr>
            <w:tcW w:w="120" w:type="dxa"/>
            <w:vAlign w:val="bottom"/>
          </w:tcPr>
          <w:p>
            <w:pPr>
              <w:spacing w:after="0"/>
              <w:rPr>
                <w:sz w:val="11"/>
                <w:szCs w:val="11"/>
                <w:color w:val="auto"/>
              </w:rPr>
            </w:pPr>
          </w:p>
        </w:tc>
        <w:tc>
          <w:tcPr>
            <w:tcW w:w="10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based Stock</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Stock</w:t>
            </w: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based Stock</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Stock</w:t>
            </w: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Officer</w:t>
            </w:r>
          </w:p>
        </w:tc>
        <w:tc>
          <w:tcPr>
            <w:tcW w:w="90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Maximum</w:t>
            </w:r>
          </w:p>
        </w:tc>
        <w:tc>
          <w:tcPr>
            <w:tcW w:w="9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Award at</w:t>
            </w:r>
          </w:p>
        </w:tc>
        <w:tc>
          <w:tcPr>
            <w:tcW w:w="90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1"/>
                <w:szCs w:val="11"/>
                <w:color w:val="auto"/>
              </w:rPr>
            </w:pPr>
          </w:p>
        </w:tc>
        <w:tc>
          <w:tcPr>
            <w:tcW w:w="10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Award at</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00" w:type="dxa"/>
            <w:vAlign w:val="bottom"/>
            <w:tcBorders>
              <w:bottom w:val="single" w:sz="8" w:color="0090DA"/>
            </w:tcBorders>
            <w:vMerge w:val="continue"/>
          </w:tcPr>
          <w:p>
            <w:pPr>
              <w:spacing w:after="0"/>
              <w:rPr>
                <w:sz w:val="15"/>
                <w:szCs w:val="15"/>
                <w:color w:val="auto"/>
              </w:rPr>
            </w:pP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4"/>
                <w:szCs w:val="14"/>
                <w:b w:val="1"/>
                <w:bCs w:val="1"/>
                <w:color w:val="auto"/>
              </w:rPr>
              <w:t>Stock Award</w:t>
            </w:r>
          </w:p>
        </w:tc>
        <w:tc>
          <w:tcPr>
            <w:tcW w:w="104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20" w:type="dxa"/>
            <w:vAlign w:val="bottom"/>
            <w:tcBorders>
              <w:bottom w:val="single" w:sz="8" w:color="0090DA"/>
            </w:tcBorders>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2020" w:type="dxa"/>
            <w:vAlign w:val="bottom"/>
            <w:tcBorders>
              <w:bottom w:val="single" w:sz="8" w:color="0090DA"/>
            </w:tcBorders>
            <w:gridSpan w:val="3"/>
          </w:tcPr>
          <w:p>
            <w:pPr>
              <w:jc w:val="right"/>
              <w:spacing w:after="0"/>
              <w:rPr>
                <w:sz w:val="20"/>
                <w:szCs w:val="20"/>
                <w:color w:val="auto"/>
              </w:rPr>
            </w:pPr>
            <w:r>
              <w:rPr>
                <w:rFonts w:ascii="Arial" w:cs="Arial" w:eastAsia="Arial" w:hAnsi="Arial"/>
                <w:sz w:val="14"/>
                <w:szCs w:val="14"/>
                <w:b w:val="1"/>
                <w:bCs w:val="1"/>
                <w:color w:val="auto"/>
              </w:rPr>
              <w:t>Stock Award Maximum Level</w:t>
            </w:r>
          </w:p>
        </w:tc>
        <w:tc>
          <w:tcPr>
            <w:tcW w:w="900" w:type="dxa"/>
            <w:vAlign w:val="bottom"/>
            <w:tcBorders>
              <w:bottom w:val="single" w:sz="8" w:color="0090DA"/>
            </w:tcBorders>
          </w:tcPr>
          <w:p>
            <w:pPr>
              <w:jc w:val="right"/>
              <w:ind w:right="88"/>
              <w:spacing w:after="0"/>
              <w:rPr>
                <w:sz w:val="20"/>
                <w:szCs w:val="20"/>
                <w:color w:val="auto"/>
              </w:rPr>
            </w:pPr>
            <w:r>
              <w:rPr>
                <w:rFonts w:ascii="Arial" w:cs="Arial" w:eastAsia="Arial" w:hAnsi="Arial"/>
                <w:sz w:val="14"/>
                <w:szCs w:val="14"/>
                <w:b w:val="1"/>
                <w:bCs w:val="1"/>
                <w:color w:val="auto"/>
              </w:rPr>
              <w:t>Awards</w:t>
            </w:r>
          </w:p>
        </w:tc>
        <w:tc>
          <w:tcPr>
            <w:tcW w:w="90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Award</w:t>
            </w:r>
          </w:p>
        </w:tc>
        <w:tc>
          <w:tcPr>
            <w:tcW w:w="11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4"/>
                <w:szCs w:val="14"/>
                <w:b w:val="1"/>
                <w:bCs w:val="1"/>
                <w:color w:val="auto"/>
              </w:rPr>
              <w:t>Maximum Level</w:t>
            </w:r>
          </w:p>
        </w:tc>
        <w:tc>
          <w:tcPr>
            <w:tcW w:w="920" w:type="dxa"/>
            <w:vAlign w:val="bottom"/>
            <w:tcBorders>
              <w:bottom w:val="single" w:sz="8" w:color="0090DA"/>
            </w:tcBorders>
          </w:tcPr>
          <w:p>
            <w:pPr>
              <w:jc w:val="right"/>
              <w:ind w:right="12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34"/>
        </w:trPr>
        <w:tc>
          <w:tcPr>
            <w:tcW w:w="2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00" w:type="dxa"/>
            <w:vAlign w:val="bottom"/>
            <w:shd w:val="clear" w:color="auto" w:fill="CBCBCB"/>
          </w:tcPr>
          <w:p>
            <w:pPr>
              <w:ind w:left="20"/>
              <w:spacing w:after="0"/>
              <w:rPr>
                <w:sz w:val="20"/>
                <w:szCs w:val="20"/>
                <w:color w:val="auto"/>
              </w:rPr>
            </w:pPr>
            <w:r>
              <w:rPr>
                <w:rFonts w:ascii="Arial" w:cs="Arial" w:eastAsia="Arial" w:hAnsi="Arial"/>
                <w:sz w:val="14"/>
                <w:szCs w:val="14"/>
                <w:color w:val="auto"/>
              </w:rPr>
              <w:t>Sanjay Mehrotra</w:t>
            </w:r>
          </w:p>
        </w:tc>
        <w:tc>
          <w:tcPr>
            <w:tcW w:w="900" w:type="dxa"/>
            <w:vAlign w:val="bottom"/>
            <w:shd w:val="clear" w:color="auto" w:fill="CBCBCB"/>
          </w:tcPr>
          <w:p>
            <w:pPr>
              <w:jc w:val="right"/>
              <w:ind w:right="8"/>
              <w:spacing w:after="0"/>
              <w:rPr>
                <w:sz w:val="20"/>
                <w:szCs w:val="20"/>
                <w:color w:val="auto"/>
              </w:rPr>
            </w:pPr>
            <w:r>
              <w:rPr>
                <w:rFonts w:ascii="Arial" w:cs="Arial" w:eastAsia="Arial" w:hAnsi="Arial"/>
                <w:sz w:val="14"/>
                <w:szCs w:val="14"/>
                <w:color w:val="auto"/>
              </w:rPr>
              <w:t>$  7,499,991</w:t>
            </w:r>
          </w:p>
        </w:tc>
        <w:tc>
          <w:tcPr>
            <w:tcW w:w="10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13,561,648</w:t>
            </w:r>
          </w:p>
        </w:tc>
        <w:tc>
          <w:tcPr>
            <w:tcW w:w="920" w:type="dxa"/>
            <w:vAlign w:val="bottom"/>
            <w:shd w:val="clear" w:color="auto" w:fill="CBCBCB"/>
          </w:tcPr>
          <w:p>
            <w:pPr>
              <w:jc w:val="right"/>
              <w:ind w:right="8"/>
              <w:spacing w:after="0"/>
              <w:rPr>
                <w:sz w:val="20"/>
                <w:szCs w:val="20"/>
                <w:color w:val="auto"/>
              </w:rPr>
            </w:pPr>
            <w:r>
              <w:rPr>
                <w:rFonts w:ascii="Arial" w:cs="Arial" w:eastAsia="Arial" w:hAnsi="Arial"/>
                <w:sz w:val="14"/>
                <w:szCs w:val="14"/>
                <w:color w:val="auto"/>
              </w:rPr>
              <w:t>$ 21,061,639</w:t>
            </w:r>
          </w:p>
        </w:tc>
        <w:tc>
          <w:tcPr>
            <w:tcW w:w="8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6,000,001</w:t>
            </w:r>
          </w:p>
        </w:tc>
        <w:tc>
          <w:tcPr>
            <w:tcW w:w="1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10,499,942</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$ 16,499,943</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$ 4,499,992</w:t>
            </w:r>
          </w:p>
        </w:tc>
        <w:tc>
          <w:tcPr>
            <w:tcW w:w="1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4,499,943</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  8,999,935</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David A. Zinsner</w:t>
            </w:r>
          </w:p>
        </w:tc>
        <w:tc>
          <w:tcPr>
            <w:tcW w:w="900" w:type="dxa"/>
            <w:vAlign w:val="bottom"/>
          </w:tcPr>
          <w:p>
            <w:pPr>
              <w:jc w:val="right"/>
              <w:spacing w:after="0"/>
              <w:rPr>
                <w:sz w:val="20"/>
                <w:szCs w:val="20"/>
                <w:color w:val="auto"/>
              </w:rPr>
            </w:pPr>
            <w:r>
              <w:rPr>
                <w:rFonts w:ascii="Arial" w:cs="Arial" w:eastAsia="Arial" w:hAnsi="Arial"/>
                <w:sz w:val="14"/>
                <w:szCs w:val="14"/>
                <w:color w:val="auto"/>
              </w:rPr>
              <w:t>2,000,010</w:t>
            </w:r>
          </w:p>
        </w:tc>
        <w:tc>
          <w:tcPr>
            <w:tcW w:w="1040" w:type="dxa"/>
            <w:vAlign w:val="bottom"/>
          </w:tcPr>
          <w:p>
            <w:pPr>
              <w:jc w:val="right"/>
              <w:spacing w:after="0"/>
              <w:rPr>
                <w:sz w:val="20"/>
                <w:szCs w:val="20"/>
                <w:color w:val="auto"/>
              </w:rPr>
            </w:pPr>
            <w:r>
              <w:rPr>
                <w:rFonts w:ascii="Arial" w:cs="Arial" w:eastAsia="Arial" w:hAnsi="Arial"/>
                <w:sz w:val="14"/>
                <w:szCs w:val="14"/>
                <w:color w:val="auto"/>
              </w:rPr>
              <w:t>3,616,464</w:t>
            </w:r>
          </w:p>
        </w:tc>
        <w:tc>
          <w:tcPr>
            <w:tcW w:w="920" w:type="dxa"/>
            <w:vAlign w:val="bottom"/>
          </w:tcPr>
          <w:p>
            <w:pPr>
              <w:jc w:val="right"/>
              <w:spacing w:after="0"/>
              <w:rPr>
                <w:sz w:val="20"/>
                <w:szCs w:val="20"/>
                <w:color w:val="auto"/>
              </w:rPr>
            </w:pPr>
            <w:r>
              <w:rPr>
                <w:rFonts w:ascii="Arial" w:cs="Arial" w:eastAsia="Arial" w:hAnsi="Arial"/>
                <w:sz w:val="14"/>
                <w:szCs w:val="14"/>
                <w:color w:val="auto"/>
              </w:rPr>
              <w:t>5,616,474</w:t>
            </w:r>
          </w:p>
        </w:tc>
        <w:tc>
          <w:tcPr>
            <w:tcW w:w="880" w:type="dxa"/>
            <w:vAlign w:val="bottom"/>
          </w:tcPr>
          <w:p>
            <w:pPr>
              <w:jc w:val="right"/>
              <w:spacing w:after="0"/>
              <w:rPr>
                <w:sz w:val="20"/>
                <w:szCs w:val="20"/>
                <w:color w:val="auto"/>
              </w:rPr>
            </w:pPr>
            <w:r>
              <w:rPr>
                <w:rFonts w:ascii="Arial" w:cs="Arial" w:eastAsia="Arial" w:hAnsi="Arial"/>
                <w:sz w:val="14"/>
                <w:szCs w:val="14"/>
                <w:color w:val="auto"/>
              </w:rPr>
              <w:t>1,499,979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2,625,056</w:t>
            </w:r>
          </w:p>
        </w:tc>
        <w:tc>
          <w:tcPr>
            <w:tcW w:w="900" w:type="dxa"/>
            <w:vAlign w:val="bottom"/>
          </w:tcPr>
          <w:p>
            <w:pPr>
              <w:jc w:val="right"/>
              <w:spacing w:after="0"/>
              <w:rPr>
                <w:sz w:val="20"/>
                <w:szCs w:val="20"/>
                <w:color w:val="auto"/>
              </w:rPr>
            </w:pPr>
            <w:r>
              <w:rPr>
                <w:rFonts w:ascii="Arial" w:cs="Arial" w:eastAsia="Arial" w:hAnsi="Arial"/>
                <w:sz w:val="14"/>
                <w:szCs w:val="14"/>
                <w:color w:val="auto"/>
              </w:rPr>
              <w:t>4,125,035</w:t>
            </w:r>
          </w:p>
        </w:tc>
        <w:tc>
          <w:tcPr>
            <w:tcW w:w="900" w:type="dxa"/>
            <w:vAlign w:val="bottom"/>
          </w:tcPr>
          <w:p>
            <w:pPr>
              <w:jc w:val="right"/>
              <w:spacing w:after="0"/>
              <w:rPr>
                <w:sz w:val="20"/>
                <w:szCs w:val="20"/>
                <w:color w:val="auto"/>
              </w:rPr>
            </w:pPr>
            <w:r>
              <w:rPr>
                <w:rFonts w:ascii="Arial" w:cs="Arial" w:eastAsia="Arial" w:hAnsi="Arial"/>
                <w:sz w:val="14"/>
                <w:szCs w:val="14"/>
                <w:color w:val="auto"/>
              </w:rPr>
              <w:t>2,124,998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2,124,998</w:t>
            </w:r>
          </w:p>
        </w:tc>
        <w:tc>
          <w:tcPr>
            <w:tcW w:w="0" w:type="dxa"/>
            <w:vAlign w:val="bottom"/>
          </w:tcPr>
          <w:p>
            <w:pPr>
              <w:spacing w:after="0"/>
              <w:rPr>
                <w:sz w:val="1"/>
                <w:szCs w:val="1"/>
                <w:color w:val="auto"/>
              </w:rPr>
            </w:pPr>
          </w:p>
        </w:tc>
      </w:tr>
      <w:tr>
        <w:trPr>
          <w:trHeight w:val="189"/>
        </w:trPr>
        <w:tc>
          <w:tcPr>
            <w:tcW w:w="2500" w:type="dxa"/>
            <w:vAlign w:val="bottom"/>
            <w:shd w:val="clear" w:color="auto" w:fill="CBCBCB"/>
          </w:tcPr>
          <w:p>
            <w:pPr>
              <w:ind w:left="20"/>
              <w:spacing w:after="0"/>
              <w:rPr>
                <w:sz w:val="20"/>
                <w:szCs w:val="20"/>
                <w:color w:val="auto"/>
              </w:rPr>
            </w:pPr>
            <w:r>
              <w:rPr>
                <w:rFonts w:ascii="Arial" w:cs="Arial" w:eastAsia="Arial" w:hAnsi="Arial"/>
                <w:sz w:val="14"/>
                <w:szCs w:val="14"/>
                <w:color w:val="auto"/>
              </w:rPr>
              <w:t>Manish Bhatia</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2,500,013</w:t>
            </w:r>
          </w:p>
        </w:tc>
        <w:tc>
          <w:tcPr>
            <w:tcW w:w="10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4,520,545</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7,020,558</w:t>
            </w:r>
          </w:p>
        </w:tc>
        <w:tc>
          <w:tcPr>
            <w:tcW w:w="8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1,900,008</w:t>
            </w:r>
          </w:p>
        </w:tc>
        <w:tc>
          <w:tcPr>
            <w:tcW w:w="120" w:type="dxa"/>
            <w:vAlign w:val="bottom"/>
            <w:shd w:val="clear" w:color="auto" w:fill="CBCBCB"/>
          </w:tcPr>
          <w:p>
            <w:pPr>
              <w:spacing w:after="0"/>
              <w:rPr>
                <w:sz w:val="16"/>
                <w:szCs w:val="16"/>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3,324,990</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5,224,998</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6,709,971</w:t>
            </w:r>
          </w:p>
        </w:tc>
        <w:tc>
          <w:tcPr>
            <w:tcW w:w="120" w:type="dxa"/>
            <w:vAlign w:val="bottom"/>
            <w:shd w:val="clear" w:color="auto" w:fill="CBCBCB"/>
          </w:tcPr>
          <w:p>
            <w:pPr>
              <w:spacing w:after="0"/>
              <w:rPr>
                <w:sz w:val="16"/>
                <w:szCs w:val="16"/>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1,710,089</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8,420,060</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Arial" w:cs="Arial" w:eastAsia="Arial" w:hAnsi="Arial"/>
                <w:sz w:val="14"/>
                <w:szCs w:val="14"/>
                <w:color w:val="auto"/>
              </w:rPr>
              <w:t>Scott J. DeBoer</w:t>
            </w:r>
          </w:p>
        </w:tc>
        <w:tc>
          <w:tcPr>
            <w:tcW w:w="900" w:type="dxa"/>
            <w:vAlign w:val="bottom"/>
          </w:tcPr>
          <w:p>
            <w:pPr>
              <w:jc w:val="right"/>
              <w:spacing w:after="0"/>
              <w:rPr>
                <w:sz w:val="20"/>
                <w:szCs w:val="20"/>
                <w:color w:val="auto"/>
              </w:rPr>
            </w:pPr>
            <w:r>
              <w:rPr>
                <w:rFonts w:ascii="Arial" w:cs="Arial" w:eastAsia="Arial" w:hAnsi="Arial"/>
                <w:sz w:val="14"/>
                <w:szCs w:val="14"/>
                <w:color w:val="auto"/>
              </w:rPr>
              <w:t>1,874,986</w:t>
            </w:r>
          </w:p>
        </w:tc>
        <w:tc>
          <w:tcPr>
            <w:tcW w:w="1040" w:type="dxa"/>
            <w:vAlign w:val="bottom"/>
          </w:tcPr>
          <w:p>
            <w:pPr>
              <w:jc w:val="right"/>
              <w:spacing w:after="0"/>
              <w:rPr>
                <w:sz w:val="20"/>
                <w:szCs w:val="20"/>
                <w:color w:val="auto"/>
              </w:rPr>
            </w:pPr>
            <w:r>
              <w:rPr>
                <w:rFonts w:ascii="Arial" w:cs="Arial" w:eastAsia="Arial" w:hAnsi="Arial"/>
                <w:sz w:val="14"/>
                <w:szCs w:val="14"/>
                <w:color w:val="auto"/>
              </w:rPr>
              <w:t>3,390,485</w:t>
            </w:r>
          </w:p>
        </w:tc>
        <w:tc>
          <w:tcPr>
            <w:tcW w:w="920" w:type="dxa"/>
            <w:vAlign w:val="bottom"/>
          </w:tcPr>
          <w:p>
            <w:pPr>
              <w:jc w:val="right"/>
              <w:spacing w:after="0"/>
              <w:rPr>
                <w:sz w:val="20"/>
                <w:szCs w:val="20"/>
                <w:color w:val="auto"/>
              </w:rPr>
            </w:pPr>
            <w:r>
              <w:rPr>
                <w:rFonts w:ascii="Arial" w:cs="Arial" w:eastAsia="Arial" w:hAnsi="Arial"/>
                <w:sz w:val="14"/>
                <w:szCs w:val="14"/>
                <w:color w:val="auto"/>
              </w:rPr>
              <w:t>5,265,471</w:t>
            </w:r>
          </w:p>
        </w:tc>
        <w:tc>
          <w:tcPr>
            <w:tcW w:w="880" w:type="dxa"/>
            <w:vAlign w:val="bottom"/>
          </w:tcPr>
          <w:p>
            <w:pPr>
              <w:jc w:val="right"/>
              <w:spacing w:after="0"/>
              <w:rPr>
                <w:sz w:val="20"/>
                <w:szCs w:val="20"/>
                <w:color w:val="auto"/>
              </w:rPr>
            </w:pPr>
            <w:r>
              <w:rPr>
                <w:rFonts w:ascii="Arial" w:cs="Arial" w:eastAsia="Arial" w:hAnsi="Arial"/>
                <w:sz w:val="14"/>
                <w:szCs w:val="14"/>
                <w:color w:val="auto"/>
              </w:rPr>
              <w:t>1,499,979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2,625,056</w:t>
            </w:r>
          </w:p>
        </w:tc>
        <w:tc>
          <w:tcPr>
            <w:tcW w:w="900" w:type="dxa"/>
            <w:vAlign w:val="bottom"/>
          </w:tcPr>
          <w:p>
            <w:pPr>
              <w:jc w:val="right"/>
              <w:spacing w:after="0"/>
              <w:rPr>
                <w:sz w:val="20"/>
                <w:szCs w:val="20"/>
                <w:color w:val="auto"/>
              </w:rPr>
            </w:pPr>
            <w:r>
              <w:rPr>
                <w:rFonts w:ascii="Arial" w:cs="Arial" w:eastAsia="Arial" w:hAnsi="Arial"/>
                <w:sz w:val="14"/>
                <w:szCs w:val="14"/>
                <w:color w:val="auto"/>
              </w:rPr>
              <w:t>4,125,035</w:t>
            </w:r>
          </w:p>
        </w:tc>
        <w:tc>
          <w:tcPr>
            <w:tcW w:w="900" w:type="dxa"/>
            <w:vAlign w:val="bottom"/>
          </w:tcPr>
          <w:p>
            <w:pPr>
              <w:jc w:val="right"/>
              <w:spacing w:after="0"/>
              <w:rPr>
                <w:sz w:val="20"/>
                <w:szCs w:val="20"/>
                <w:color w:val="auto"/>
              </w:rPr>
            </w:pPr>
            <w:r>
              <w:rPr>
                <w:rFonts w:ascii="Arial" w:cs="Arial" w:eastAsia="Arial" w:hAnsi="Arial"/>
                <w:sz w:val="14"/>
                <w:szCs w:val="14"/>
                <w:color w:val="auto"/>
              </w:rPr>
              <w:t>1,124,988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1,125,082</w:t>
            </w:r>
          </w:p>
        </w:tc>
        <w:tc>
          <w:tcPr>
            <w:tcW w:w="920" w:type="dxa"/>
            <w:vAlign w:val="bottom"/>
          </w:tcPr>
          <w:p>
            <w:pPr>
              <w:jc w:val="right"/>
              <w:spacing w:after="0"/>
              <w:rPr>
                <w:sz w:val="20"/>
                <w:szCs w:val="20"/>
                <w:color w:val="auto"/>
              </w:rPr>
            </w:pPr>
            <w:r>
              <w:rPr>
                <w:rFonts w:ascii="Arial" w:cs="Arial" w:eastAsia="Arial" w:hAnsi="Arial"/>
                <w:sz w:val="14"/>
                <w:szCs w:val="14"/>
                <w:color w:val="auto"/>
              </w:rPr>
              <w:t>2,250,070</w:t>
            </w:r>
          </w:p>
        </w:tc>
        <w:tc>
          <w:tcPr>
            <w:tcW w:w="0" w:type="dxa"/>
            <w:vAlign w:val="bottom"/>
          </w:tcPr>
          <w:p>
            <w:pPr>
              <w:spacing w:after="0"/>
              <w:rPr>
                <w:sz w:val="1"/>
                <w:szCs w:val="1"/>
                <w:color w:val="auto"/>
              </w:rPr>
            </w:pPr>
          </w:p>
        </w:tc>
      </w:tr>
      <w:tr>
        <w:trPr>
          <w:trHeight w:val="189"/>
        </w:trPr>
        <w:tc>
          <w:tcPr>
            <w:tcW w:w="2500" w:type="dxa"/>
            <w:vAlign w:val="bottom"/>
            <w:shd w:val="clear" w:color="auto" w:fill="CBCBCB"/>
          </w:tcPr>
          <w:p>
            <w:pPr>
              <w:ind w:left="20"/>
              <w:spacing w:after="0"/>
              <w:rPr>
                <w:sz w:val="20"/>
                <w:szCs w:val="20"/>
                <w:color w:val="auto"/>
              </w:rPr>
            </w:pPr>
            <w:r>
              <w:rPr>
                <w:rFonts w:ascii="Arial" w:cs="Arial" w:eastAsia="Arial" w:hAnsi="Arial"/>
                <w:sz w:val="14"/>
                <w:szCs w:val="14"/>
                <w:color w:val="auto"/>
              </w:rPr>
              <w:t>Sumit Sadana</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2,750,014</w:t>
            </w:r>
          </w:p>
        </w:tc>
        <w:tc>
          <w:tcPr>
            <w:tcW w:w="10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4,972,609</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7,722,623</w:t>
            </w:r>
          </w:p>
        </w:tc>
        <w:tc>
          <w:tcPr>
            <w:tcW w:w="8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2,199,986</w:t>
            </w:r>
          </w:p>
        </w:tc>
        <w:tc>
          <w:tcPr>
            <w:tcW w:w="120" w:type="dxa"/>
            <w:vAlign w:val="bottom"/>
            <w:shd w:val="clear" w:color="auto" w:fill="CBCBCB"/>
          </w:tcPr>
          <w:p>
            <w:pPr>
              <w:spacing w:after="0"/>
              <w:rPr>
                <w:sz w:val="16"/>
                <w:szCs w:val="16"/>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3,849,962</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6,049,948</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1,800,005</w:t>
            </w:r>
          </w:p>
        </w:tc>
        <w:tc>
          <w:tcPr>
            <w:tcW w:w="120" w:type="dxa"/>
            <w:vAlign w:val="bottom"/>
            <w:shd w:val="clear" w:color="auto" w:fill="CBCBCB"/>
          </w:tcPr>
          <w:p>
            <w:pPr>
              <w:spacing w:after="0"/>
              <w:rPr>
                <w:sz w:val="16"/>
                <w:szCs w:val="16"/>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1,799,900</w:t>
            </w:r>
          </w:p>
        </w:tc>
        <w:tc>
          <w:tcPr>
            <w:tcW w:w="92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3,599,905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13" w:right="339" w:bottom="1440" w:gutter="0" w:footer="0" w:header="0"/>
        </w:sectPr>
      </w:pPr>
    </w:p>
    <w:bookmarkStart w:id="54" w:name="page55"/>
    <w:bookmarkEnd w:id="54"/>
    <w:p>
      <w:pPr>
        <w:ind w:left="340" w:right="540" w:hanging="332"/>
        <w:spacing w:after="0" w:line="292"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Zinsner’s amount in fiscal 2018 includes $999,986 for his new hire equity awards in the form of time-based restricted stock. Mr. Bhatia’s amount in fiscal 2018 includes $4,999,985 for his new hire equity awards in the form of time-based restricted stock.</w:t>
      </w:r>
    </w:p>
    <w:p>
      <w:pPr>
        <w:spacing w:after="0" w:line="171" w:lineRule="exact"/>
        <w:rPr>
          <w:rFonts w:ascii="Arial" w:cs="Arial" w:eastAsia="Arial" w:hAnsi="Arial"/>
          <w:sz w:val="18"/>
          <w:szCs w:val="18"/>
          <w:color w:val="auto"/>
        </w:rPr>
      </w:pPr>
    </w:p>
    <w:p>
      <w:pPr>
        <w:ind w:left="340" w:right="460" w:hanging="332"/>
        <w:spacing w:after="0" w:line="271"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Assumptions used in determining the grant-date fair values of option awards are set forth in the “Equity Plans” note to the financial statements included in our annual reports on Form 10-K for fiscal years 2020, 2019, and 2018, which note is incorporated herein by reference.</w:t>
      </w:r>
    </w:p>
    <w:p>
      <w:pPr>
        <w:spacing w:after="0" w:line="189"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Zinsner’s amount in fiscal 2018 includes $999,992 for his new hire equity awards.</w:t>
      </w:r>
    </w:p>
    <w:p>
      <w:pPr>
        <w:spacing w:after="0" w:line="252" w:lineRule="exact"/>
        <w:rPr>
          <w:rFonts w:ascii="Arial" w:cs="Arial" w:eastAsia="Arial" w:hAnsi="Arial"/>
          <w:sz w:val="18"/>
          <w:szCs w:val="18"/>
          <w:color w:val="auto"/>
        </w:rPr>
      </w:pPr>
    </w:p>
    <w:p>
      <w:pPr>
        <w:ind w:left="340" w:right="680" w:hanging="332"/>
        <w:spacing w:after="0" w:line="292"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shown for each of the Named Executive Officers were paid pursuant to the EIP and relate to the achievement of certain performance milestones.</w:t>
      </w:r>
    </w:p>
    <w:p>
      <w:pPr>
        <w:spacing w:after="0" w:line="171" w:lineRule="exact"/>
        <w:rPr>
          <w:rFonts w:ascii="Arial" w:cs="Arial" w:eastAsia="Arial" w:hAnsi="Arial"/>
          <w:sz w:val="18"/>
          <w:szCs w:val="18"/>
          <w:color w:val="auto"/>
        </w:rPr>
      </w:pPr>
    </w:p>
    <w:p>
      <w:pPr>
        <w:ind w:left="340" w:right="120" w:hanging="332"/>
        <w:spacing w:after="0" w:line="253" w:lineRule="auto"/>
        <w:tabs>
          <w:tab w:leader="none" w:pos="3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2020, $14,250 was contributed for each of Messrs. Mehrotra, Zinsner, Bhatia, DeBoer, and Sadana. Includes matching contributions paid by us pursuant to our Health Savings Account in fiscal 2020 for Mr. DeBoer in the amount of $1,200. The amounts for Mr. Bhatia include payments related to his overseas assignment in Singapore, including any tax equalization payments. Employees who participate in our expatriate programs are responsible for substantially the same income tax liability as they would have been had they worked exclusively in the United States. Each expatriate employee is responsible for a hypothetical U.S. income tax liability based on an estimate of their anticipated U.S. income tax liability on their stay-at-home income, and we are responsible for income tax liabilities associated with the assignment or host country taxes, as applicable, and any additional taxes attributed to the international assignment. To the extent that tax years differ from the fiscal year in which the compensation was earned that gave rise to the expatriates’ income tax liability, or in the case that we have not reached the end of the tax year, the amount of tax equalization has been estimated. Accordingly, the amount presented for 2019 for Mr. Bhatia includes an adjustment to reflect actual and/or revised estimates based on additional information received in 2020. We estimate that Mr. Bhatia received or will receive no net benefit from tax equalization in 2020, 2019, and 2018 because his hypothetical U.S. tax exceeded his actual and/or estimated global (U.S. and international) taxes in each year.</w:t>
      </w:r>
    </w:p>
    <w:p>
      <w:pPr>
        <w:spacing w:after="0" w:line="21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All Other Compensation for fiscal 2020 also included the following for each of the Named Executive Officers:</w:t>
      </w:r>
    </w:p>
    <w:p>
      <w:pPr>
        <w:spacing w:after="0" w:line="252" w:lineRule="exact"/>
        <w:rPr>
          <w:rFonts w:ascii="Arial" w:cs="Arial" w:eastAsia="Arial" w:hAnsi="Arial"/>
          <w:sz w:val="18"/>
          <w:szCs w:val="18"/>
          <w:color w:val="auto"/>
        </w:rPr>
      </w:pPr>
    </w:p>
    <w:p>
      <w:pPr>
        <w:ind w:left="660" w:right="320" w:hanging="328"/>
        <w:spacing w:after="0" w:line="271" w:lineRule="auto"/>
        <w:tabs>
          <w:tab w:leader="none" w:pos="6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Amount for Mr. Mehrotra includes $20,769 for the compensation associated with his donation of his accrued vacation pay to a charitable organization in connection with one of the Company’s COVID-19 relief efforts and $232 for a reimbursement of federal, state, and other income taxes resulting from imputed income related to his commuting expenses.</w:t>
      </w:r>
    </w:p>
    <w:p>
      <w:pPr>
        <w:spacing w:after="0" w:line="189" w:lineRule="exact"/>
        <w:rPr>
          <w:rFonts w:ascii="Arial" w:cs="Arial" w:eastAsia="Arial" w:hAnsi="Arial"/>
          <w:sz w:val="18"/>
          <w:szCs w:val="18"/>
          <w:color w:val="auto"/>
        </w:rPr>
      </w:pPr>
    </w:p>
    <w:p>
      <w:pPr>
        <w:ind w:left="660" w:right="140" w:hanging="328"/>
        <w:spacing w:after="0" w:line="292" w:lineRule="auto"/>
        <w:tabs>
          <w:tab w:leader="none" w:pos="6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Amount for Mr. DeBoer includes $437 for a reimbursement of federal, state, and other income taxes from imputed income related to a non-cash service award.</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Amount for Mr. Zinsner includes $2,546 for the compensation associated with his donation of his accrued vacation pay to a charitable organization in connection with one of the Company’s COVID-19 relief efforts and $269 for a reimbursement of federal, state, and other income taxes from imputed income related to a gift from the company.</w:t>
      </w:r>
    </w:p>
    <w:p>
      <w:pPr>
        <w:spacing w:after="0" w:line="189" w:lineRule="exact"/>
        <w:rPr>
          <w:rFonts w:ascii="Arial" w:cs="Arial" w:eastAsia="Arial" w:hAnsi="Arial"/>
          <w:sz w:val="18"/>
          <w:szCs w:val="18"/>
          <w:color w:val="auto"/>
        </w:rPr>
      </w:pPr>
    </w:p>
    <w:p>
      <w:pPr>
        <w:ind w:left="660" w:right="580" w:hanging="328"/>
        <w:spacing w:after="0" w:line="292" w:lineRule="auto"/>
        <w:tabs>
          <w:tab w:leader="none" w:pos="6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Amount for Mr. Bhatia includes $81,947 for cash-payment allowances to Mr. Bhatia associated with his expatriate assignment, $293,635 in housing expenses, $69,132 in education assistance, and $124,821 in miscellaneous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47</w:t>
      </w:r>
    </w:p>
    <w:p>
      <w:pPr>
        <w:sectPr>
          <w:pgSz w:w="11900" w:h="16838" w:orient="portrait"/>
          <w:cols w:equalWidth="0" w:num="1">
            <w:col w:w="11240"/>
          </w:cols>
          <w:pgMar w:left="320" w:top="1170" w:right="339" w:bottom="1440" w:gutter="0" w:footer="0" w:header="0"/>
        </w:sectPr>
      </w:pPr>
    </w:p>
    <w:bookmarkStart w:id="55" w:name="page56"/>
    <w:bookmarkEnd w:id="55"/>
    <w:p>
      <w:pPr>
        <w:spacing w:after="0"/>
        <w:rPr>
          <w:sz w:val="20"/>
          <w:szCs w:val="20"/>
          <w:color w:val="auto"/>
        </w:rPr>
      </w:pPr>
      <w:r>
        <w:rPr>
          <w:rFonts w:ascii="Arial" w:cs="Arial" w:eastAsia="Arial" w:hAnsi="Arial"/>
          <w:sz w:val="40"/>
          <w:szCs w:val="40"/>
          <w:b w:val="1"/>
          <w:bCs w:val="1"/>
          <w:color w:val="auto"/>
        </w:rPr>
        <w:t>GRANTS OF PLAN-BASED AWARDS IN FISCAL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All Other Stock</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Estimated Future Payouts under</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5"/>
                <w:szCs w:val="5"/>
                <w:color w:val="auto"/>
              </w:rPr>
            </w:pPr>
          </w:p>
        </w:tc>
        <w:tc>
          <w:tcPr>
            <w:tcW w:w="11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94"/>
        </w:trPr>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0" w:type="dxa"/>
            <w:vAlign w:val="bottom"/>
            <w:gridSpan w:val="3"/>
            <w:vMerge w:val="restart"/>
          </w:tcPr>
          <w:p>
            <w:pPr>
              <w:jc w:val="right"/>
              <w:ind w:right="539"/>
              <w:spacing w:after="0" w:line="162" w:lineRule="exact"/>
              <w:rPr>
                <w:sz w:val="20"/>
                <w:szCs w:val="20"/>
                <w:color w:val="auto"/>
              </w:rPr>
            </w:pPr>
            <w:r>
              <w:rPr>
                <w:rFonts w:ascii="Arial" w:cs="Arial" w:eastAsia="Arial" w:hAnsi="Arial"/>
                <w:sz w:val="16"/>
                <w:szCs w:val="16"/>
                <w:b w:val="1"/>
                <w:bCs w:val="1"/>
                <w:color w:val="auto"/>
              </w:rPr>
              <w:t>Non-Equity Incentive</w:t>
            </w:r>
          </w:p>
        </w:tc>
        <w:tc>
          <w:tcPr>
            <w:tcW w:w="2760" w:type="dxa"/>
            <w:vAlign w:val="bottom"/>
            <w:gridSpan w:val="3"/>
            <w:vMerge w:val="restart"/>
          </w:tcPr>
          <w:p>
            <w:pPr>
              <w:jc w:val="center"/>
              <w:spacing w:after="0" w:line="162" w:lineRule="exact"/>
              <w:rPr>
                <w:sz w:val="20"/>
                <w:szCs w:val="20"/>
                <w:color w:val="auto"/>
              </w:rPr>
            </w:pPr>
            <w:r>
              <w:rPr>
                <w:rFonts w:ascii="Arial" w:cs="Arial" w:eastAsia="Arial" w:hAnsi="Arial"/>
                <w:sz w:val="16"/>
                <w:szCs w:val="16"/>
                <w:b w:val="1"/>
                <w:bCs w:val="1"/>
                <w:color w:val="auto"/>
              </w:rPr>
              <w:t>Estimated Future Payouts under</w:t>
            </w: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0" w:type="dxa"/>
            <w:vAlign w:val="bottom"/>
            <w:gridSpan w:val="3"/>
            <w:vMerge w:val="continue"/>
          </w:tcPr>
          <w:p>
            <w:pPr>
              <w:spacing w:after="0"/>
              <w:rPr>
                <w:sz w:val="5"/>
                <w:szCs w:val="5"/>
                <w:color w:val="auto"/>
              </w:rPr>
            </w:pPr>
          </w:p>
        </w:tc>
        <w:tc>
          <w:tcPr>
            <w:tcW w:w="2760" w:type="dxa"/>
            <w:vAlign w:val="bottom"/>
            <w:gridSpan w:val="3"/>
            <w:vMerge w:val="continue"/>
          </w:tcPr>
          <w:p>
            <w:pPr>
              <w:spacing w:after="0"/>
              <w:rPr>
                <w:sz w:val="5"/>
                <w:szCs w:val="5"/>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Shares of</w:t>
            </w:r>
          </w:p>
        </w:tc>
        <w:tc>
          <w:tcPr>
            <w:tcW w:w="180" w:type="dxa"/>
            <w:vAlign w:val="bottom"/>
          </w:tcPr>
          <w:p>
            <w:pPr>
              <w:spacing w:after="0"/>
              <w:rPr>
                <w:sz w:val="5"/>
                <w:szCs w:val="5"/>
                <w:color w:val="auto"/>
              </w:rPr>
            </w:pPr>
          </w:p>
        </w:tc>
        <w:tc>
          <w:tcPr>
            <w:tcW w:w="112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Plan Awards(1)</w:t>
            </w:r>
          </w:p>
        </w:tc>
        <w:tc>
          <w:tcPr>
            <w:tcW w:w="27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Equity Incentive Plan Awards(2)</w:t>
            </w:r>
          </w:p>
        </w:tc>
        <w:tc>
          <w:tcPr>
            <w:tcW w:w="1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0" w:type="dxa"/>
            <w:vAlign w:val="bottom"/>
            <w:tcBorders>
              <w:bottom w:val="single" w:sz="8" w:color="0090DA"/>
            </w:tcBorders>
            <w:gridSpan w:val="3"/>
            <w:vMerge w:val="continue"/>
          </w:tcPr>
          <w:p>
            <w:pPr>
              <w:spacing w:after="0"/>
              <w:rPr>
                <w:sz w:val="10"/>
                <w:szCs w:val="10"/>
                <w:color w:val="auto"/>
              </w:rPr>
            </w:pPr>
          </w:p>
        </w:tc>
        <w:tc>
          <w:tcPr>
            <w:tcW w:w="2760" w:type="dxa"/>
            <w:vAlign w:val="bottom"/>
            <w:tcBorders>
              <w:bottom w:val="single" w:sz="8" w:color="0090DA"/>
            </w:tcBorders>
            <w:gridSpan w:val="3"/>
            <w:vMerge w:val="continue"/>
          </w:tcPr>
          <w:p>
            <w:pPr>
              <w:spacing w:after="0"/>
              <w:rPr>
                <w:sz w:val="10"/>
                <w:szCs w:val="10"/>
                <w:color w:val="auto"/>
              </w:rPr>
            </w:pPr>
          </w:p>
        </w:tc>
        <w:tc>
          <w:tcPr>
            <w:tcW w:w="12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Stock or</w:t>
            </w:r>
          </w:p>
        </w:tc>
        <w:tc>
          <w:tcPr>
            <w:tcW w:w="180" w:type="dxa"/>
            <w:vAlign w:val="bottom"/>
          </w:tcPr>
          <w:p>
            <w:pPr>
              <w:spacing w:after="0"/>
              <w:rPr>
                <w:sz w:val="10"/>
                <w:szCs w:val="10"/>
                <w:color w:val="auto"/>
              </w:rPr>
            </w:pPr>
          </w:p>
        </w:tc>
        <w:tc>
          <w:tcPr>
            <w:tcW w:w="112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rPr>
              <w:t>of Stock (or</w:t>
            </w:r>
          </w:p>
        </w:tc>
        <w:tc>
          <w:tcPr>
            <w:tcW w:w="0" w:type="dxa"/>
            <w:vAlign w:val="bottom"/>
          </w:tcPr>
          <w:p>
            <w:pPr>
              <w:spacing w:after="0"/>
              <w:rPr>
                <w:sz w:val="1"/>
                <w:szCs w:val="1"/>
                <w:color w:val="auto"/>
              </w:rPr>
            </w:pPr>
          </w:p>
        </w:tc>
      </w:tr>
      <w:tr>
        <w:trPr>
          <w:trHeight w:val="21"/>
        </w:trPr>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Grant Date</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Threshold</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Target</w:t>
            </w:r>
          </w:p>
        </w:tc>
        <w:tc>
          <w:tcPr>
            <w:tcW w:w="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Threshold</w:t>
            </w:r>
          </w:p>
        </w:tc>
        <w:tc>
          <w:tcPr>
            <w:tcW w:w="94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8"/>
              </w:rPr>
              <w:t>Target</w:t>
            </w:r>
          </w:p>
        </w:tc>
        <w:tc>
          <w:tcPr>
            <w:tcW w:w="8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Max</w:t>
            </w:r>
          </w:p>
        </w:tc>
        <w:tc>
          <w:tcPr>
            <w:tcW w:w="12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tcBorders>
              <w:bottom w:val="single" w:sz="8" w:color="0090DA"/>
            </w:tcBorders>
            <w:vMerge w:val="continue"/>
          </w:tcPr>
          <w:p>
            <w:pPr>
              <w:spacing w:after="0"/>
              <w:rPr>
                <w:sz w:val="18"/>
                <w:szCs w:val="18"/>
                <w:color w:val="auto"/>
              </w:rPr>
            </w:pPr>
          </w:p>
        </w:tc>
        <w:tc>
          <w:tcPr>
            <w:tcW w:w="980" w:type="dxa"/>
            <w:vAlign w:val="bottom"/>
            <w:tcBorders>
              <w:bottom w:val="single" w:sz="8" w:color="0090DA"/>
            </w:tcBorders>
            <w:vMerge w:val="continue"/>
          </w:tcPr>
          <w:p>
            <w:pPr>
              <w:spacing w:after="0"/>
              <w:rPr>
                <w:sz w:val="18"/>
                <w:szCs w:val="18"/>
                <w:color w:val="auto"/>
              </w:rPr>
            </w:pPr>
          </w:p>
        </w:tc>
        <w:tc>
          <w:tcPr>
            <w:tcW w:w="920" w:type="dxa"/>
            <w:vAlign w:val="bottom"/>
            <w:tcBorders>
              <w:bottom w:val="single" w:sz="8" w:color="0090DA"/>
            </w:tcBorders>
            <w:vMerge w:val="continue"/>
          </w:tcPr>
          <w:p>
            <w:pPr>
              <w:spacing w:after="0"/>
              <w:rPr>
                <w:sz w:val="18"/>
                <w:szCs w:val="18"/>
                <w:color w:val="auto"/>
              </w:rPr>
            </w:pPr>
          </w:p>
        </w:tc>
        <w:tc>
          <w:tcPr>
            <w:tcW w:w="920" w:type="dxa"/>
            <w:vAlign w:val="bottom"/>
            <w:tcBorders>
              <w:bottom w:val="single" w:sz="8" w:color="0090DA"/>
            </w:tcBorders>
            <w:vMerge w:val="continue"/>
          </w:tcPr>
          <w:p>
            <w:pPr>
              <w:spacing w:after="0"/>
              <w:rPr>
                <w:sz w:val="18"/>
                <w:szCs w:val="18"/>
                <w:color w:val="auto"/>
              </w:rPr>
            </w:pPr>
          </w:p>
        </w:tc>
        <w:tc>
          <w:tcPr>
            <w:tcW w:w="960" w:type="dxa"/>
            <w:vAlign w:val="bottom"/>
            <w:tcBorders>
              <w:bottom w:val="single" w:sz="8" w:color="0090DA"/>
            </w:tcBorders>
            <w:vMerge w:val="continue"/>
          </w:tcPr>
          <w:p>
            <w:pPr>
              <w:spacing w:after="0"/>
              <w:rPr>
                <w:sz w:val="18"/>
                <w:szCs w:val="18"/>
                <w:color w:val="auto"/>
              </w:rPr>
            </w:pPr>
          </w:p>
        </w:tc>
        <w:tc>
          <w:tcPr>
            <w:tcW w:w="1000" w:type="dxa"/>
            <w:vAlign w:val="bottom"/>
            <w:tcBorders>
              <w:bottom w:val="single" w:sz="8" w:color="0090DA"/>
            </w:tcBorders>
            <w:vMerge w:val="continue"/>
          </w:tcPr>
          <w:p>
            <w:pPr>
              <w:spacing w:after="0"/>
              <w:rPr>
                <w:sz w:val="18"/>
                <w:szCs w:val="18"/>
                <w:color w:val="auto"/>
              </w:rPr>
            </w:pPr>
          </w:p>
        </w:tc>
        <w:tc>
          <w:tcPr>
            <w:tcW w:w="940" w:type="dxa"/>
            <w:vAlign w:val="bottom"/>
            <w:tcBorders>
              <w:bottom w:val="single" w:sz="8" w:color="0090DA"/>
            </w:tcBorders>
            <w:vMerge w:val="continue"/>
          </w:tcPr>
          <w:p>
            <w:pPr>
              <w:spacing w:after="0"/>
              <w:rPr>
                <w:sz w:val="18"/>
                <w:szCs w:val="18"/>
                <w:color w:val="auto"/>
              </w:rPr>
            </w:pPr>
          </w:p>
        </w:tc>
        <w:tc>
          <w:tcPr>
            <w:tcW w:w="820" w:type="dxa"/>
            <w:vAlign w:val="bottom"/>
            <w:tcBorders>
              <w:bottom w:val="single" w:sz="8" w:color="0090DA"/>
            </w:tcBorders>
            <w:vMerge w:val="continue"/>
          </w:tcPr>
          <w:p>
            <w:pPr>
              <w:spacing w:after="0"/>
              <w:rPr>
                <w:sz w:val="18"/>
                <w:szCs w:val="18"/>
                <w:color w:val="auto"/>
              </w:rPr>
            </w:pPr>
          </w:p>
        </w:tc>
        <w:tc>
          <w:tcPr>
            <w:tcW w:w="12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Units(3)</w:t>
            </w:r>
          </w:p>
        </w:tc>
        <w:tc>
          <w:tcPr>
            <w:tcW w:w="18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rPr>
              <w:t>Units)(4)</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Sanjay Mehrotra</w:t>
            </w:r>
          </w:p>
        </w:tc>
        <w:tc>
          <w:tcPr>
            <w:tcW w:w="190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NA $ 1,350,000</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$ 2,700,000</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$ 5,400,000</w:t>
            </w: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jc w:val="right"/>
              <w:ind w:right="79"/>
              <w:spacing w:after="0"/>
              <w:rPr>
                <w:sz w:val="20"/>
                <w:szCs w:val="20"/>
                <w:color w:val="auto"/>
              </w:rPr>
            </w:pPr>
            <w:r>
              <w:rPr>
                <w:rFonts w:ascii="Arial" w:cs="Arial" w:eastAsia="Arial" w:hAnsi="Arial"/>
                <w:sz w:val="16"/>
                <w:szCs w:val="16"/>
                <w:color w:val="auto"/>
              </w:rPr>
              <w:t>36,248</w:t>
            </w:r>
          </w:p>
        </w:tc>
        <w:tc>
          <w:tcPr>
            <w:tcW w:w="94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rPr>
              <w:t>144,993</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289,986</w:t>
            </w: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7,499,997</w:t>
            </w: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161,429</w:t>
            </w: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7,499,991</w:t>
            </w:r>
          </w:p>
        </w:tc>
        <w:tc>
          <w:tcPr>
            <w:tcW w:w="0" w:type="dxa"/>
            <w:vAlign w:val="bottom"/>
          </w:tcPr>
          <w:p>
            <w:pPr>
              <w:spacing w:after="0"/>
              <w:rPr>
                <w:sz w:val="1"/>
                <w:szCs w:val="1"/>
                <w:color w:val="auto"/>
              </w:rPr>
            </w:pPr>
          </w:p>
        </w:tc>
      </w:tr>
      <w:tr>
        <w:trPr>
          <w:trHeight w:val="211"/>
        </w:trPr>
        <w:tc>
          <w:tcPr>
            <w:tcW w:w="2140" w:type="dxa"/>
            <w:vAlign w:val="bottom"/>
          </w:tcPr>
          <w:p>
            <w:pPr>
              <w:ind w:left="20"/>
              <w:spacing w:after="0"/>
              <w:rPr>
                <w:sz w:val="20"/>
                <w:szCs w:val="20"/>
                <w:color w:val="auto"/>
              </w:rPr>
            </w:pPr>
            <w:r>
              <w:rPr>
                <w:rFonts w:ascii="Arial" w:cs="Arial" w:eastAsia="Arial" w:hAnsi="Arial"/>
                <w:sz w:val="16"/>
                <w:szCs w:val="16"/>
                <w:color w:val="auto"/>
              </w:rPr>
              <w:t>David A. Zinsner</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331,000</w:t>
            </w:r>
          </w:p>
        </w:tc>
        <w:tc>
          <w:tcPr>
            <w:tcW w:w="920" w:type="dxa"/>
            <w:vAlign w:val="bottom"/>
          </w:tcPr>
          <w:p>
            <w:pPr>
              <w:jc w:val="right"/>
              <w:spacing w:after="0"/>
              <w:rPr>
                <w:sz w:val="20"/>
                <w:szCs w:val="20"/>
                <w:color w:val="auto"/>
              </w:rPr>
            </w:pPr>
            <w:r>
              <w:rPr>
                <w:rFonts w:ascii="Arial" w:cs="Arial" w:eastAsia="Arial" w:hAnsi="Arial"/>
                <w:sz w:val="16"/>
                <w:szCs w:val="16"/>
                <w:color w:val="auto"/>
              </w:rPr>
              <w:t>662,000</w:t>
            </w:r>
          </w:p>
        </w:tc>
        <w:tc>
          <w:tcPr>
            <w:tcW w:w="960" w:type="dxa"/>
            <w:vAlign w:val="bottom"/>
          </w:tcPr>
          <w:p>
            <w:pPr>
              <w:jc w:val="right"/>
              <w:spacing w:after="0"/>
              <w:rPr>
                <w:sz w:val="20"/>
                <w:szCs w:val="20"/>
                <w:color w:val="auto"/>
              </w:rPr>
            </w:pPr>
            <w:r>
              <w:rPr>
                <w:rFonts w:ascii="Arial" w:cs="Arial" w:eastAsia="Arial" w:hAnsi="Arial"/>
                <w:sz w:val="16"/>
                <w:szCs w:val="16"/>
                <w:color w:val="auto"/>
              </w:rPr>
              <w:t>1,324,000</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9,666</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38,665</w:t>
            </w:r>
          </w:p>
        </w:tc>
        <w:tc>
          <w:tcPr>
            <w:tcW w:w="820" w:type="dxa"/>
            <w:vAlign w:val="bottom"/>
          </w:tcPr>
          <w:p>
            <w:pPr>
              <w:jc w:val="right"/>
              <w:spacing w:after="0"/>
              <w:rPr>
                <w:sz w:val="20"/>
                <w:szCs w:val="20"/>
                <w:color w:val="auto"/>
              </w:rPr>
            </w:pPr>
            <w:r>
              <w:rPr>
                <w:rFonts w:ascii="Arial" w:cs="Arial" w:eastAsia="Arial" w:hAnsi="Arial"/>
                <w:sz w:val="16"/>
                <w:szCs w:val="16"/>
                <w:color w:val="auto"/>
              </w:rPr>
              <w:t>77,330</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2,000,011</w:t>
            </w: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43,048</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2,000,010</w:t>
            </w:r>
          </w:p>
        </w:tc>
        <w:tc>
          <w:tcPr>
            <w:tcW w:w="0" w:type="dxa"/>
            <w:vAlign w:val="bottom"/>
          </w:tcPr>
          <w:p>
            <w:pPr>
              <w:spacing w:after="0"/>
              <w:rPr>
                <w:sz w:val="1"/>
                <w:szCs w:val="1"/>
                <w:color w:val="auto"/>
              </w:rPr>
            </w:pPr>
          </w:p>
        </w:tc>
      </w:tr>
      <w:tr>
        <w:trPr>
          <w:trHeight w:val="217"/>
        </w:trPr>
        <w:tc>
          <w:tcPr>
            <w:tcW w:w="2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Manish Bhatia</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347,500</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695,000</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1,390,000</w:t>
            </w: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jc w:val="right"/>
              <w:ind w:right="79"/>
              <w:spacing w:after="0"/>
              <w:rPr>
                <w:sz w:val="20"/>
                <w:szCs w:val="20"/>
                <w:color w:val="auto"/>
              </w:rPr>
            </w:pPr>
            <w:r>
              <w:rPr>
                <w:rFonts w:ascii="Arial" w:cs="Arial" w:eastAsia="Arial" w:hAnsi="Arial"/>
                <w:sz w:val="16"/>
                <w:szCs w:val="16"/>
                <w:color w:val="auto"/>
              </w:rPr>
              <w:t>12,083</w:t>
            </w:r>
          </w:p>
        </w:tc>
        <w:tc>
          <w:tcPr>
            <w:tcW w:w="94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rPr>
              <w:t>48,331</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96,662</w:t>
            </w: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2,499,999</w:t>
            </w: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53,810</w:t>
            </w: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2,500,013</w:t>
            </w:r>
          </w:p>
        </w:tc>
        <w:tc>
          <w:tcPr>
            <w:tcW w:w="0" w:type="dxa"/>
            <w:vAlign w:val="bottom"/>
          </w:tcPr>
          <w:p>
            <w:pPr>
              <w:spacing w:after="0"/>
              <w:rPr>
                <w:sz w:val="1"/>
                <w:szCs w:val="1"/>
                <w:color w:val="auto"/>
              </w:rPr>
            </w:pPr>
          </w:p>
        </w:tc>
      </w:tr>
      <w:tr>
        <w:trPr>
          <w:trHeight w:val="211"/>
        </w:trPr>
        <w:tc>
          <w:tcPr>
            <w:tcW w:w="2140" w:type="dxa"/>
            <w:vAlign w:val="bottom"/>
          </w:tcPr>
          <w:p>
            <w:pPr>
              <w:ind w:left="20"/>
              <w:spacing w:after="0"/>
              <w:rPr>
                <w:sz w:val="20"/>
                <w:szCs w:val="20"/>
                <w:color w:val="auto"/>
              </w:rPr>
            </w:pPr>
            <w:r>
              <w:rPr>
                <w:rFonts w:ascii="Arial" w:cs="Arial" w:eastAsia="Arial" w:hAnsi="Arial"/>
                <w:sz w:val="16"/>
                <w:szCs w:val="16"/>
                <w:color w:val="auto"/>
              </w:rPr>
              <w:t>Scott J. DeBoer</w:t>
            </w:r>
          </w:p>
        </w:tc>
        <w:tc>
          <w:tcPr>
            <w:tcW w:w="980" w:type="dxa"/>
            <w:vAlign w:val="bottom"/>
          </w:tcPr>
          <w:p>
            <w:pPr>
              <w:jc w:val="right"/>
              <w:spacing w:after="0"/>
              <w:rPr>
                <w:sz w:val="20"/>
                <w:szCs w:val="20"/>
                <w:color w:val="auto"/>
              </w:rPr>
            </w:pPr>
            <w:r>
              <w:rPr>
                <w:rFonts w:ascii="Arial" w:cs="Arial" w:eastAsia="Arial" w:hAnsi="Arial"/>
                <w:sz w:val="16"/>
                <w:szCs w:val="16"/>
                <w:color w:val="auto"/>
              </w:rPr>
              <w:t>NA</w:t>
            </w:r>
          </w:p>
        </w:tc>
        <w:tc>
          <w:tcPr>
            <w:tcW w:w="920" w:type="dxa"/>
            <w:vAlign w:val="bottom"/>
          </w:tcPr>
          <w:p>
            <w:pPr>
              <w:jc w:val="right"/>
              <w:spacing w:after="0"/>
              <w:rPr>
                <w:sz w:val="20"/>
                <w:szCs w:val="20"/>
                <w:color w:val="auto"/>
              </w:rPr>
            </w:pPr>
            <w:r>
              <w:rPr>
                <w:rFonts w:ascii="Arial" w:cs="Arial" w:eastAsia="Arial" w:hAnsi="Arial"/>
                <w:sz w:val="16"/>
                <w:szCs w:val="16"/>
                <w:color w:val="auto"/>
              </w:rPr>
              <w:t>297,500</w:t>
            </w:r>
          </w:p>
        </w:tc>
        <w:tc>
          <w:tcPr>
            <w:tcW w:w="920" w:type="dxa"/>
            <w:vAlign w:val="bottom"/>
          </w:tcPr>
          <w:p>
            <w:pPr>
              <w:jc w:val="right"/>
              <w:spacing w:after="0"/>
              <w:rPr>
                <w:sz w:val="20"/>
                <w:szCs w:val="20"/>
                <w:color w:val="auto"/>
              </w:rPr>
            </w:pPr>
            <w:r>
              <w:rPr>
                <w:rFonts w:ascii="Arial" w:cs="Arial" w:eastAsia="Arial" w:hAnsi="Arial"/>
                <w:sz w:val="16"/>
                <w:szCs w:val="16"/>
                <w:color w:val="auto"/>
              </w:rPr>
              <w:t>595,000</w:t>
            </w:r>
          </w:p>
        </w:tc>
        <w:tc>
          <w:tcPr>
            <w:tcW w:w="960" w:type="dxa"/>
            <w:vAlign w:val="bottom"/>
          </w:tcPr>
          <w:p>
            <w:pPr>
              <w:jc w:val="right"/>
              <w:spacing w:after="0"/>
              <w:rPr>
                <w:sz w:val="20"/>
                <w:szCs w:val="20"/>
                <w:color w:val="auto"/>
              </w:rPr>
            </w:pPr>
            <w:r>
              <w:rPr>
                <w:rFonts w:ascii="Arial" w:cs="Arial" w:eastAsia="Arial" w:hAnsi="Arial"/>
                <w:sz w:val="16"/>
                <w:szCs w:val="16"/>
                <w:color w:val="auto"/>
              </w:rPr>
              <w:t>1,190,000</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9,062</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36,249</w:t>
            </w:r>
          </w:p>
        </w:tc>
        <w:tc>
          <w:tcPr>
            <w:tcW w:w="820" w:type="dxa"/>
            <w:vAlign w:val="bottom"/>
          </w:tcPr>
          <w:p>
            <w:pPr>
              <w:jc w:val="right"/>
              <w:spacing w:after="0"/>
              <w:rPr>
                <w:sz w:val="20"/>
                <w:szCs w:val="20"/>
                <w:color w:val="auto"/>
              </w:rPr>
            </w:pPr>
            <w:r>
              <w:rPr>
                <w:rFonts w:ascii="Arial" w:cs="Arial" w:eastAsia="Arial" w:hAnsi="Arial"/>
                <w:sz w:val="16"/>
                <w:szCs w:val="16"/>
                <w:color w:val="auto"/>
              </w:rPr>
              <w:t>72,498</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1,875,040</w:t>
            </w: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40,357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1,874,986</w:t>
            </w:r>
          </w:p>
        </w:tc>
        <w:tc>
          <w:tcPr>
            <w:tcW w:w="0" w:type="dxa"/>
            <w:vAlign w:val="bottom"/>
          </w:tcPr>
          <w:p>
            <w:pPr>
              <w:spacing w:after="0"/>
              <w:rPr>
                <w:sz w:val="1"/>
                <w:szCs w:val="1"/>
                <w:color w:val="auto"/>
              </w:rPr>
            </w:pPr>
          </w:p>
        </w:tc>
      </w:tr>
      <w:tr>
        <w:trPr>
          <w:trHeight w:val="217"/>
        </w:trPr>
        <w:tc>
          <w:tcPr>
            <w:tcW w:w="2140" w:type="dxa"/>
            <w:vAlign w:val="bottom"/>
            <w:shd w:val="clear" w:color="auto" w:fill="D1D2D4"/>
          </w:tcPr>
          <w:p>
            <w:pPr>
              <w:ind w:left="20"/>
              <w:spacing w:after="0"/>
              <w:rPr>
                <w:sz w:val="20"/>
                <w:szCs w:val="20"/>
                <w:color w:val="auto"/>
              </w:rPr>
            </w:pPr>
            <w:r>
              <w:rPr>
                <w:rFonts w:ascii="Arial" w:cs="Arial" w:eastAsia="Arial" w:hAnsi="Arial"/>
                <w:sz w:val="16"/>
                <w:szCs w:val="16"/>
                <w:color w:val="auto"/>
              </w:rPr>
              <w:t>Sumit Sadana</w:t>
            </w: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NA</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409,750</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819,500</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1,639,000</w:t>
            </w: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jc w:val="right"/>
              <w:ind w:right="79"/>
              <w:spacing w:after="0"/>
              <w:rPr>
                <w:sz w:val="20"/>
                <w:szCs w:val="20"/>
                <w:color w:val="auto"/>
              </w:rPr>
            </w:pPr>
            <w:r>
              <w:rPr>
                <w:rFonts w:ascii="Arial" w:cs="Arial" w:eastAsia="Arial" w:hAnsi="Arial"/>
                <w:sz w:val="16"/>
                <w:szCs w:val="16"/>
                <w:color w:val="auto"/>
              </w:rPr>
              <w:t>13,291</w:t>
            </w:r>
          </w:p>
        </w:tc>
        <w:tc>
          <w:tcPr>
            <w:tcW w:w="940" w:type="dxa"/>
            <w:vAlign w:val="bottom"/>
            <w:shd w:val="clear" w:color="auto" w:fill="D1D2D4"/>
          </w:tcPr>
          <w:p>
            <w:pPr>
              <w:jc w:val="right"/>
              <w:ind w:right="99"/>
              <w:spacing w:after="0"/>
              <w:rPr>
                <w:sz w:val="20"/>
                <w:szCs w:val="20"/>
                <w:color w:val="auto"/>
              </w:rPr>
            </w:pPr>
            <w:r>
              <w:rPr>
                <w:rFonts w:ascii="Arial" w:cs="Arial" w:eastAsia="Arial" w:hAnsi="Arial"/>
                <w:sz w:val="16"/>
                <w:szCs w:val="16"/>
                <w:color w:val="auto"/>
              </w:rPr>
              <w:t>53,164</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106,328</w:t>
            </w:r>
          </w:p>
        </w:tc>
        <w:tc>
          <w:tcPr>
            <w:tcW w:w="12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2,749,999</w:t>
            </w:r>
          </w:p>
        </w:tc>
        <w:tc>
          <w:tcPr>
            <w:tcW w:w="0" w:type="dxa"/>
            <w:vAlign w:val="bottom"/>
          </w:tcPr>
          <w:p>
            <w:pPr>
              <w:spacing w:after="0"/>
              <w:rPr>
                <w:sz w:val="1"/>
                <w:szCs w:val="1"/>
                <w:color w:val="auto"/>
              </w:rPr>
            </w:pPr>
          </w:p>
        </w:tc>
      </w:tr>
      <w:tr>
        <w:trPr>
          <w:trHeight w:val="216"/>
        </w:trPr>
        <w:tc>
          <w:tcPr>
            <w:tcW w:w="2140" w:type="dxa"/>
            <w:vAlign w:val="bottom"/>
            <w:shd w:val="clear" w:color="auto" w:fill="D1D2D4"/>
          </w:tcPr>
          <w:p>
            <w:pPr>
              <w:spacing w:after="0"/>
              <w:rPr>
                <w:sz w:val="18"/>
                <w:szCs w:val="18"/>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10/16/19</w:t>
            </w:r>
          </w:p>
        </w:tc>
        <w:tc>
          <w:tcPr>
            <w:tcW w:w="920" w:type="dxa"/>
            <w:vAlign w:val="bottom"/>
            <w:shd w:val="clear" w:color="auto" w:fill="D1D2D4"/>
          </w:tcPr>
          <w:p>
            <w:pPr>
              <w:spacing w:after="0"/>
              <w:rPr>
                <w:sz w:val="18"/>
                <w:szCs w:val="18"/>
                <w:color w:val="auto"/>
              </w:rPr>
            </w:pPr>
          </w:p>
        </w:tc>
        <w:tc>
          <w:tcPr>
            <w:tcW w:w="92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100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2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59,191</w:t>
            </w:r>
          </w:p>
        </w:tc>
        <w:tc>
          <w:tcPr>
            <w:tcW w:w="180" w:type="dxa"/>
            <w:vAlign w:val="bottom"/>
            <w:shd w:val="clear" w:color="auto" w:fill="D1D2D4"/>
          </w:tcPr>
          <w:p>
            <w:pPr>
              <w:spacing w:after="0"/>
              <w:rPr>
                <w:sz w:val="18"/>
                <w:szCs w:val="18"/>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2,750,014</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320" w:hanging="332"/>
        <w:spacing w:after="0" w:line="271"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estimated payouts for fiscal 2020 under the EIP. Payment of bonuses under the EIP is dependent upon meeting specified performance goals. A description of the performance milestones associated with such bonuses is included in the “Compensation Discussion and Analysis.”</w:t>
      </w:r>
    </w:p>
    <w:p>
      <w:pPr>
        <w:spacing w:after="0" w:line="122" w:lineRule="exact"/>
        <w:rPr>
          <w:rFonts w:ascii="Arial" w:cs="Arial" w:eastAsia="Arial" w:hAnsi="Arial"/>
          <w:sz w:val="18"/>
          <w:szCs w:val="18"/>
          <w:color w:val="auto"/>
        </w:rPr>
      </w:pPr>
    </w:p>
    <w:p>
      <w:pPr>
        <w:ind w:left="340" w:right="140" w:hanging="332"/>
        <w:spacing w:after="0" w:line="271"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2020 under the Amended and Restated 2004 Equity Incentive Plan (the “2004 Plan”) with performance-based and market-based restrictions. Information related to the performance-based and market-based restrictions associated with these shares is contained in “Compensation Discussion and Analysis.”</w:t>
      </w:r>
    </w:p>
    <w:p>
      <w:pPr>
        <w:spacing w:after="0" w:line="135" w:lineRule="exact"/>
        <w:rPr>
          <w:rFonts w:ascii="Arial" w:cs="Arial" w:eastAsia="Arial" w:hAnsi="Arial"/>
          <w:sz w:val="18"/>
          <w:szCs w:val="18"/>
          <w:color w:val="auto"/>
        </w:rPr>
      </w:pPr>
    </w:p>
    <w:p>
      <w:pPr>
        <w:ind w:left="340" w:right="300" w:hanging="332"/>
        <w:spacing w:after="0" w:line="292"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restricted stock awarded in fiscal 2020 under the 2004 Plan with time-based restrictions. Time-based restrictions on these awards lapse in three equal installments over a three-year period from the date of the award.</w:t>
      </w:r>
    </w:p>
    <w:p>
      <w:pPr>
        <w:spacing w:after="0" w:line="103" w:lineRule="exact"/>
        <w:rPr>
          <w:rFonts w:ascii="Arial" w:cs="Arial" w:eastAsia="Arial" w:hAnsi="Arial"/>
          <w:sz w:val="18"/>
          <w:szCs w:val="18"/>
          <w:color w:val="auto"/>
        </w:rPr>
      </w:pPr>
    </w:p>
    <w:p>
      <w:pPr>
        <w:ind w:left="340" w:right="340" w:hanging="332"/>
        <w:spacing w:after="0" w:line="264" w:lineRule="auto"/>
        <w:tabs>
          <w:tab w:leader="none" w:pos="33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or (b) the fair value per share as calculated by the use of a Monte-Carlo simulation, which represents the most likely value if the award had a market condition performance goal.</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Plan Information</w:t>
      </w:r>
    </w:p>
    <w:p>
      <w:pPr>
        <w:spacing w:after="0" w:line="2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purpose of the 2004 Plan is to promote our success by linking the personal interests of our employees and officers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since March 2014, a term of eight years. For purposes of share counting, each restricted stock unit or share of restricted stock issued under the 2004 Plan reduces the number of shares available for issuance by two.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13" w:right="339" w:bottom="1440" w:gutter="0" w:footer="0" w:header="0"/>
        </w:sectPr>
      </w:pPr>
    </w:p>
    <w:bookmarkStart w:id="56" w:name="page57"/>
    <w:bookmarkEnd w:id="56"/>
    <w:p>
      <w:pPr>
        <w:ind w:right="600"/>
        <w:spacing w:after="0" w:line="292"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2020, the Compensation Committee reviewed the goals established under the EIP for fiscal 2020 and certified achievement of results.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Lapsing of Restrictions Associated with Restricted Stock and Restricted Stock Unit Awards</w:t>
      </w:r>
    </w:p>
    <w:p>
      <w:pPr>
        <w:spacing w:after="0" w:line="247"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restrictions. Time-based restrictions lapse in three equal installments over a three-year period. The restrictions associated with performance-based awards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and Vesting of Performance-based Awards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executive officers received awards related to two performance goals: a high value solutions metric and a company valuation metric. Please see “Fiscal 2020 Executive Compensation – Fiscal 2020 Long-Term Incentives” section of the “Compensation Discussion and Analysis.” The number of shares that will be received at the end of the three years varies between 0% and 200% of the targeted share amount and is dependent upon the level of achievement. All threshold, target, and maximum amounts require significant execution and effort with no assurance of achievement guaranteed. In the absence of at least the threshold targets being achieved, the restrictions will not lapse and the shares will be forfeited.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252"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Bonuses were paid to the Named Executive Officers in fiscal 2020 as a result of achievement of certain goals. Please see the “Fiscal 2020 Executive Compensation – Fiscal 2020 Short-Term Incentive Awards”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49</w:t>
      </w:r>
    </w:p>
    <w:p>
      <w:pPr>
        <w:sectPr>
          <w:pgSz w:w="11900" w:h="16838" w:orient="portrait"/>
          <w:cols w:equalWidth="0" w:num="1">
            <w:col w:w="11240"/>
          </w:cols>
          <w:pgMar w:left="320" w:top="1170" w:right="339" w:bottom="1440" w:gutter="0" w:footer="0" w:header="0"/>
        </w:sectPr>
      </w:pPr>
    </w:p>
    <w:bookmarkStart w:id="57" w:name="page58"/>
    <w:bookmarkEnd w:id="57"/>
    <w:p>
      <w:pPr>
        <w:ind w:right="4920"/>
        <w:spacing w:after="0" w:line="313" w:lineRule="auto"/>
        <w:rPr>
          <w:sz w:val="20"/>
          <w:szCs w:val="20"/>
          <w:color w:val="auto"/>
        </w:rPr>
      </w:pPr>
      <w:r>
        <w:rPr>
          <w:rFonts w:ascii="Arial" w:cs="Arial" w:eastAsia="Arial" w:hAnsi="Arial"/>
          <w:sz w:val="39"/>
          <w:szCs w:val="39"/>
          <w:b w:val="1"/>
          <w:bCs w:val="1"/>
          <w:color w:val="auto"/>
        </w:rPr>
        <w:t>OUTSTANDING EQUITY AWARDS AT 2020 FISCAL YEAR-END</w:t>
      </w:r>
    </w:p>
    <w:p>
      <w:pPr>
        <w:spacing w:after="0" w:line="32"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color w:val="auto"/>
        </w:rPr>
        <w:t>The following table provides information with respect to outstanding stock options, restricted stock, and restricted stock units held as of September 3, 2020, by our Named Executive Officers.</w:t>
      </w:r>
    </w:p>
    <w:p>
      <w:pPr>
        <w:spacing w:after="0" w:line="1" w:lineRule="exact"/>
        <w:rPr>
          <w:sz w:val="20"/>
          <w:szCs w:val="20"/>
          <w:color w:val="auto"/>
        </w:rPr>
      </w:pPr>
    </w:p>
    <w:p>
      <w:pPr>
        <w:ind w:left="3240"/>
        <w:spacing w:after="0"/>
        <w:tabs>
          <w:tab w:leader="none" w:pos="8060"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19050</wp:posOffset>
            </wp:positionV>
            <wp:extent cx="6035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Securities Underlying</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Unexercised Options</w:t>
            </w:r>
          </w:p>
        </w:tc>
        <w:tc>
          <w:tcPr>
            <w:tcW w:w="76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1020" w:type="dxa"/>
            <w:vAlign w:val="bottom"/>
            <w:tcBorders>
              <w:bottom w:val="single" w:sz="8" w:color="0090DA"/>
            </w:tcBorders>
          </w:tcPr>
          <w:p>
            <w:pPr>
              <w:spacing w:after="0"/>
              <w:rPr>
                <w:sz w:val="3"/>
                <w:szCs w:val="3"/>
                <w:color w:val="auto"/>
              </w:rPr>
            </w:pPr>
          </w:p>
        </w:tc>
        <w:tc>
          <w:tcPr>
            <w:tcW w:w="1420" w:type="dxa"/>
            <w:vAlign w:val="bottom"/>
            <w:tcBorders>
              <w:bottom w:val="single" w:sz="8" w:color="0090DA"/>
            </w:tcBorders>
          </w:tcPr>
          <w:p>
            <w:pPr>
              <w:spacing w:after="0"/>
              <w:rPr>
                <w:sz w:val="3"/>
                <w:szCs w:val="3"/>
                <w:color w:val="auto"/>
              </w:rPr>
            </w:pPr>
          </w:p>
        </w:tc>
        <w:tc>
          <w:tcPr>
            <w:tcW w:w="76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Exercise</w:t>
            </w:r>
          </w:p>
        </w:tc>
        <w:tc>
          <w:tcPr>
            <w:tcW w:w="8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48"/>
        </w:trPr>
        <w:tc>
          <w:tcPr>
            <w:tcW w:w="1400" w:type="dxa"/>
            <w:vAlign w:val="bottom"/>
          </w:tcPr>
          <w:p>
            <w:pPr>
              <w:spacing w:after="0"/>
              <w:rPr>
                <w:sz w:val="4"/>
                <w:szCs w:val="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Exercisable</w:t>
            </w: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Unexercisable</w:t>
            </w:r>
          </w:p>
        </w:tc>
        <w:tc>
          <w:tcPr>
            <w:tcW w:w="7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4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Name</w:t>
            </w:r>
          </w:p>
        </w:tc>
        <w:tc>
          <w:tcPr>
            <w:tcW w:w="10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0090DA"/>
            </w:tcBorders>
            <w:vMerge w:val="continue"/>
          </w:tcPr>
          <w:p>
            <w:pPr>
              <w:spacing w:after="0"/>
              <w:rPr>
                <w:sz w:val="15"/>
                <w:szCs w:val="15"/>
                <w:color w:val="auto"/>
              </w:rPr>
            </w:pPr>
          </w:p>
        </w:tc>
        <w:tc>
          <w:tcPr>
            <w:tcW w:w="1020" w:type="dxa"/>
            <w:vAlign w:val="bottom"/>
            <w:tcBorders>
              <w:bottom w:val="single" w:sz="8" w:color="0090DA"/>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090DA"/>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62"/>
        </w:trPr>
        <w:tc>
          <w:tcPr>
            <w:tcW w:w="21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or Units of Stock That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Awards: Number of</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Awards: Market or</w:t>
            </w:r>
          </w:p>
        </w:tc>
        <w:tc>
          <w:tcPr>
            <w:tcW w:w="0" w:type="dxa"/>
            <w:vAlign w:val="bottom"/>
          </w:tcPr>
          <w:p>
            <w:pPr>
              <w:spacing w:after="0"/>
              <w:rPr>
                <w:sz w:val="1"/>
                <w:szCs w:val="1"/>
                <w:color w:val="auto"/>
              </w:rPr>
            </w:pPr>
          </w:p>
        </w:tc>
      </w:tr>
      <w:tr>
        <w:trPr>
          <w:trHeight w:val="135"/>
        </w:trPr>
        <w:tc>
          <w:tcPr>
            <w:tcW w:w="2160" w:type="dxa"/>
            <w:vAlign w:val="bottom"/>
            <w:gridSpan w:val="2"/>
          </w:tcPr>
          <w:p>
            <w:pPr>
              <w:ind w:left="520"/>
              <w:spacing w:after="0" w:line="135" w:lineRule="exact"/>
              <w:rPr>
                <w:sz w:val="20"/>
                <w:szCs w:val="20"/>
                <w:color w:val="auto"/>
              </w:rPr>
            </w:pPr>
            <w:r>
              <w:rPr>
                <w:rFonts w:ascii="Arial" w:cs="Arial" w:eastAsia="Arial" w:hAnsi="Arial"/>
                <w:sz w:val="14"/>
                <w:szCs w:val="14"/>
                <w:b w:val="1"/>
                <w:bCs w:val="1"/>
                <w:color w:val="auto"/>
              </w:rPr>
              <w:t>Have Not Vested</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Unearned Shares,</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Payout Value of</w:t>
            </w:r>
          </w:p>
        </w:tc>
        <w:tc>
          <w:tcPr>
            <w:tcW w:w="0" w:type="dxa"/>
            <w:vAlign w:val="bottom"/>
          </w:tcPr>
          <w:p>
            <w:pPr>
              <w:spacing w:after="0"/>
              <w:rPr>
                <w:sz w:val="1"/>
                <w:szCs w:val="1"/>
                <w:color w:val="auto"/>
              </w:rPr>
            </w:pPr>
          </w:p>
        </w:tc>
      </w:tr>
      <w:tr>
        <w:trPr>
          <w:trHeight w:val="40"/>
        </w:trPr>
        <w:tc>
          <w:tcPr>
            <w:tcW w:w="1100" w:type="dxa"/>
            <w:vAlign w:val="bottom"/>
            <w:tcBorders>
              <w:bottom w:val="single" w:sz="8" w:color="0090DA"/>
            </w:tcBorders>
          </w:tcPr>
          <w:p>
            <w:pPr>
              <w:spacing w:after="0"/>
              <w:rPr>
                <w:sz w:val="3"/>
                <w:szCs w:val="3"/>
                <w:color w:val="auto"/>
              </w:rPr>
            </w:pPr>
          </w:p>
        </w:tc>
        <w:tc>
          <w:tcPr>
            <w:tcW w:w="1060" w:type="dxa"/>
            <w:vAlign w:val="bottom"/>
            <w:tcBorders>
              <w:bottom w:val="single" w:sz="8" w:color="0090DA"/>
            </w:tcBorders>
          </w:tcPr>
          <w:p>
            <w:pPr>
              <w:spacing w:after="0"/>
              <w:rPr>
                <w:sz w:val="3"/>
                <w:szCs w:val="3"/>
                <w:color w:val="auto"/>
              </w:rPr>
            </w:pPr>
          </w:p>
        </w:tc>
        <w:tc>
          <w:tcPr>
            <w:tcW w:w="322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Units or Other Rights Unearned Shares, Units</w:t>
            </w:r>
          </w:p>
        </w:tc>
        <w:tc>
          <w:tcPr>
            <w:tcW w:w="0" w:type="dxa"/>
            <w:vAlign w:val="bottom"/>
          </w:tcPr>
          <w:p>
            <w:pPr>
              <w:spacing w:after="0"/>
              <w:rPr>
                <w:sz w:val="1"/>
                <w:szCs w:val="1"/>
                <w:color w:val="auto"/>
              </w:rPr>
            </w:pPr>
          </w:p>
        </w:tc>
      </w:tr>
      <w:tr>
        <w:trPr>
          <w:trHeight w:val="48"/>
        </w:trPr>
        <w:tc>
          <w:tcPr>
            <w:tcW w:w="11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10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Market</w:t>
            </w:r>
          </w:p>
        </w:tc>
        <w:tc>
          <w:tcPr>
            <w:tcW w:w="3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Have Not</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or Other Rights That</w:t>
            </w:r>
          </w:p>
        </w:tc>
        <w:tc>
          <w:tcPr>
            <w:tcW w:w="0" w:type="dxa"/>
            <w:vAlign w:val="bottom"/>
          </w:tcPr>
          <w:p>
            <w:pPr>
              <w:spacing w:after="0"/>
              <w:rPr>
                <w:sz w:val="1"/>
                <w:szCs w:val="1"/>
                <w:color w:val="auto"/>
              </w:rPr>
            </w:pPr>
          </w:p>
        </w:tc>
      </w:tr>
      <w:tr>
        <w:trPr>
          <w:trHeight w:val="176"/>
        </w:trPr>
        <w:tc>
          <w:tcPr>
            <w:tcW w:w="1100" w:type="dxa"/>
            <w:vAlign w:val="bottom"/>
            <w:tcBorders>
              <w:bottom w:val="single" w:sz="8" w:color="0090DA"/>
            </w:tcBorders>
          </w:tcPr>
          <w:p>
            <w:pPr>
              <w:ind w:left="5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90DA"/>
            </w:tcBorders>
          </w:tcPr>
          <w:p>
            <w:pPr>
              <w:jc w:val="center"/>
              <w:ind w:left="28"/>
              <w:spacing w:after="0"/>
              <w:rPr>
                <w:sz w:val="20"/>
                <w:szCs w:val="20"/>
                <w:color w:val="auto"/>
              </w:rPr>
            </w:pPr>
            <w:r>
              <w:rPr>
                <w:rFonts w:ascii="Arial" w:cs="Arial" w:eastAsia="Arial" w:hAnsi="Arial"/>
                <w:sz w:val="14"/>
                <w:szCs w:val="14"/>
                <w:b w:val="1"/>
                <w:bCs w:val="1"/>
                <w:color w:val="auto"/>
              </w:rPr>
              <w:t>Value(1)($)</w:t>
            </w:r>
          </w:p>
        </w:tc>
        <w:tc>
          <w:tcPr>
            <w:tcW w:w="15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Vested(#)</w:t>
            </w:r>
          </w:p>
        </w:tc>
        <w:tc>
          <w:tcPr>
            <w:tcW w:w="1660" w:type="dxa"/>
            <w:vAlign w:val="bottom"/>
            <w:tcBorders>
              <w:bottom w:val="single" w:sz="8" w:color="0090DA"/>
            </w:tcBorders>
          </w:tcPr>
          <w:p>
            <w:pPr>
              <w:jc w:val="center"/>
              <w:spacing w:after="0"/>
              <w:rPr>
                <w:sz w:val="20"/>
                <w:szCs w:val="20"/>
                <w:color w:val="auto"/>
              </w:rPr>
            </w:pPr>
            <w:r>
              <w:rPr>
                <w:rFonts w:ascii="Arial" w:cs="Arial" w:eastAsia="Arial" w:hAnsi="Arial"/>
                <w:sz w:val="14"/>
                <w:szCs w:val="14"/>
                <w:b w:val="1"/>
                <w:bCs w:val="1"/>
                <w:color w:val="auto"/>
              </w:rPr>
              <w:t>Have Not Vested(1)($)</w:t>
            </w: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2">
            <w:col w:w="5780" w:space="80"/>
            <w:col w:w="5380"/>
          </w:cols>
          <w:pgMar w:left="320" w:top="913" w:right="339" w:bottom="1440" w:gutter="0" w:footer="0" w:header="0"/>
          <w:type w:val="continuous"/>
        </w:sectPr>
      </w:pPr>
    </w:p>
    <w:tbl>
      <w:tblPr>
        <w:tblLayout w:type="fixed"/>
        <w:tblInd w:w="340" w:type="dxa"/>
        <w:tblCellMar>
          <w:top w:w="0" w:type="dxa"/>
          <w:left w:w="0" w:type="dxa"/>
          <w:bottom w:w="0" w:type="dxa"/>
          <w:right w:w="0" w:type="dxa"/>
        </w:tblCellMar>
      </w:tblPr>
      <w:tr>
        <w:trPr>
          <w:trHeight w:val="189"/>
        </w:trPr>
        <w:tc>
          <w:tcPr>
            <w:tcW w:w="1400" w:type="dxa"/>
            <w:vAlign w:val="bottom"/>
            <w:shd w:val="clear" w:color="auto" w:fill="CBCBCB"/>
          </w:tcPr>
          <w:p>
            <w:pPr>
              <w:ind w:left="20"/>
              <w:spacing w:after="0"/>
              <w:rPr>
                <w:sz w:val="20"/>
                <w:szCs w:val="20"/>
                <w:color w:val="auto"/>
              </w:rPr>
            </w:pPr>
            <w:r>
              <w:rPr>
                <w:rFonts w:ascii="Arial" w:cs="Arial" w:eastAsia="Arial" w:hAnsi="Arial"/>
                <w:sz w:val="14"/>
                <w:szCs w:val="14"/>
                <w:color w:val="auto"/>
              </w:rPr>
              <w:t>Sanjay Mehrotra</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428,981</w:t>
            </w:r>
          </w:p>
        </w:tc>
        <w:tc>
          <w:tcPr>
            <w:tcW w:w="7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142,995</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BCBCB"/>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28.20</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5/8/2025</w:t>
            </w: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61,043</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BCBCB"/>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2,828,122</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18,046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w:t>
            </w:r>
          </w:p>
        </w:tc>
        <w:tc>
          <w:tcPr>
            <w:tcW w:w="540" w:type="dxa"/>
            <w:vAlign w:val="bottom"/>
            <w:shd w:val="clear" w:color="auto" w:fill="CBCBCB"/>
          </w:tcPr>
          <w:p>
            <w:pPr>
              <w:jc w:val="right"/>
              <w:ind w:right="3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836,071</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70,154</w:t>
            </w:r>
          </w:p>
        </w:tc>
        <w:tc>
          <w:tcPr>
            <w:tcW w:w="7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70,154</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10/24/2025</w:t>
            </w: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36,093</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1,672,189</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18,046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836,071</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94,473</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4,376,934</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28,683</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1,328,883</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161,429</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7,479,006</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55,871</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2,588,503</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48,886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2,264,888</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50,861</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(13)</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2,356,390</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80,715</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3,739,526</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64,278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(15)</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2,978,000</w:t>
            </w: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David A. Zinsner</w:t>
            </w:r>
          </w:p>
        </w:tc>
        <w:tc>
          <w:tcPr>
            <w:tcW w:w="900" w:type="dxa"/>
            <w:vAlign w:val="bottom"/>
          </w:tcPr>
          <w:p>
            <w:pPr>
              <w:jc w:val="right"/>
              <w:spacing w:after="0"/>
              <w:rPr>
                <w:sz w:val="20"/>
                <w:szCs w:val="20"/>
                <w:color w:val="auto"/>
              </w:rPr>
            </w:pPr>
            <w:r>
              <w:rPr>
                <w:rFonts w:ascii="Arial" w:cs="Arial" w:eastAsia="Arial" w:hAnsi="Arial"/>
                <w:sz w:val="14"/>
                <w:szCs w:val="14"/>
                <w:color w:val="auto"/>
              </w:rPr>
              <w:t>54,334</w:t>
            </w:r>
          </w:p>
        </w:tc>
        <w:tc>
          <w:tcPr>
            <w:tcW w:w="760" w:type="dxa"/>
            <w:vAlign w:val="bottom"/>
          </w:tcPr>
          <w:p>
            <w:pPr>
              <w:jc w:val="right"/>
              <w:spacing w:after="0"/>
              <w:rPr>
                <w:sz w:val="20"/>
                <w:szCs w:val="20"/>
                <w:color w:val="auto"/>
              </w:rPr>
            </w:pPr>
            <w:r>
              <w:rPr>
                <w:rFonts w:ascii="Arial" w:cs="Arial" w:eastAsia="Arial" w:hAnsi="Arial"/>
                <w:sz w:val="14"/>
                <w:szCs w:val="14"/>
                <w:color w:val="auto"/>
              </w:rPr>
              <w:t>54,335</w:t>
            </w: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44.21</w:t>
            </w:r>
          </w:p>
        </w:tc>
        <w:tc>
          <w:tcPr>
            <w:tcW w:w="840" w:type="dxa"/>
            <w:vAlign w:val="bottom"/>
          </w:tcPr>
          <w:p>
            <w:pPr>
              <w:jc w:val="right"/>
              <w:spacing w:after="0"/>
              <w:rPr>
                <w:sz w:val="20"/>
                <w:szCs w:val="20"/>
                <w:color w:val="auto"/>
              </w:rPr>
            </w:pPr>
            <w:r>
              <w:rPr>
                <w:rFonts w:ascii="Arial" w:cs="Arial" w:eastAsia="Arial" w:hAnsi="Arial"/>
                <w:sz w:val="14"/>
                <w:szCs w:val="14"/>
                <w:color w:val="auto"/>
              </w:rPr>
              <w:t>2/19/2026</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24,034</w:t>
            </w: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1,113,495</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13,975</w:t>
            </w: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647,462</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23,618</w:t>
            </w: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1,094,222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12,228</w:t>
            </w: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566,523</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43,048</w:t>
            </w: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1,994,414</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12,736</w:t>
            </w: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590,059</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21,524</w:t>
            </w: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997,207</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17,141</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794,143</w:t>
            </w:r>
          </w:p>
        </w:tc>
      </w:tr>
      <w:tr>
        <w:trPr>
          <w:trHeight w:val="189"/>
        </w:trPr>
        <w:tc>
          <w:tcPr>
            <w:tcW w:w="1400" w:type="dxa"/>
            <w:vAlign w:val="bottom"/>
            <w:shd w:val="clear" w:color="auto" w:fill="CBCBCB"/>
          </w:tcPr>
          <w:p>
            <w:pPr>
              <w:ind w:left="20"/>
              <w:spacing w:after="0"/>
              <w:rPr>
                <w:sz w:val="20"/>
                <w:szCs w:val="20"/>
                <w:color w:val="auto"/>
              </w:rPr>
            </w:pPr>
            <w:r>
              <w:rPr>
                <w:rFonts w:ascii="Arial" w:cs="Arial" w:eastAsia="Arial" w:hAnsi="Arial"/>
                <w:sz w:val="14"/>
                <w:szCs w:val="14"/>
                <w:color w:val="auto"/>
              </w:rPr>
              <w:t>Manish Bhatia</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26,658</w:t>
            </w:r>
          </w:p>
        </w:tc>
        <w:tc>
          <w:tcPr>
            <w:tcW w:w="7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26,659</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10/24/2025</w:t>
            </w: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30,941</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1,433,497</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6,858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317,731</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13,715</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635,416</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6,858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317,731</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29,917</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1,386,055</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10,900</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504,997</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53,810</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2,493,017</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17,728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821,338</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15,512</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718,671</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16,209</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(13)</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750,963</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26,905</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1,246,509</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21,426</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(15)</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992,667</w:t>
            </w: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Scott J. DeBoer</w:t>
            </w:r>
          </w:p>
        </w:tc>
        <w:tc>
          <w:tcPr>
            <w:tcW w:w="900" w:type="dxa"/>
            <w:vAlign w:val="bottom"/>
          </w:tcPr>
          <w:p>
            <w:pPr>
              <w:jc w:val="right"/>
              <w:spacing w:after="0"/>
              <w:rPr>
                <w:sz w:val="20"/>
                <w:szCs w:val="20"/>
                <w:color w:val="auto"/>
              </w:rPr>
            </w:pPr>
            <w:r>
              <w:rPr>
                <w:rFonts w:ascii="Arial" w:cs="Arial" w:eastAsia="Arial" w:hAnsi="Arial"/>
                <w:sz w:val="14"/>
                <w:szCs w:val="14"/>
                <w:color w:val="auto"/>
              </w:rPr>
              <w:t>32,640</w:t>
            </w:r>
          </w:p>
        </w:tc>
        <w:tc>
          <w:tcPr>
            <w:tcW w:w="760" w:type="dxa"/>
            <w:vAlign w:val="bottom"/>
          </w:tcPr>
          <w:p>
            <w:pPr>
              <w:jc w:val="right"/>
              <w:spacing w:after="0"/>
              <w:rPr>
                <w:sz w:val="20"/>
                <w:szCs w:val="20"/>
                <w:color w:val="auto"/>
              </w:rPr>
            </w:pPr>
            <w:r>
              <w:rPr>
                <w:rFonts w:ascii="Arial" w:cs="Arial" w:eastAsia="Arial" w:hAnsi="Arial"/>
                <w:sz w:val="14"/>
                <w:szCs w:val="14"/>
                <w:color w:val="auto"/>
              </w:rPr>
              <w:t>16,320</w:t>
            </w: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17.41</w:t>
            </w:r>
          </w:p>
        </w:tc>
        <w:tc>
          <w:tcPr>
            <w:tcW w:w="840" w:type="dxa"/>
            <w:vAlign w:val="bottom"/>
          </w:tcPr>
          <w:p>
            <w:pPr>
              <w:jc w:val="right"/>
              <w:spacing w:after="0"/>
              <w:rPr>
                <w:sz w:val="20"/>
                <w:szCs w:val="20"/>
                <w:color w:val="auto"/>
              </w:rPr>
            </w:pPr>
            <w:r>
              <w:rPr>
                <w:rFonts w:ascii="Arial" w:cs="Arial" w:eastAsia="Arial" w:hAnsi="Arial"/>
                <w:sz w:val="14"/>
                <w:szCs w:val="14"/>
                <w:color w:val="auto"/>
              </w:rPr>
              <w:t>10/19/2024</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12,924</w:t>
            </w:r>
          </w:p>
        </w:tc>
        <w:tc>
          <w:tcPr>
            <w:tcW w:w="36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598,769</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4,512</w:t>
            </w: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209,041</w:t>
            </w:r>
          </w:p>
        </w:tc>
      </w:tr>
      <w:tr>
        <w:trPr>
          <w:trHeight w:val="189"/>
        </w:trPr>
        <w:tc>
          <w:tcPr>
            <w:tcW w:w="1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17,538</w:t>
            </w:r>
          </w:p>
        </w:tc>
        <w:tc>
          <w:tcPr>
            <w:tcW w:w="760" w:type="dxa"/>
            <w:vAlign w:val="bottom"/>
          </w:tcPr>
          <w:p>
            <w:pPr>
              <w:jc w:val="right"/>
              <w:spacing w:after="0"/>
              <w:rPr>
                <w:sz w:val="20"/>
                <w:szCs w:val="20"/>
                <w:color w:val="auto"/>
              </w:rPr>
            </w:pPr>
            <w:r>
              <w:rPr>
                <w:rFonts w:ascii="Arial" w:cs="Arial" w:eastAsia="Arial" w:hAnsi="Arial"/>
                <w:sz w:val="14"/>
                <w:szCs w:val="14"/>
                <w:color w:val="auto"/>
              </w:rPr>
              <w:t>17,539</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41.56</w:t>
            </w:r>
          </w:p>
        </w:tc>
        <w:tc>
          <w:tcPr>
            <w:tcW w:w="840" w:type="dxa"/>
            <w:vAlign w:val="bottom"/>
          </w:tcPr>
          <w:p>
            <w:pPr>
              <w:jc w:val="right"/>
              <w:spacing w:after="0"/>
              <w:rPr>
                <w:sz w:val="20"/>
                <w:szCs w:val="20"/>
                <w:color w:val="auto"/>
              </w:rPr>
            </w:pPr>
            <w:r>
              <w:rPr>
                <w:rFonts w:ascii="Arial" w:cs="Arial" w:eastAsia="Arial" w:hAnsi="Arial"/>
                <w:sz w:val="14"/>
                <w:szCs w:val="14"/>
                <w:color w:val="auto"/>
              </w:rPr>
              <w:t>10/24/2025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9,023</w:t>
            </w: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418,036</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4,512</w:t>
            </w: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209,041</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23,618</w:t>
            </w: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1,094,222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7,171</w:t>
            </w:r>
          </w:p>
        </w:tc>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332,232</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40,357</w:t>
            </w: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1,869,740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13,975</w:t>
            </w: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647,462</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12,228</w:t>
            </w:r>
          </w:p>
        </w:tc>
        <w:tc>
          <w:tcPr>
            <w:tcW w:w="440" w:type="dxa"/>
            <w:vAlign w:val="bottom"/>
          </w:tcPr>
          <w:p>
            <w:pPr>
              <w:jc w:val="right"/>
              <w:spacing w:after="0"/>
              <w:rPr>
                <w:sz w:val="20"/>
                <w:szCs w:val="20"/>
                <w:color w:val="auto"/>
              </w:rPr>
            </w:pPr>
            <w:r>
              <w:rPr>
                <w:rFonts w:ascii="Arial" w:cs="Arial" w:eastAsia="Arial" w:hAnsi="Arial"/>
                <w:sz w:val="14"/>
                <w:szCs w:val="14"/>
                <w:color w:val="auto"/>
              </w:rPr>
              <w:t>(12)</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566,523</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12,736</w:t>
            </w:r>
          </w:p>
        </w:tc>
        <w:tc>
          <w:tcPr>
            <w:tcW w:w="440" w:type="dxa"/>
            <w:vAlign w:val="bottom"/>
          </w:tcPr>
          <w:p>
            <w:pPr>
              <w:jc w:val="right"/>
              <w:spacing w:after="0"/>
              <w:rPr>
                <w:sz w:val="20"/>
                <w:szCs w:val="20"/>
                <w:color w:val="auto"/>
              </w:rPr>
            </w:pPr>
            <w:r>
              <w:rPr>
                <w:rFonts w:ascii="Arial" w:cs="Arial" w:eastAsia="Arial" w:hAnsi="Arial"/>
                <w:sz w:val="14"/>
                <w:szCs w:val="14"/>
                <w:color w:val="auto"/>
              </w:rPr>
              <w:t>(13)</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590,059</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20,179</w:t>
            </w: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934,893</w:t>
            </w:r>
          </w:p>
        </w:tc>
      </w:tr>
      <w:tr>
        <w:trPr>
          <w:trHeight w:val="189"/>
        </w:trPr>
        <w:tc>
          <w:tcPr>
            <w:tcW w:w="1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16,070</w:t>
            </w: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744,523</w:t>
            </w:r>
          </w:p>
        </w:tc>
      </w:tr>
      <w:tr>
        <w:trPr>
          <w:trHeight w:val="189"/>
        </w:trPr>
        <w:tc>
          <w:tcPr>
            <w:tcW w:w="1400" w:type="dxa"/>
            <w:vAlign w:val="bottom"/>
            <w:shd w:val="clear" w:color="auto" w:fill="CBCBCB"/>
          </w:tcPr>
          <w:p>
            <w:pPr>
              <w:ind w:left="20"/>
              <w:spacing w:after="0"/>
              <w:rPr>
                <w:sz w:val="20"/>
                <w:szCs w:val="20"/>
                <w:color w:val="auto"/>
              </w:rPr>
            </w:pPr>
            <w:r>
              <w:rPr>
                <w:rFonts w:ascii="Arial" w:cs="Arial" w:eastAsia="Arial" w:hAnsi="Arial"/>
                <w:sz w:val="14"/>
                <w:szCs w:val="14"/>
                <w:color w:val="auto"/>
              </w:rPr>
              <w:t>Sumit Sadana</w:t>
            </w: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43,563</w:t>
            </w:r>
          </w:p>
        </w:tc>
        <w:tc>
          <w:tcPr>
            <w:tcW w:w="7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14,522</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31.89</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6/23/2025</w:t>
            </w: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6,272</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290,582</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7,218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334,410</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28,061</w:t>
            </w:r>
          </w:p>
        </w:tc>
        <w:tc>
          <w:tcPr>
            <w:tcW w:w="7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28,062</w:t>
            </w:r>
          </w:p>
        </w:tc>
        <w:tc>
          <w:tcPr>
            <w:tcW w:w="78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10/24/2025</w:t>
            </w: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14,437</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668,866</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7,218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(7)</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334,410</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34,640</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1,604,871</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11,473</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531,544</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jc w:val="right"/>
              <w:ind w:right="28"/>
              <w:spacing w:after="0"/>
              <w:rPr>
                <w:sz w:val="20"/>
                <w:szCs w:val="20"/>
                <w:color w:val="auto"/>
              </w:rPr>
            </w:pPr>
            <w:r>
              <w:rPr>
                <w:rFonts w:ascii="Arial" w:cs="Arial" w:eastAsia="Arial" w:hAnsi="Arial"/>
                <w:sz w:val="14"/>
                <w:szCs w:val="14"/>
                <w:color w:val="auto"/>
              </w:rPr>
              <w:t>59,191</w:t>
            </w:r>
          </w:p>
        </w:tc>
        <w:tc>
          <w:tcPr>
            <w:tcW w:w="36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jc w:val="right"/>
              <w:ind w:right="228"/>
              <w:spacing w:after="0"/>
              <w:rPr>
                <w:sz w:val="20"/>
                <w:szCs w:val="20"/>
                <w:color w:val="auto"/>
              </w:rPr>
            </w:pPr>
            <w:r>
              <w:rPr>
                <w:rFonts w:ascii="Arial" w:cs="Arial" w:eastAsia="Arial" w:hAnsi="Arial"/>
                <w:sz w:val="14"/>
                <w:szCs w:val="14"/>
                <w:color w:val="auto"/>
              </w:rPr>
              <w:t>2,742,319</w:t>
            </w: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20,478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948,746</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17,918</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(12)</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830,141</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18,627</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(13)</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862,989</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29,595</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(14)</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1,371,136</w:t>
            </w:r>
          </w:p>
        </w:tc>
      </w:tr>
      <w:tr>
        <w:trPr>
          <w:trHeight w:val="189"/>
        </w:trPr>
        <w:tc>
          <w:tcPr>
            <w:tcW w:w="1400" w:type="dxa"/>
            <w:vAlign w:val="bottom"/>
            <w:shd w:val="clear" w:color="auto" w:fill="CBCBCB"/>
          </w:tcPr>
          <w:p>
            <w:pPr>
              <w:spacing w:after="0"/>
              <w:rPr>
                <w:sz w:val="16"/>
                <w:szCs w:val="16"/>
                <w:color w:val="auto"/>
              </w:rPr>
            </w:pPr>
          </w:p>
        </w:tc>
        <w:tc>
          <w:tcPr>
            <w:tcW w:w="900" w:type="dxa"/>
            <w:vAlign w:val="bottom"/>
            <w:shd w:val="clear" w:color="auto" w:fill="CBCBCB"/>
          </w:tcPr>
          <w:p>
            <w:pPr>
              <w:spacing w:after="0"/>
              <w:rPr>
                <w:sz w:val="16"/>
                <w:szCs w:val="16"/>
                <w:color w:val="auto"/>
              </w:rPr>
            </w:pPr>
          </w:p>
        </w:tc>
        <w:tc>
          <w:tcPr>
            <w:tcW w:w="760" w:type="dxa"/>
            <w:vAlign w:val="bottom"/>
            <w:shd w:val="clear" w:color="auto" w:fill="CBCBCB"/>
          </w:tcPr>
          <w:p>
            <w:pPr>
              <w:spacing w:after="0"/>
              <w:rPr>
                <w:sz w:val="16"/>
                <w:szCs w:val="16"/>
                <w:color w:val="auto"/>
              </w:rPr>
            </w:pPr>
          </w:p>
        </w:tc>
        <w:tc>
          <w:tcPr>
            <w:tcW w:w="780" w:type="dxa"/>
            <w:vAlign w:val="bottom"/>
            <w:shd w:val="clear" w:color="auto" w:fill="CBCBCB"/>
          </w:tcPr>
          <w:p>
            <w:pPr>
              <w:spacing w:after="0"/>
              <w:rPr>
                <w:sz w:val="16"/>
                <w:szCs w:val="16"/>
                <w:color w:val="auto"/>
              </w:rPr>
            </w:pPr>
          </w:p>
        </w:tc>
        <w:tc>
          <w:tcPr>
            <w:tcW w:w="220" w:type="dxa"/>
            <w:vAlign w:val="bottom"/>
            <w:shd w:val="clear" w:color="auto" w:fill="CBCBCB"/>
          </w:tcPr>
          <w:p>
            <w:pPr>
              <w:spacing w:after="0"/>
              <w:rPr>
                <w:sz w:val="16"/>
                <w:szCs w:val="16"/>
                <w:color w:val="auto"/>
              </w:rPr>
            </w:pPr>
          </w:p>
        </w:tc>
        <w:tc>
          <w:tcPr>
            <w:tcW w:w="540" w:type="dxa"/>
            <w:vAlign w:val="bottom"/>
            <w:shd w:val="clear" w:color="auto" w:fill="CBCBCB"/>
          </w:tcPr>
          <w:p>
            <w:pPr>
              <w:spacing w:after="0"/>
              <w:rPr>
                <w:sz w:val="16"/>
                <w:szCs w:val="16"/>
                <w:color w:val="auto"/>
              </w:rPr>
            </w:pPr>
          </w:p>
        </w:tc>
        <w:tc>
          <w:tcPr>
            <w:tcW w:w="840" w:type="dxa"/>
            <w:vAlign w:val="bottom"/>
            <w:shd w:val="clear" w:color="auto" w:fill="CBCBCB"/>
          </w:tcPr>
          <w:p>
            <w:pPr>
              <w:spacing w:after="0"/>
              <w:rPr>
                <w:sz w:val="16"/>
                <w:szCs w:val="16"/>
                <w:color w:val="auto"/>
              </w:rPr>
            </w:pPr>
          </w:p>
        </w:tc>
        <w:tc>
          <w:tcPr>
            <w:tcW w:w="920" w:type="dxa"/>
            <w:vAlign w:val="bottom"/>
            <w:shd w:val="clear" w:color="auto" w:fill="CBCBCB"/>
          </w:tcPr>
          <w:p>
            <w:pPr>
              <w:spacing w:after="0"/>
              <w:rPr>
                <w:sz w:val="16"/>
                <w:szCs w:val="16"/>
                <w:color w:val="auto"/>
              </w:rPr>
            </w:pPr>
          </w:p>
        </w:tc>
        <w:tc>
          <w:tcPr>
            <w:tcW w:w="360" w:type="dxa"/>
            <w:vAlign w:val="bottom"/>
            <w:shd w:val="clear" w:color="auto" w:fill="CBCBCB"/>
          </w:tcPr>
          <w:p>
            <w:pPr>
              <w:spacing w:after="0"/>
              <w:rPr>
                <w:sz w:val="16"/>
                <w:szCs w:val="16"/>
                <w:color w:val="auto"/>
              </w:rPr>
            </w:pPr>
          </w:p>
        </w:tc>
        <w:tc>
          <w:tcPr>
            <w:tcW w:w="180" w:type="dxa"/>
            <w:vAlign w:val="bottom"/>
            <w:shd w:val="clear" w:color="auto" w:fill="CBCBCB"/>
          </w:tcPr>
          <w:p>
            <w:pPr>
              <w:spacing w:after="0"/>
              <w:rPr>
                <w:sz w:val="16"/>
                <w:szCs w:val="16"/>
                <w:color w:val="auto"/>
              </w:rPr>
            </w:pPr>
          </w:p>
        </w:tc>
        <w:tc>
          <w:tcPr>
            <w:tcW w:w="1000" w:type="dxa"/>
            <w:vAlign w:val="bottom"/>
            <w:shd w:val="clear" w:color="auto" w:fill="CBCBCB"/>
          </w:tcPr>
          <w:p>
            <w:pPr>
              <w:spacing w:after="0"/>
              <w:rPr>
                <w:sz w:val="16"/>
                <w:szCs w:val="16"/>
                <w:color w:val="auto"/>
              </w:rPr>
            </w:pPr>
          </w:p>
        </w:tc>
        <w:tc>
          <w:tcPr>
            <w:tcW w:w="880" w:type="dxa"/>
            <w:vAlign w:val="bottom"/>
            <w:shd w:val="clear" w:color="auto" w:fill="CBCBCB"/>
          </w:tcPr>
          <w:p>
            <w:pPr>
              <w:jc w:val="right"/>
              <w:ind w:right="88"/>
              <w:spacing w:after="0"/>
              <w:rPr>
                <w:sz w:val="20"/>
                <w:szCs w:val="20"/>
                <w:color w:val="auto"/>
              </w:rPr>
            </w:pPr>
            <w:r>
              <w:rPr>
                <w:rFonts w:ascii="Arial" w:cs="Arial" w:eastAsia="Arial" w:hAnsi="Arial"/>
                <w:sz w:val="14"/>
                <w:szCs w:val="14"/>
                <w:color w:val="auto"/>
              </w:rPr>
              <w:t>23,569</w:t>
            </w:r>
          </w:p>
        </w:tc>
        <w:tc>
          <w:tcPr>
            <w:tcW w:w="4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(15)</w:t>
            </w:r>
          </w:p>
        </w:tc>
        <w:tc>
          <w:tcPr>
            <w:tcW w:w="540" w:type="dxa"/>
            <w:vAlign w:val="bottom"/>
            <w:shd w:val="clear" w:color="auto" w:fill="CBCBCB"/>
          </w:tcPr>
          <w:p>
            <w:pPr>
              <w:spacing w:after="0"/>
              <w:rPr>
                <w:sz w:val="16"/>
                <w:szCs w:val="16"/>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4"/>
                <w:szCs w:val="14"/>
                <w:color w:val="auto"/>
              </w:rPr>
              <w:t>1,091,952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13" w:right="339" w:bottom="1440" w:gutter="0" w:footer="0" w:header="0"/>
          <w:type w:val="continuous"/>
        </w:sectPr>
      </w:pPr>
    </w:p>
    <w:bookmarkStart w:id="58" w:name="page59"/>
    <w:bookmarkEnd w:id="58"/>
    <w:p>
      <w:pPr>
        <w:ind w:left="340" w:right="280" w:hanging="332"/>
        <w:spacing w:after="0" w:line="292" w:lineRule="auto"/>
        <w:tabs>
          <w:tab w:leader="none" w:pos="3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$46.33, the closing price of our Common Stock on September 3, 2020.</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Options vest on May 8, 2021.</w:t>
      </w:r>
    </w:p>
    <w:p>
      <w:pPr>
        <w:spacing w:after="0" w:line="198"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shares lapse on May 8, 2021.</w:t>
      </w:r>
    </w:p>
    <w:p>
      <w:pPr>
        <w:spacing w:after="0" w:line="184" w:lineRule="exact"/>
        <w:rPr>
          <w:rFonts w:ascii="Arial" w:cs="Arial" w:eastAsia="Arial" w:hAnsi="Arial"/>
          <w:sz w:val="18"/>
          <w:szCs w:val="18"/>
          <w:color w:val="auto"/>
        </w:rPr>
      </w:pPr>
    </w:p>
    <w:p>
      <w:pPr>
        <w:ind w:left="340" w:right="260" w:hanging="332"/>
        <w:spacing w:after="0" w:line="292" w:lineRule="auto"/>
        <w:tabs>
          <w:tab w:leader="none" w:pos="3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16, 2020 upon the achievement of a DRAM technology ramp goal through the fourth quarter of fiscal 2019.</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Options vest in equal installments on October 24, 2020 and October 24, 2021.</w:t>
      </w:r>
    </w:p>
    <w:p>
      <w:pPr>
        <w:spacing w:after="0" w:line="198"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shares lapse on October 24, 2020.</w:t>
      </w:r>
    </w:p>
    <w:p>
      <w:pPr>
        <w:spacing w:after="0" w:line="184" w:lineRule="exact"/>
        <w:rPr>
          <w:rFonts w:ascii="Arial" w:cs="Arial" w:eastAsia="Arial" w:hAnsi="Arial"/>
          <w:sz w:val="18"/>
          <w:szCs w:val="18"/>
          <w:color w:val="auto"/>
        </w:rPr>
      </w:pPr>
    </w:p>
    <w:p>
      <w:pPr>
        <w:ind w:left="340" w:right="260" w:hanging="332"/>
        <w:spacing w:after="0" w:line="292" w:lineRule="auto"/>
        <w:tabs>
          <w:tab w:leader="none" w:pos="3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16, 2020 upon the achievement of a NAND technology ramp goal through the fourth quarter of fiscal 2019.</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2020 and October 16, 2021.</w:t>
      </w:r>
    </w:p>
    <w:p>
      <w:pPr>
        <w:spacing w:after="0" w:line="198" w:lineRule="exact"/>
        <w:rPr>
          <w:rFonts w:ascii="Arial" w:cs="Arial" w:eastAsia="Arial" w:hAnsi="Arial"/>
          <w:sz w:val="18"/>
          <w:szCs w:val="18"/>
          <w:color w:val="auto"/>
        </w:rPr>
      </w:pPr>
    </w:p>
    <w:p>
      <w:pPr>
        <w:ind w:left="340" w:right="260" w:hanging="332"/>
        <w:spacing w:after="0" w:line="292" w:lineRule="auto"/>
        <w:tabs>
          <w:tab w:leader="none" w:pos="3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16, 2020 upon the achievement of a company valuation goal through the fourth quarter of fiscal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(10)Restrictions on shares lapse in equal installments on October 16, 2020, October 16, 2021, and October 16, 2022.</w:t>
      </w:r>
    </w:p>
    <w:p>
      <w:pPr>
        <w:spacing w:after="0" w:line="185" w:lineRule="exact"/>
        <w:rPr>
          <w:sz w:val="20"/>
          <w:szCs w:val="20"/>
          <w:color w:val="auto"/>
        </w:rPr>
      </w:pPr>
    </w:p>
    <w:p>
      <w:pPr>
        <w:ind w:left="340" w:right="380" w:hanging="323"/>
        <w:spacing w:after="0" w:line="292" w:lineRule="auto"/>
        <w:rPr>
          <w:sz w:val="20"/>
          <w:szCs w:val="20"/>
          <w:color w:val="auto"/>
        </w:rPr>
      </w:pPr>
      <w:r>
        <w:rPr>
          <w:rFonts w:ascii="Arial" w:cs="Arial" w:eastAsia="Arial" w:hAnsi="Arial"/>
          <w:sz w:val="18"/>
          <w:szCs w:val="18"/>
          <w:color w:val="auto"/>
        </w:rPr>
        <w:t>(11)Represents the target number of restricted stock units. Performance-based restrictions on stock units lapse on October 16, 2020 and October 16, 2021 based on the achievement of a free cash flow goal through the fourth quarter of fiscal 2021.</w:t>
      </w:r>
    </w:p>
    <w:p>
      <w:pPr>
        <w:spacing w:after="0" w:line="117" w:lineRule="exact"/>
        <w:rPr>
          <w:sz w:val="20"/>
          <w:szCs w:val="20"/>
          <w:color w:val="auto"/>
        </w:rPr>
      </w:pPr>
    </w:p>
    <w:p>
      <w:pPr>
        <w:ind w:left="340" w:right="360" w:hanging="323"/>
        <w:spacing w:after="0" w:line="292" w:lineRule="auto"/>
        <w:rPr>
          <w:sz w:val="20"/>
          <w:szCs w:val="20"/>
          <w:color w:val="auto"/>
        </w:rPr>
      </w:pPr>
      <w:r>
        <w:rPr>
          <w:rFonts w:ascii="Arial" w:cs="Arial" w:eastAsia="Arial" w:hAnsi="Arial"/>
          <w:sz w:val="18"/>
          <w:szCs w:val="18"/>
          <w:color w:val="auto"/>
        </w:rPr>
        <w:t>(12)Represents the target number of restricted stock units. Performance-based restrictions on stock units lapse on October 16, 2020 and October 16, 2021 based on the achievement of a high value solutions sales goal through the fourth quarter of fiscal 2020.</w:t>
      </w:r>
    </w:p>
    <w:p>
      <w:pPr>
        <w:spacing w:after="0" w:line="104" w:lineRule="exact"/>
        <w:rPr>
          <w:sz w:val="20"/>
          <w:szCs w:val="20"/>
          <w:color w:val="auto"/>
        </w:rPr>
      </w:pPr>
    </w:p>
    <w:p>
      <w:pPr>
        <w:ind w:left="340" w:right="240" w:hanging="323"/>
        <w:spacing w:after="0" w:line="292" w:lineRule="auto"/>
        <w:rPr>
          <w:sz w:val="20"/>
          <w:szCs w:val="20"/>
          <w:color w:val="auto"/>
        </w:rPr>
      </w:pPr>
      <w:r>
        <w:rPr>
          <w:rFonts w:ascii="Arial" w:cs="Arial" w:eastAsia="Arial" w:hAnsi="Arial"/>
          <w:sz w:val="18"/>
          <w:szCs w:val="18"/>
          <w:color w:val="auto"/>
        </w:rPr>
        <w:t>(13)Represents the banked number of restricted stock units. Performance-based restrictions on stock units lapse on October 16, 2020 and October 16, 2021 based on the achievement of a company valuation goal through the fourth quarter of fiscal 2019.</w:t>
      </w:r>
    </w:p>
    <w:p>
      <w:pPr>
        <w:spacing w:after="0" w:line="104" w:lineRule="exact"/>
        <w:rPr>
          <w:sz w:val="20"/>
          <w:szCs w:val="20"/>
          <w:color w:val="auto"/>
        </w:rPr>
      </w:pPr>
    </w:p>
    <w:p>
      <w:pPr>
        <w:ind w:left="340" w:right="360" w:hanging="323"/>
        <w:spacing w:after="0" w:line="292" w:lineRule="auto"/>
        <w:rPr>
          <w:sz w:val="20"/>
          <w:szCs w:val="20"/>
          <w:color w:val="auto"/>
        </w:rPr>
      </w:pPr>
      <w:r>
        <w:rPr>
          <w:rFonts w:ascii="Arial" w:cs="Arial" w:eastAsia="Arial" w:hAnsi="Arial"/>
          <w:sz w:val="18"/>
          <w:szCs w:val="18"/>
          <w:color w:val="auto"/>
        </w:rPr>
        <w:t>(14)Represents the target number of restricted stock units. Performance-based restrictions on stock units lapse on October 16, 2021 and October 16, 2022 based on the achievement of a high value solutions sales goal through the fourth quarter of fiscal 2020.</w:t>
      </w:r>
    </w:p>
    <w:p>
      <w:pPr>
        <w:spacing w:after="0" w:line="117" w:lineRule="exact"/>
        <w:rPr>
          <w:sz w:val="20"/>
          <w:szCs w:val="20"/>
          <w:color w:val="auto"/>
        </w:rPr>
      </w:pPr>
    </w:p>
    <w:p>
      <w:pPr>
        <w:ind w:left="340" w:right="360" w:hanging="323"/>
        <w:spacing w:after="0" w:line="292" w:lineRule="auto"/>
        <w:rPr>
          <w:sz w:val="20"/>
          <w:szCs w:val="20"/>
          <w:color w:val="auto"/>
        </w:rPr>
      </w:pPr>
      <w:r>
        <w:rPr>
          <w:rFonts w:ascii="Arial" w:cs="Arial" w:eastAsia="Arial" w:hAnsi="Arial"/>
          <w:sz w:val="18"/>
          <w:szCs w:val="18"/>
          <w:color w:val="auto"/>
        </w:rPr>
        <w:t>(15)Represents the target number of restricted stock units. Performance-based restrictions on stock units lapse on October 16, 2021 and October 16, 2022 based on the achievement of a rTSR goal through the first quarter of fiscal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(16)Options vest on February 19, 2021 and February 19,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(17)Restrictions on shares lapse in equal installments on February 19, 2021 and February 19,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(18)Options vest on October 19,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(19)Restrictions on shares lapse on October 19,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(20)Options vest on June 23,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(21)Restrictions on shares lapse on June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51</w:t>
      </w:r>
    </w:p>
    <w:p>
      <w:pPr>
        <w:sectPr>
          <w:pgSz w:w="11900" w:h="16838" w:orient="portrait"/>
          <w:cols w:equalWidth="0" w:num="1">
            <w:col w:w="11240"/>
          </w:cols>
          <w:pgMar w:left="320" w:top="1170" w:right="339" w:bottom="1440" w:gutter="0" w:footer="0" w:header="0"/>
        </w:sectPr>
      </w:pPr>
    </w:p>
    <w:bookmarkStart w:id="59" w:name="page60"/>
    <w:bookmarkEnd w:id="59"/>
    <w:p>
      <w:pPr>
        <w:spacing w:after="0"/>
        <w:rPr>
          <w:sz w:val="20"/>
          <w:szCs w:val="20"/>
          <w:color w:val="auto"/>
        </w:rPr>
      </w:pPr>
      <w:r>
        <w:rPr>
          <w:rFonts w:ascii="Arial" w:cs="Arial" w:eastAsia="Arial" w:hAnsi="Arial"/>
          <w:sz w:val="39"/>
          <w:szCs w:val="39"/>
          <w:b w:val="1"/>
          <w:bCs w:val="1"/>
          <w:color w:val="auto"/>
        </w:rPr>
        <w:t>OPTION EXERCISES AND STOCK VESTED IN FISCAL 2020</w:t>
      </w:r>
    </w:p>
    <w:p>
      <w:pPr>
        <w:spacing w:after="0" w:line="281"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2020 and the value realized.</w:t>
      </w:r>
    </w:p>
    <w:p>
      <w:pPr>
        <w:spacing w:after="0" w:line="17"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5300" w:type="dxa"/>
            <w:vAlign w:val="bottom"/>
          </w:tcPr>
          <w:p>
            <w:pPr>
              <w:spacing w:after="0"/>
              <w:rPr>
                <w:sz w:val="16"/>
                <w:szCs w:val="16"/>
                <w:color w:val="auto"/>
              </w:rPr>
            </w:pPr>
          </w:p>
        </w:tc>
        <w:tc>
          <w:tcPr>
            <w:tcW w:w="2660" w:type="dxa"/>
            <w:vAlign w:val="bottom"/>
            <w:tcBorders>
              <w:bottom w:val="single" w:sz="8" w:color="0090DA"/>
            </w:tcBorders>
            <w:gridSpan w:val="3"/>
          </w:tcPr>
          <w:p>
            <w:pPr>
              <w:jc w:val="right"/>
              <w:ind w:right="733"/>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6"/>
                <w:szCs w:val="16"/>
                <w:color w:val="auto"/>
              </w:rPr>
            </w:pPr>
          </w:p>
        </w:tc>
        <w:tc>
          <w:tcPr>
            <w:tcW w:w="2780" w:type="dxa"/>
            <w:vAlign w:val="bottom"/>
            <w:tcBorders>
              <w:bottom w:val="single" w:sz="8" w:color="0090DA"/>
            </w:tcBorders>
            <w:gridSpan w:val="3"/>
          </w:tcPr>
          <w:p>
            <w:pPr>
              <w:jc w:val="cente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Shares</w:t>
            </w:r>
          </w:p>
        </w:tc>
        <w:tc>
          <w:tcPr>
            <w:tcW w:w="14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Value Realized on</w:t>
            </w: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 Shares</w:t>
            </w:r>
          </w:p>
        </w:tc>
        <w:tc>
          <w:tcPr>
            <w:tcW w:w="14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35"/>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Acquired on</w:t>
            </w:r>
          </w:p>
        </w:tc>
        <w:tc>
          <w:tcPr>
            <w:tcW w:w="1440" w:type="dxa"/>
            <w:vAlign w:val="bottom"/>
            <w:gridSpan w:val="3"/>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Acquired on</w:t>
            </w: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0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Exercise(1)</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Vesting(2)</w:t>
            </w:r>
          </w:p>
        </w:tc>
        <w:tc>
          <w:tcPr>
            <w:tcW w:w="260" w:type="dxa"/>
            <w:vAlign w:val="bottom"/>
          </w:tcPr>
          <w:p>
            <w:pPr>
              <w:spacing w:after="0"/>
              <w:rPr>
                <w:sz w:val="15"/>
                <w:szCs w:val="15"/>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Vesting(3)</w:t>
            </w:r>
          </w:p>
        </w:tc>
        <w:tc>
          <w:tcPr>
            <w:tcW w:w="0" w:type="dxa"/>
            <w:vAlign w:val="bottom"/>
          </w:tcPr>
          <w:p>
            <w:pPr>
              <w:spacing w:after="0"/>
              <w:rPr>
                <w:sz w:val="1"/>
                <w:szCs w:val="1"/>
                <w:color w:val="auto"/>
              </w:rPr>
            </w:pPr>
          </w:p>
        </w:tc>
      </w:tr>
      <w:tr>
        <w:trPr>
          <w:trHeight w:val="34"/>
        </w:trPr>
        <w:tc>
          <w:tcPr>
            <w:tcW w:w="530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40" w:type="dxa"/>
            <w:vAlign w:val="bottom"/>
            <w:tcBorders>
              <w:top w:val="single" w:sz="8" w:color="0090DA"/>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00" w:type="dxa"/>
            <w:vAlign w:val="bottom"/>
            <w:shd w:val="clear" w:color="auto" w:fill="CBCBCB"/>
          </w:tcPr>
          <w:p>
            <w:pPr>
              <w:spacing w:after="0"/>
              <w:rPr>
                <w:sz w:val="20"/>
                <w:szCs w:val="20"/>
                <w:color w:val="auto"/>
              </w:rPr>
            </w:pPr>
            <w:r>
              <w:rPr>
                <w:rFonts w:ascii="Arial" w:cs="Arial" w:eastAsia="Arial" w:hAnsi="Arial"/>
                <w:sz w:val="18"/>
                <w:szCs w:val="18"/>
                <w:color w:val="auto"/>
              </w:rPr>
              <w:t>Sanjay Mehrotra</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CBCB"/>
          </w:tcPr>
          <w:p>
            <w:pPr>
              <w:spacing w:after="0"/>
              <w:rPr>
                <w:sz w:val="19"/>
                <w:szCs w:val="19"/>
                <w:color w:val="auto"/>
              </w:rPr>
            </w:pPr>
          </w:p>
        </w:tc>
        <w:tc>
          <w:tcPr>
            <w:tcW w:w="1220" w:type="dxa"/>
            <w:vAlign w:val="bottom"/>
            <w:gridSpan w:val="2"/>
            <w:shd w:val="clear" w:color="auto" w:fill="CBCBCB"/>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346,700</w:t>
            </w:r>
          </w:p>
        </w:tc>
        <w:tc>
          <w:tcPr>
            <w:tcW w:w="260" w:type="dxa"/>
            <w:vAlign w:val="bottom"/>
            <w:shd w:val="clear" w:color="auto" w:fill="CBCBCB"/>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17,171,378</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David A. Zinsner</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55,017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2,865,578</w:t>
            </w:r>
          </w:p>
        </w:tc>
        <w:tc>
          <w:tcPr>
            <w:tcW w:w="0" w:type="dxa"/>
            <w:vAlign w:val="bottom"/>
          </w:tcPr>
          <w:p>
            <w:pPr>
              <w:spacing w:after="0"/>
              <w:rPr>
                <w:sz w:val="1"/>
                <w:szCs w:val="1"/>
                <w:color w:val="auto"/>
              </w:rPr>
            </w:pPr>
          </w:p>
        </w:tc>
      </w:tr>
      <w:tr>
        <w:trPr>
          <w:trHeight w:val="229"/>
        </w:trPr>
        <w:tc>
          <w:tcPr>
            <w:tcW w:w="5300" w:type="dxa"/>
            <w:vAlign w:val="bottom"/>
            <w:shd w:val="clear" w:color="auto" w:fill="CBCBCB"/>
          </w:tcPr>
          <w:p>
            <w:pPr>
              <w:spacing w:after="0"/>
              <w:rPr>
                <w:sz w:val="20"/>
                <w:szCs w:val="20"/>
                <w:color w:val="auto"/>
              </w:rPr>
            </w:pPr>
            <w:r>
              <w:rPr>
                <w:rFonts w:ascii="Arial" w:cs="Arial" w:eastAsia="Arial" w:hAnsi="Arial"/>
                <w:sz w:val="18"/>
                <w:szCs w:val="18"/>
                <w:color w:val="auto"/>
              </w:rPr>
              <w:t>Manish Bhatia</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CBCB"/>
          </w:tcPr>
          <w:p>
            <w:pPr>
              <w:spacing w:after="0"/>
              <w:rPr>
                <w:sz w:val="19"/>
                <w:szCs w:val="19"/>
                <w:color w:val="auto"/>
              </w:rPr>
            </w:pPr>
          </w:p>
        </w:tc>
        <w:tc>
          <w:tcPr>
            <w:tcW w:w="1220" w:type="dxa"/>
            <w:vAlign w:val="bottom"/>
            <w:gridSpan w:val="2"/>
            <w:shd w:val="clear" w:color="auto" w:fill="CBCBCB"/>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112,769</w:t>
            </w:r>
          </w:p>
        </w:tc>
        <w:tc>
          <w:tcPr>
            <w:tcW w:w="260" w:type="dxa"/>
            <w:vAlign w:val="bottom"/>
            <w:shd w:val="clear" w:color="auto" w:fill="CBCBCB"/>
          </w:tcPr>
          <w:p>
            <w:pPr>
              <w:spacing w:after="0"/>
              <w:rPr>
                <w:sz w:val="19"/>
                <w:szCs w:val="19"/>
                <w:color w:val="auto"/>
              </w:rPr>
            </w:pP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5,593,892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Scott J. DeBoer</w:t>
            </w:r>
          </w:p>
        </w:tc>
        <w:tc>
          <w:tcPr>
            <w:tcW w:w="1300" w:type="dxa"/>
            <w:vAlign w:val="bottom"/>
          </w:tcPr>
          <w:p>
            <w:pPr>
              <w:jc w:val="right"/>
              <w:spacing w:after="0"/>
              <w:rPr>
                <w:sz w:val="20"/>
                <w:szCs w:val="20"/>
                <w:color w:val="auto"/>
              </w:rPr>
            </w:pPr>
            <w:r>
              <w:rPr>
                <w:rFonts w:ascii="Arial" w:cs="Arial" w:eastAsia="Arial" w:hAnsi="Arial"/>
                <w:sz w:val="18"/>
                <w:szCs w:val="18"/>
                <w:color w:val="auto"/>
              </w:rPr>
              <w:t>27,389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930,948</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95,145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4,630,196</w:t>
            </w:r>
          </w:p>
        </w:tc>
        <w:tc>
          <w:tcPr>
            <w:tcW w:w="0" w:type="dxa"/>
            <w:vAlign w:val="bottom"/>
          </w:tcPr>
          <w:p>
            <w:pPr>
              <w:spacing w:after="0"/>
              <w:rPr>
                <w:sz w:val="1"/>
                <w:szCs w:val="1"/>
                <w:color w:val="auto"/>
              </w:rPr>
            </w:pPr>
          </w:p>
        </w:tc>
      </w:tr>
      <w:tr>
        <w:trPr>
          <w:trHeight w:val="229"/>
        </w:trPr>
        <w:tc>
          <w:tcPr>
            <w:tcW w:w="5300" w:type="dxa"/>
            <w:vAlign w:val="bottom"/>
            <w:shd w:val="clear" w:color="auto" w:fill="CBCBCB"/>
          </w:tcPr>
          <w:p>
            <w:pPr>
              <w:spacing w:after="0"/>
              <w:rPr>
                <w:sz w:val="20"/>
                <w:szCs w:val="20"/>
                <w:color w:val="auto"/>
              </w:rPr>
            </w:pPr>
            <w:r>
              <w:rPr>
                <w:rFonts w:ascii="Arial" w:cs="Arial" w:eastAsia="Arial" w:hAnsi="Arial"/>
                <w:sz w:val="18"/>
                <w:szCs w:val="18"/>
                <w:color w:val="auto"/>
              </w:rPr>
              <w:t>Sumit Sadana</w:t>
            </w:r>
          </w:p>
        </w:tc>
        <w:tc>
          <w:tcPr>
            <w:tcW w:w="13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BCBCB"/>
          </w:tcPr>
          <w:p>
            <w:pPr>
              <w:spacing w:after="0"/>
              <w:rPr>
                <w:sz w:val="19"/>
                <w:szCs w:val="19"/>
                <w:color w:val="auto"/>
              </w:rPr>
            </w:pPr>
          </w:p>
        </w:tc>
        <w:tc>
          <w:tcPr>
            <w:tcW w:w="1220" w:type="dxa"/>
            <w:vAlign w:val="bottom"/>
            <w:gridSpan w:val="2"/>
            <w:shd w:val="clear" w:color="auto" w:fill="CBCBCB"/>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114,928</w:t>
            </w:r>
          </w:p>
        </w:tc>
        <w:tc>
          <w:tcPr>
            <w:tcW w:w="260" w:type="dxa"/>
            <w:vAlign w:val="bottom"/>
            <w:shd w:val="clear" w:color="auto" w:fill="CBCBCB"/>
          </w:tcPr>
          <w:p>
            <w:pPr>
              <w:spacing w:after="0"/>
              <w:rPr>
                <w:sz w:val="19"/>
                <w:szCs w:val="19"/>
                <w:color w:val="auto"/>
              </w:rPr>
            </w:pPr>
          </w:p>
        </w:tc>
        <w:tc>
          <w:tcPr>
            <w:tcW w:w="1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5,768,893</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420" w:hanging="332"/>
        <w:spacing w:after="0" w:line="292" w:lineRule="auto"/>
        <w:tabs>
          <w:tab w:leader="none" w:pos="3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as the aggregate value of the number of options exercised multiplied by the difference between the fair market value per share at the time of the exercise and the exercise price of the option.</w:t>
      </w:r>
    </w:p>
    <w:p>
      <w:pPr>
        <w:spacing w:after="0" w:line="103" w:lineRule="exact"/>
        <w:rPr>
          <w:rFonts w:ascii="Arial" w:cs="Arial" w:eastAsia="Arial" w:hAnsi="Arial"/>
          <w:sz w:val="18"/>
          <w:szCs w:val="18"/>
          <w:color w:val="auto"/>
        </w:rPr>
      </w:pPr>
    </w:p>
    <w:p>
      <w:pPr>
        <w:ind w:left="340" w:right="20" w:hanging="332"/>
        <w:spacing w:after="0" w:line="260" w:lineRule="auto"/>
        <w:tabs>
          <w:tab w:leader="none" w:pos="3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2020 based on performance completed by the end of fiscal 2020 and performance-based restricted units for which time-based restrictions lapsed in fiscal 2020 but for which the performance condition had been met in prior years. Excludes performance-based restricted units vested in October 2019 based on performance completed by the end of fiscal 2019 and performance-based restricted units with time-based restrictions that had met the performance-based condition but for which the time-based restriction had not lapsed by the end of fiscal 2020.</w:t>
      </w:r>
    </w:p>
    <w:p>
      <w:pPr>
        <w:spacing w:after="0" w:line="147"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2020 NONQUALIFIED DEFERRED COMPENSATION</w:t>
      </w:r>
    </w:p>
    <w:p>
      <w:pPr>
        <w:spacing w:after="0" w:line="269"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Mr. Mehrotra is the only Named Executive Officer who has participated in the Micron Technology, Inc. Deferred Compensation Plan (the “Deferred Compensation Plan”) through the end of fiscal 2020.</w:t>
      </w: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center"/>
              <w:ind w:right="99"/>
              <w:spacing w:after="0" w:line="170" w:lineRule="exact"/>
              <w:rPr>
                <w:sz w:val="20"/>
                <w:szCs w:val="20"/>
                <w:color w:val="auto"/>
              </w:rPr>
            </w:pPr>
            <w:r>
              <w:rPr>
                <w:rFonts w:ascii="Arial" w:cs="Arial" w:eastAsia="Arial" w:hAnsi="Arial"/>
                <w:sz w:val="16"/>
                <w:szCs w:val="16"/>
                <w:b w:val="1"/>
                <w:bCs w:val="1"/>
                <w:color w:val="auto"/>
              </w:rPr>
              <w:t>Executive</w:t>
            </w:r>
          </w:p>
        </w:tc>
        <w:tc>
          <w:tcPr>
            <w:tcW w:w="220" w:type="dxa"/>
            <w:vAlign w:val="bottom"/>
          </w:tcPr>
          <w:p>
            <w:pPr>
              <w:spacing w:after="0"/>
              <w:rPr>
                <w:sz w:val="14"/>
                <w:szCs w:val="14"/>
                <w:color w:val="auto"/>
              </w:rPr>
            </w:pPr>
          </w:p>
        </w:tc>
        <w:tc>
          <w:tcPr>
            <w:tcW w:w="1300" w:type="dxa"/>
            <w:vAlign w:val="bottom"/>
          </w:tcPr>
          <w:p>
            <w:pPr>
              <w:jc w:val="center"/>
              <w:ind w:right="219"/>
              <w:spacing w:after="0" w:line="170" w:lineRule="exact"/>
              <w:rPr>
                <w:sz w:val="20"/>
                <w:szCs w:val="20"/>
                <w:color w:val="auto"/>
              </w:rPr>
            </w:pPr>
            <w:r>
              <w:rPr>
                <w:rFonts w:ascii="Arial" w:cs="Arial" w:eastAsia="Arial" w:hAnsi="Arial"/>
                <w:sz w:val="16"/>
                <w:szCs w:val="16"/>
                <w:b w:val="1"/>
                <w:bCs w:val="1"/>
                <w:color w:val="auto"/>
              </w:rPr>
              <w:t>Registrant</w:t>
            </w:r>
          </w:p>
        </w:tc>
        <w:tc>
          <w:tcPr>
            <w:tcW w:w="12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Aggregate</w:t>
            </w:r>
          </w:p>
        </w:tc>
        <w:tc>
          <w:tcPr>
            <w:tcW w:w="164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auto"/>
              </w:rPr>
              <w:t>Aggregate</w:t>
            </w:r>
          </w:p>
        </w:tc>
        <w:tc>
          <w:tcPr>
            <w:tcW w:w="520" w:type="dxa"/>
            <w:vAlign w:val="bottom"/>
          </w:tcPr>
          <w:p>
            <w:pPr>
              <w:spacing w:after="0"/>
              <w:rPr>
                <w:sz w:val="14"/>
                <w:szCs w:val="14"/>
                <w:color w:val="auto"/>
              </w:rPr>
            </w:pPr>
          </w:p>
        </w:tc>
        <w:tc>
          <w:tcPr>
            <w:tcW w:w="1300" w:type="dxa"/>
            <w:vAlign w:val="bottom"/>
          </w:tcPr>
          <w:p>
            <w:pPr>
              <w:jc w:val="center"/>
              <w:ind w:right="19"/>
              <w:spacing w:after="0" w:line="170" w:lineRule="exact"/>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2280" w:type="dxa"/>
            <w:vAlign w:val="bottom"/>
            <w:gridSpan w:val="2"/>
          </w:tcPr>
          <w:p>
            <w:pPr>
              <w:jc w:val="center"/>
              <w:ind w:left="879"/>
              <w:spacing w:after="0" w:line="162" w:lineRule="exact"/>
              <w:rPr>
                <w:sz w:val="20"/>
                <w:szCs w:val="20"/>
                <w:color w:val="auto"/>
              </w:rPr>
            </w:pPr>
            <w:r>
              <w:rPr>
                <w:rFonts w:ascii="Arial" w:cs="Arial" w:eastAsia="Arial" w:hAnsi="Arial"/>
                <w:sz w:val="16"/>
                <w:szCs w:val="16"/>
                <w:b w:val="1"/>
                <w:bCs w:val="1"/>
                <w:color w:val="auto"/>
              </w:rPr>
              <w:t>Contributions in</w:t>
            </w:r>
          </w:p>
        </w:tc>
        <w:tc>
          <w:tcPr>
            <w:tcW w:w="1520" w:type="dxa"/>
            <w:vAlign w:val="bottom"/>
            <w:gridSpan w:val="2"/>
          </w:tcPr>
          <w:p>
            <w:pPr>
              <w:jc w:val="center"/>
              <w:ind w:right="19"/>
              <w:spacing w:after="0" w:line="162" w:lineRule="exact"/>
              <w:rPr>
                <w:sz w:val="20"/>
                <w:szCs w:val="20"/>
                <w:color w:val="auto"/>
              </w:rPr>
            </w:pPr>
            <w:r>
              <w:rPr>
                <w:rFonts w:ascii="Arial" w:cs="Arial" w:eastAsia="Arial" w:hAnsi="Arial"/>
                <w:sz w:val="16"/>
                <w:szCs w:val="16"/>
                <w:b w:val="1"/>
                <w:bCs w:val="1"/>
                <w:color w:val="auto"/>
              </w:rPr>
              <w:t>Contributions in</w:t>
            </w:r>
          </w:p>
        </w:tc>
        <w:tc>
          <w:tcPr>
            <w:tcW w:w="120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Balance at Last</w:t>
            </w:r>
          </w:p>
        </w:tc>
        <w:tc>
          <w:tcPr>
            <w:tcW w:w="0" w:type="dxa"/>
            <w:vAlign w:val="bottom"/>
          </w:tcPr>
          <w:p>
            <w:pPr>
              <w:spacing w:after="0"/>
              <w:rPr>
                <w:sz w:val="1"/>
                <w:szCs w:val="1"/>
                <w:color w:val="auto"/>
              </w:rPr>
            </w:pPr>
          </w:p>
        </w:tc>
      </w:tr>
      <w:tr>
        <w:trPr>
          <w:trHeight w:val="162"/>
        </w:trPr>
        <w:tc>
          <w:tcPr>
            <w:tcW w:w="2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280" w:type="dxa"/>
            <w:vAlign w:val="bottom"/>
            <w:gridSpan w:val="2"/>
          </w:tcPr>
          <w:p>
            <w:pPr>
              <w:jc w:val="center"/>
              <w:ind w:left="859"/>
              <w:spacing w:after="0" w:line="162" w:lineRule="exact"/>
              <w:rPr>
                <w:sz w:val="20"/>
                <w:szCs w:val="20"/>
                <w:color w:val="auto"/>
              </w:rPr>
            </w:pPr>
            <w:r>
              <w:rPr>
                <w:rFonts w:ascii="Arial" w:cs="Arial" w:eastAsia="Arial" w:hAnsi="Arial"/>
                <w:sz w:val="16"/>
                <w:szCs w:val="16"/>
                <w:b w:val="1"/>
                <w:bCs w:val="1"/>
                <w:color w:val="auto"/>
              </w:rPr>
              <w:t>Last Fiscal Year</w:t>
            </w:r>
          </w:p>
        </w:tc>
        <w:tc>
          <w:tcPr>
            <w:tcW w:w="6180" w:type="dxa"/>
            <w:vAlign w:val="bottom"/>
            <w:gridSpan w:val="6"/>
          </w:tcPr>
          <w:p>
            <w:pPr>
              <w:jc w:val="right"/>
              <w:ind w:right="19"/>
              <w:spacing w:after="0" w:line="162" w:lineRule="exact"/>
              <w:rPr>
                <w:sz w:val="20"/>
                <w:szCs w:val="20"/>
                <w:color w:val="auto"/>
              </w:rPr>
            </w:pPr>
            <w:r>
              <w:rPr>
                <w:rFonts w:ascii="Arial" w:cs="Arial" w:eastAsia="Arial" w:hAnsi="Arial"/>
                <w:sz w:val="16"/>
                <w:szCs w:val="16"/>
                <w:b w:val="1"/>
                <w:bCs w:val="1"/>
                <w:color w:val="auto"/>
              </w:rPr>
              <w:t>Last Fiscal Year  Earnings in Last Withdrawals/Distributions  Fiscal Year-End</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0090DA"/>
            </w:tcBorders>
            <w:vMerge w:val="continue"/>
          </w:tcPr>
          <w:p>
            <w:pPr>
              <w:spacing w:after="0"/>
              <w:rPr>
                <w:sz w:val="18"/>
                <w:szCs w:val="18"/>
                <w:color w:val="auto"/>
              </w:rPr>
            </w:pPr>
          </w:p>
        </w:tc>
        <w:tc>
          <w:tcPr>
            <w:tcW w:w="1140" w:type="dxa"/>
            <w:vAlign w:val="bottom"/>
            <w:tcBorders>
              <w:bottom w:val="single" w:sz="8" w:color="0090DA"/>
            </w:tcBorders>
          </w:tcPr>
          <w:p>
            <w:pPr>
              <w:spacing w:after="0"/>
              <w:rPr>
                <w:sz w:val="18"/>
                <w:szCs w:val="18"/>
                <w:color w:val="auto"/>
              </w:rPr>
            </w:pPr>
          </w:p>
        </w:tc>
        <w:tc>
          <w:tcPr>
            <w:tcW w:w="1140" w:type="dxa"/>
            <w:vAlign w:val="bottom"/>
            <w:tcBorders>
              <w:bottom w:val="single" w:sz="8" w:color="0090DA"/>
            </w:tcBorders>
          </w:tcPr>
          <w:p>
            <w:pPr>
              <w:jc w:val="center"/>
              <w:ind w:right="99"/>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0090DA"/>
            </w:tcBorders>
          </w:tcPr>
          <w:p>
            <w:pPr>
              <w:spacing w:after="0"/>
              <w:rPr>
                <w:sz w:val="18"/>
                <w:szCs w:val="18"/>
                <w:color w:val="auto"/>
              </w:rPr>
            </w:pPr>
          </w:p>
        </w:tc>
        <w:tc>
          <w:tcPr>
            <w:tcW w:w="1300" w:type="dxa"/>
            <w:vAlign w:val="bottom"/>
            <w:tcBorders>
              <w:bottom w:val="single" w:sz="8" w:color="0090DA"/>
            </w:tcBorders>
          </w:tcPr>
          <w:p>
            <w:pPr>
              <w:jc w:val="center"/>
              <w:ind w:right="2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Fiscal Year ($)</w:t>
            </w:r>
          </w:p>
        </w:tc>
        <w:tc>
          <w:tcPr>
            <w:tcW w:w="1640" w:type="dxa"/>
            <w:vAlign w:val="bottom"/>
            <w:tcBorders>
              <w:bottom w:val="single" w:sz="8" w:color="0090DA"/>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0090DA"/>
            </w:tcBorders>
          </w:tcPr>
          <w:p>
            <w:pPr>
              <w:spacing w:after="0"/>
              <w:rPr>
                <w:sz w:val="18"/>
                <w:szCs w:val="18"/>
                <w:color w:val="auto"/>
              </w:rPr>
            </w:pPr>
          </w:p>
        </w:tc>
        <w:tc>
          <w:tcPr>
            <w:tcW w:w="130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34"/>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140" w:type="dxa"/>
            <w:vAlign w:val="bottom"/>
            <w:shd w:val="clear" w:color="auto" w:fill="CBCBCB"/>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1,619,292</w:t>
            </w:r>
          </w:p>
        </w:tc>
        <w:tc>
          <w:tcPr>
            <w:tcW w:w="2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BCBCB"/>
          </w:tcPr>
          <w:p>
            <w:pPr>
              <w:ind w:left="94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336,308</w:t>
            </w:r>
          </w:p>
        </w:tc>
        <w:tc>
          <w:tcPr>
            <w:tcW w:w="1640" w:type="dxa"/>
            <w:vAlign w:val="bottom"/>
            <w:shd w:val="clear" w:color="auto" w:fill="CBCBCB"/>
          </w:tcPr>
          <w:p>
            <w:pPr>
              <w:jc w:val="right"/>
              <w:ind w:right="14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BCBCB"/>
          </w:tcPr>
          <w:p>
            <w:pPr>
              <w:ind w:left="18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3,108,008</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100" w:hanging="332"/>
        <w:spacing w:after="0" w:line="292" w:lineRule="auto"/>
        <w:tabs>
          <w:tab w:leader="none" w:pos="3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$655,992 included in the Summary Compensation table in the “Salary” column and $963,300 included in the “Non-Equity Incentive Plan Compensation” column for fiscal 2020.</w:t>
      </w:r>
    </w:p>
    <w:p>
      <w:pPr>
        <w:spacing w:after="0" w:line="103"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Balance as of the beginning of fiscal 2020 was $1,152,408.</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Summary of Material Terms of Deferred Compensation Plan</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w:t>
      </w:r>
    </w:p>
    <w:p>
      <w:pPr>
        <w:sectPr>
          <w:pgSz w:w="11900" w:h="16838" w:orient="portrait"/>
          <w:cols w:equalWidth="0" w:num="1">
            <w:col w:w="11200"/>
          </w:cols>
          <w:pgMar w:left="320" w:top="9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913" w:right="379" w:bottom="1440" w:gutter="0" w:footer="0" w:header="0"/>
          <w:type w:val="continuous"/>
        </w:sectPr>
      </w:pPr>
    </w:p>
    <w:bookmarkStart w:id="60" w:name="page61"/>
    <w:bookmarkEnd w:id="60"/>
    <w:p>
      <w:pPr>
        <w:ind w:right="40"/>
        <w:spacing w:after="0" w:line="257" w:lineRule="auto"/>
        <w:rPr>
          <w:sz w:val="20"/>
          <w:szCs w:val="20"/>
          <w:color w:val="auto"/>
        </w:rPr>
      </w:pPr>
      <w:r>
        <w:rPr>
          <w:rFonts w:ascii="Arial" w:cs="Arial" w:eastAsia="Arial" w:hAnsi="Arial"/>
          <w:sz w:val="18"/>
          <w:szCs w:val="18"/>
          <w:color w:val="auto"/>
        </w:rPr>
        <w:t>from service with the Company, or the earlier of a fixed date or 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Compensation deferred under the Deferred Compensation Plan represents an unsecured obligation of the Company. Amounts deferred under the Deferred Compensation Plan are held in a separate rabbi trust established to pay Plan benefits.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CHIEF EXECUTIVE OFFICER PAY RATIO</w:t>
      </w:r>
    </w:p>
    <w:p>
      <w:pPr>
        <w:spacing w:after="0" w:line="26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In accordance with Item 402(u) of Regulation S-K, we are providing the ratio of the annual total compensation of our Chief Executive Officer to the annual total compensation of our median employee.</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excluding our Chief Executive Officer, for fiscal 2020 was $68,558.</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for fiscal 2020 was $19,995,488.</w:t>
      </w:r>
    </w:p>
    <w:p>
      <w:pPr>
        <w:spacing w:after="0" w:line="9" w:lineRule="exact"/>
        <w:rPr>
          <w:rFonts w:ascii="Arial" w:cs="Arial" w:eastAsia="Arial" w:hAnsi="Arial"/>
          <w:sz w:val="18"/>
          <w:szCs w:val="18"/>
          <w:color w:val="auto"/>
        </w:rPr>
      </w:pPr>
    </w:p>
    <w:p>
      <w:pPr>
        <w:ind w:left="660" w:right="780" w:hanging="328"/>
        <w:spacing w:after="0" w:line="266"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Chief Executive Officer to that of our median employee for fiscal 2020 was estimated to be 292 to 1.</w:t>
      </w:r>
    </w:p>
    <w:p>
      <w:pPr>
        <w:spacing w:after="0" w:line="16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median employee generally is the employee whose annual total compensation is at the midpoint of our employees, ranked in order of their compensation amounts. As permitted under SEC rules, we are using the same median employee identified for purposes of our fiscal 2018 CEO pay ratio, as we believe there have been no changes to our employee population or compensation that would significantly impact our pay ratio disclosure. When calculating our median compensation for fiscal 2018, we utilized our global employee population and exchange rates effective as of August 30, 2018. As of August 30, 2018, our employee population was 35,956. This includes all regular, part-time, and temporary employees. No exclusions were made for countries, employee types, or acquisitions.</w:t>
      </w:r>
    </w:p>
    <w:p>
      <w:pPr>
        <w:spacing w:after="0" w:line="17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Median Compensation Employee for fiscal 2020 was a Fab Engineer based in Taiwan. We determined actual total compensation in accordance with Item 402(c)(2)(x) of Regulation S-K and in the same manner as our Chief Executive Officer in the Summary Compensation Table using the daily average New Taiwan dollar exchange rates for compensation paid to the Median Compensation Employee during fiscal 2020. We compared this value to the annual total compensation of our Chief Executive Officer for purposes of the ratio set forth above. We did not make any cost of living adjustments.</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Based on the above, the ratio shown above of the annual total</w:t>
      </w:r>
    </w:p>
    <w:p>
      <w:pPr>
        <w:spacing w:after="0" w:line="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compensation of our Chief Executive Officer to the annual total compensation of the Median Compensation Employee for fiscal 2020 is a reasonable estimate calculated in a manner consistent with Item 402(u) of Regulation S-K.</w:t>
      </w:r>
    </w:p>
    <w:p>
      <w:pPr>
        <w:spacing w:after="0" w:line="200" w:lineRule="exact"/>
        <w:rPr>
          <w:sz w:val="20"/>
          <w:szCs w:val="20"/>
          <w:color w:val="auto"/>
        </w:rPr>
      </w:pPr>
    </w:p>
    <w:p>
      <w:pPr>
        <w:spacing w:after="0" w:line="224" w:lineRule="exact"/>
        <w:rPr>
          <w:sz w:val="20"/>
          <w:szCs w:val="20"/>
          <w:color w:val="auto"/>
        </w:rPr>
      </w:pPr>
    </w:p>
    <w:p>
      <w:pPr>
        <w:ind w:right="140"/>
        <w:spacing w:after="0" w:line="299" w:lineRule="auto"/>
        <w:rPr>
          <w:sz w:val="20"/>
          <w:szCs w:val="20"/>
          <w:color w:val="auto"/>
        </w:rPr>
      </w:pPr>
      <w:r>
        <w:rPr>
          <w:rFonts w:ascii="Arial" w:cs="Arial" w:eastAsia="Arial" w:hAnsi="Arial"/>
          <w:sz w:val="40"/>
          <w:szCs w:val="40"/>
          <w:b w:val="1"/>
          <w:bCs w:val="1"/>
          <w:color w:val="auto"/>
        </w:rPr>
        <w:t>POTENTIAL PAYMENTS UPON TERMINATION OR CHANGE IN CONTROL</w:t>
      </w:r>
    </w:p>
    <w:p>
      <w:pPr>
        <w:spacing w:after="0" w:line="5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Executive Agreement and NEO Severance Agreements and in the event of a change in control as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53</w:t>
      </w:r>
    </w:p>
    <w:p>
      <w:pPr>
        <w:sectPr>
          <w:pgSz w:w="11900" w:h="16838" w:orient="portrait"/>
          <w:cols w:equalWidth="0" w:num="1">
            <w:col w:w="11240"/>
          </w:cols>
          <w:pgMar w:left="320" w:top="927" w:right="339" w:bottom="1440" w:gutter="0" w:footer="0" w:header="0"/>
        </w:sectPr>
      </w:pPr>
    </w:p>
    <w:bookmarkStart w:id="61" w:name="page62"/>
    <w:bookmarkEnd w:id="61"/>
    <w:p>
      <w:pPr>
        <w:spacing w:after="0" w:line="271" w:lineRule="auto"/>
        <w:rPr>
          <w:sz w:val="20"/>
          <w:szCs w:val="20"/>
          <w:color w:val="auto"/>
        </w:rPr>
      </w:pPr>
      <w:r>
        <w:rPr>
          <w:rFonts w:ascii="Arial" w:cs="Arial" w:eastAsia="Arial" w:hAnsi="Arial"/>
          <w:sz w:val="18"/>
          <w:szCs w:val="18"/>
          <w:color w:val="auto"/>
        </w:rPr>
        <w:t>described in the “Severance and Change in Control Arrangements” section of the “Compensation Discussion and Analysis.” The amounts listed for the Named Executive Officers are estimated amounts that were calculated as if a change in control occurred on September 3, 2020, or the Named Executive Officers separated from service on September 3, 2020, the last day of fiscal 2020.</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Potential Payment upon Termination without Change in Control</w:t>
      </w:r>
    </w:p>
    <w:p>
      <w:pPr>
        <w:spacing w:after="0" w:line="24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All the Named Executive Officers have severance agreements. Payments and benefits upon termination for Messrs. Mehrotra, Zinsner, Bhatia, and Sadana are payable only if their employment with the Company terminates as a result of death or disability, the Company terminates their employment without cause, or they resign for good reason.</w:t>
      </w:r>
    </w:p>
    <w:p>
      <w:pPr>
        <w:spacing w:after="0" w:line="19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9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also would receive a bonus of two times his target annual bonus under the EIP for the year of termination paid on the anniversary of his termination.</w:t>
      </w:r>
    </w:p>
    <w:p>
      <w:pPr>
        <w:spacing w:after="0" w:line="1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with the exception of Mr. Mehrotra, who would receive two times the monthly amount.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If Section 409A imposes a six-month delay, the payment would be made to the Named Executive Officer on the first day of the seventh month following the officer’s separation from service.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Value of</w:t>
            </w:r>
          </w:p>
        </w:tc>
        <w:tc>
          <w:tcPr>
            <w:tcW w:w="140" w:type="dxa"/>
            <w:vAlign w:val="bottom"/>
          </w:tcPr>
          <w:p>
            <w:pPr>
              <w:spacing w:after="0"/>
              <w:rPr>
                <w:sz w:val="16"/>
                <w:szCs w:val="16"/>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9"/>
              </w:rPr>
              <w:t>Value of</w:t>
            </w:r>
          </w:p>
        </w:tc>
        <w:tc>
          <w:tcPr>
            <w:tcW w:w="14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Value of</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Extended</w:t>
            </w: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Cash in Lieu of</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w:t>
            </w:r>
          </w:p>
        </w:tc>
        <w:tc>
          <w:tcPr>
            <w:tcW w:w="14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Extended</w:t>
            </w:r>
          </w:p>
        </w:tc>
        <w:tc>
          <w:tcPr>
            <w:tcW w:w="1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Unearned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Vesting and</w:t>
            </w:r>
          </w:p>
        </w:tc>
        <w:tc>
          <w:tcPr>
            <w:tcW w:w="14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9"/>
              </w:rPr>
              <w:t>Restricted</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Performance -</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Salary(1)</w:t>
            </w:r>
          </w:p>
        </w:tc>
        <w:tc>
          <w:tcPr>
            <w:tcW w:w="16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Bonus(2)</w:t>
            </w:r>
          </w:p>
        </w:tc>
        <w:tc>
          <w:tcPr>
            <w:tcW w:w="160" w:type="dxa"/>
            <w:vAlign w:val="bottom"/>
          </w:tcPr>
          <w:p>
            <w:pPr>
              <w:spacing w:after="0"/>
              <w:rPr>
                <w:sz w:val="14"/>
                <w:szCs w:val="14"/>
                <w:color w:val="auto"/>
              </w:rPr>
            </w:pPr>
          </w:p>
        </w:tc>
        <w:tc>
          <w:tcPr>
            <w:tcW w:w="10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Benefits</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Exercise Term</w:t>
            </w:r>
          </w:p>
        </w:tc>
        <w:tc>
          <w:tcPr>
            <w:tcW w:w="140" w:type="dxa"/>
            <w:vAlign w:val="bottom"/>
          </w:tcPr>
          <w:p>
            <w:pPr>
              <w:spacing w:after="0"/>
              <w:rPr>
                <w:sz w:val="14"/>
                <w:szCs w:val="14"/>
                <w:color w:val="auto"/>
              </w:rPr>
            </w:pPr>
          </w:p>
        </w:tc>
        <w:tc>
          <w:tcPr>
            <w:tcW w:w="9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Based Stock</w:t>
            </w:r>
          </w:p>
        </w:tc>
        <w:tc>
          <w:tcPr>
            <w:tcW w:w="280" w:type="dxa"/>
            <w:vAlign w:val="bottom"/>
          </w:tcPr>
          <w:p>
            <w:pPr>
              <w:spacing w:after="0"/>
              <w:rPr>
                <w:sz w:val="14"/>
                <w:szCs w:val="14"/>
                <w:color w:val="auto"/>
              </w:rPr>
            </w:pPr>
          </w:p>
        </w:tc>
        <w:tc>
          <w:tcPr>
            <w:tcW w:w="10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0090DA"/>
            </w:tcBorders>
            <w:vMerge w:val="continue"/>
          </w:tcPr>
          <w:p>
            <w:pPr>
              <w:spacing w:after="0"/>
              <w:rPr>
                <w:sz w:val="18"/>
                <w:szCs w:val="18"/>
                <w:color w:val="auto"/>
              </w:rPr>
            </w:pPr>
          </w:p>
        </w:tc>
        <w:tc>
          <w:tcPr>
            <w:tcW w:w="1860" w:type="dxa"/>
            <w:vAlign w:val="bottom"/>
            <w:tcBorders>
              <w:bottom w:val="single" w:sz="8" w:color="0090DA"/>
            </w:tcBorders>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860" w:type="dxa"/>
            <w:vAlign w:val="bottom"/>
            <w:tcBorders>
              <w:bottom w:val="single" w:sz="8" w:color="0090DA"/>
            </w:tcBorders>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jc w:val="center"/>
              <w:ind w:right="59"/>
              <w:spacing w:after="0"/>
              <w:rPr>
                <w:sz w:val="20"/>
                <w:szCs w:val="20"/>
                <w:color w:val="auto"/>
              </w:rPr>
            </w:pPr>
            <w:r>
              <w:rPr>
                <w:rFonts w:ascii="Arial" w:cs="Arial" w:eastAsia="Arial" w:hAnsi="Arial"/>
                <w:sz w:val="16"/>
                <w:szCs w:val="16"/>
                <w:b w:val="1"/>
                <w:bCs w:val="1"/>
                <w:color w:val="auto"/>
                <w:w w:val="99"/>
              </w:rPr>
              <w:t>Payment(3)</w:t>
            </w: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0090DA"/>
            </w:tcBorders>
          </w:tcPr>
          <w:p>
            <w:pPr>
              <w:spacing w:after="0"/>
              <w:rPr>
                <w:sz w:val="18"/>
                <w:szCs w:val="18"/>
                <w:color w:val="auto"/>
              </w:rPr>
            </w:pPr>
          </w:p>
        </w:tc>
        <w:tc>
          <w:tcPr>
            <w:tcW w:w="920" w:type="dxa"/>
            <w:vAlign w:val="bottom"/>
            <w:tcBorders>
              <w:bottom w:val="single" w:sz="8" w:color="0090DA"/>
            </w:tcBorders>
          </w:tcPr>
          <w:p>
            <w:pPr>
              <w:jc w:val="center"/>
              <w:ind w:right="19"/>
              <w:spacing w:after="0"/>
              <w:rPr>
                <w:sz w:val="20"/>
                <w:szCs w:val="20"/>
                <w:color w:val="auto"/>
              </w:rPr>
            </w:pPr>
            <w:r>
              <w:rPr>
                <w:rFonts w:ascii="Arial" w:cs="Arial" w:eastAsia="Arial" w:hAnsi="Arial"/>
                <w:sz w:val="16"/>
                <w:szCs w:val="16"/>
                <w:b w:val="1"/>
                <w:bCs w:val="1"/>
                <w:color w:val="auto"/>
              </w:rPr>
              <w:t>Vesting(5)</w:t>
            </w:r>
          </w:p>
        </w:tc>
        <w:tc>
          <w:tcPr>
            <w:tcW w:w="140" w:type="dxa"/>
            <w:vAlign w:val="bottom"/>
            <w:tcBorders>
              <w:bottom w:val="single" w:sz="8" w:color="0090DA"/>
            </w:tcBorders>
          </w:tcPr>
          <w:p>
            <w:pPr>
              <w:spacing w:after="0"/>
              <w:rPr>
                <w:sz w:val="18"/>
                <w:szCs w:val="18"/>
                <w:color w:val="auto"/>
              </w:rPr>
            </w:pPr>
          </w:p>
        </w:tc>
        <w:tc>
          <w:tcPr>
            <w:tcW w:w="11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Awards(6)</w:t>
            </w:r>
          </w:p>
        </w:tc>
        <w:tc>
          <w:tcPr>
            <w:tcW w:w="280" w:type="dxa"/>
            <w:vAlign w:val="bottom"/>
            <w:tcBorders>
              <w:bottom w:val="single" w:sz="8" w:color="0090DA"/>
            </w:tcBorders>
          </w:tcPr>
          <w:p>
            <w:pPr>
              <w:spacing w:after="0"/>
              <w:rPr>
                <w:sz w:val="18"/>
                <w:szCs w:val="18"/>
                <w:color w:val="auto"/>
              </w:rPr>
            </w:pPr>
          </w:p>
        </w:tc>
        <w:tc>
          <w:tcPr>
            <w:tcW w:w="1020" w:type="dxa"/>
            <w:vAlign w:val="bottom"/>
            <w:tcBorders>
              <w:bottom w:val="single" w:sz="8" w:color="0090D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8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  2,700,000</w:t>
            </w:r>
          </w:p>
        </w:tc>
        <w:tc>
          <w:tcPr>
            <w:tcW w:w="1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8,991,001</w:t>
            </w:r>
          </w:p>
        </w:tc>
        <w:tc>
          <w:tcPr>
            <w:tcW w:w="1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372,644</w:t>
            </w:r>
          </w:p>
        </w:tc>
        <w:tc>
          <w:tcPr>
            <w:tcW w:w="11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   4,502,976</w:t>
            </w:r>
          </w:p>
        </w:tc>
        <w:tc>
          <w:tcPr>
            <w:tcW w:w="1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9,181,726</w:t>
            </w:r>
          </w:p>
        </w:tc>
        <w:tc>
          <w:tcPr>
            <w:tcW w:w="1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8,790,098</w:t>
            </w:r>
          </w:p>
        </w:tc>
        <w:tc>
          <w:tcPr>
            <w:tcW w:w="280" w:type="dxa"/>
            <w:vAlign w:val="bottom"/>
            <w:shd w:val="clear" w:color="auto" w:fill="CBCBCB"/>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34,538,445</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860" w:type="dxa"/>
            <w:vAlign w:val="bottom"/>
          </w:tcPr>
          <w:p>
            <w:pPr>
              <w:jc w:val="right"/>
              <w:spacing w:after="0"/>
              <w:rPr>
                <w:sz w:val="20"/>
                <w:szCs w:val="20"/>
                <w:color w:val="auto"/>
              </w:rPr>
            </w:pPr>
            <w:r>
              <w:rPr>
                <w:rFonts w:ascii="Arial" w:cs="Arial" w:eastAsia="Arial" w:hAnsi="Arial"/>
                <w:sz w:val="16"/>
                <w:szCs w:val="16"/>
                <w:color w:val="auto"/>
              </w:rPr>
              <w:t>662,000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880,461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86,711</w:t>
            </w:r>
          </w:p>
        </w:tc>
        <w:tc>
          <w:tcPr>
            <w:tcW w:w="1160" w:type="dxa"/>
            <w:vAlign w:val="bottom"/>
          </w:tcPr>
          <w:p>
            <w:pPr>
              <w:jc w:val="right"/>
              <w:spacing w:after="0"/>
              <w:rPr>
                <w:sz w:val="20"/>
                <w:szCs w:val="20"/>
                <w:color w:val="auto"/>
              </w:rPr>
            </w:pPr>
            <w:r>
              <w:rPr>
                <w:rFonts w:ascii="Arial" w:cs="Arial" w:eastAsia="Arial" w:hAnsi="Arial"/>
                <w:sz w:val="16"/>
                <w:szCs w:val="16"/>
                <w:color w:val="auto"/>
              </w:rPr>
              <w:t>571,799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1,768,648</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1,294,877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5,264,496</w:t>
            </w:r>
          </w:p>
        </w:tc>
        <w:tc>
          <w:tcPr>
            <w:tcW w:w="0" w:type="dxa"/>
            <w:vAlign w:val="bottom"/>
          </w:tcPr>
          <w:p>
            <w:pPr>
              <w:spacing w:after="0"/>
              <w:rPr>
                <w:sz w:val="1"/>
                <w:szCs w:val="1"/>
                <w:color w:val="auto"/>
              </w:rPr>
            </w:pPr>
          </w:p>
        </w:tc>
      </w:tr>
      <w:tr>
        <w:trPr>
          <w:trHeight w:val="230"/>
        </w:trPr>
        <w:tc>
          <w:tcPr>
            <w:tcW w:w="2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18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695,000</w:t>
            </w:r>
          </w:p>
        </w:tc>
        <w:tc>
          <w:tcPr>
            <w:tcW w:w="160" w:type="dxa"/>
            <w:vAlign w:val="bottom"/>
            <w:shd w:val="clear" w:color="auto" w:fill="CBCBCB"/>
          </w:tcPr>
          <w:p>
            <w:pPr>
              <w:spacing w:after="0"/>
              <w:rPr>
                <w:sz w:val="19"/>
                <w:szCs w:val="19"/>
                <w:color w:val="auto"/>
              </w:rPr>
            </w:pPr>
          </w:p>
        </w:tc>
        <w:tc>
          <w:tcPr>
            <w:tcW w:w="8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924,351</w:t>
            </w:r>
          </w:p>
        </w:tc>
        <w:tc>
          <w:tcPr>
            <w:tcW w:w="160" w:type="dxa"/>
            <w:vAlign w:val="bottom"/>
            <w:shd w:val="clear" w:color="auto" w:fill="CBCBCB"/>
          </w:tcPr>
          <w:p>
            <w:pPr>
              <w:spacing w:after="0"/>
              <w:rPr>
                <w:sz w:val="19"/>
                <w:szCs w:val="19"/>
                <w:color w:val="auto"/>
              </w:rPr>
            </w:pP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58,694</w:t>
            </w:r>
          </w:p>
        </w:tc>
        <w:tc>
          <w:tcPr>
            <w:tcW w:w="11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292,634</w:t>
            </w:r>
          </w:p>
        </w:tc>
        <w:tc>
          <w:tcPr>
            <w:tcW w:w="140" w:type="dxa"/>
            <w:vAlign w:val="bottom"/>
            <w:shd w:val="clear" w:color="auto" w:fill="CBCBCB"/>
          </w:tcPr>
          <w:p>
            <w:pPr>
              <w:spacing w:after="0"/>
              <w:rPr>
                <w:sz w:val="19"/>
                <w:szCs w:val="19"/>
                <w:color w:val="auto"/>
              </w:rPr>
            </w:pPr>
          </w:p>
        </w:tc>
        <w:tc>
          <w:tcPr>
            <w:tcW w:w="9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3,592,892</w:t>
            </w:r>
          </w:p>
        </w:tc>
        <w:tc>
          <w:tcPr>
            <w:tcW w:w="14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3,012,330</w:t>
            </w:r>
          </w:p>
        </w:tc>
        <w:tc>
          <w:tcPr>
            <w:tcW w:w="280" w:type="dxa"/>
            <w:vAlign w:val="bottom"/>
            <w:shd w:val="clear" w:color="auto" w:fill="CBCBCB"/>
          </w:tcPr>
          <w:p>
            <w:pPr>
              <w:spacing w:after="0"/>
              <w:rPr>
                <w:sz w:val="19"/>
                <w:szCs w:val="19"/>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8,575,901</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860" w:type="dxa"/>
            <w:vAlign w:val="bottom"/>
          </w:tcPr>
          <w:p>
            <w:pPr>
              <w:jc w:val="right"/>
              <w:spacing w:after="0"/>
              <w:rPr>
                <w:sz w:val="20"/>
                <w:szCs w:val="20"/>
                <w:color w:val="auto"/>
              </w:rPr>
            </w:pPr>
            <w:r>
              <w:rPr>
                <w:rFonts w:ascii="Arial" w:cs="Arial" w:eastAsia="Arial" w:hAnsi="Arial"/>
                <w:sz w:val="16"/>
                <w:szCs w:val="16"/>
                <w:color w:val="auto"/>
              </w:rPr>
              <w:t>595,000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791,351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94,333</w:t>
            </w:r>
          </w:p>
        </w:tc>
        <w:tc>
          <w:tcPr>
            <w:tcW w:w="1160" w:type="dxa"/>
            <w:vAlign w:val="bottom"/>
          </w:tcPr>
          <w:p>
            <w:pPr>
              <w:jc w:val="right"/>
              <w:spacing w:after="0"/>
              <w:rPr>
                <w:sz w:val="20"/>
                <w:szCs w:val="20"/>
                <w:color w:val="auto"/>
              </w:rPr>
            </w:pPr>
            <w:r>
              <w:rPr>
                <w:rFonts w:ascii="Arial" w:cs="Arial" w:eastAsia="Arial" w:hAnsi="Arial"/>
                <w:sz w:val="16"/>
                <w:szCs w:val="16"/>
                <w:color w:val="auto"/>
              </w:rPr>
              <w:t>684,054</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2,187,147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2,197,664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6,549,549</w:t>
            </w:r>
          </w:p>
        </w:tc>
        <w:tc>
          <w:tcPr>
            <w:tcW w:w="0" w:type="dxa"/>
            <w:vAlign w:val="bottom"/>
          </w:tcPr>
          <w:p>
            <w:pPr>
              <w:spacing w:after="0"/>
              <w:rPr>
                <w:sz w:val="1"/>
                <w:szCs w:val="1"/>
                <w:color w:val="auto"/>
              </w:rPr>
            </w:pPr>
          </w:p>
        </w:tc>
      </w:tr>
      <w:tr>
        <w:trPr>
          <w:trHeight w:val="230"/>
        </w:trPr>
        <w:tc>
          <w:tcPr>
            <w:tcW w:w="224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18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745,000</w:t>
            </w:r>
          </w:p>
        </w:tc>
        <w:tc>
          <w:tcPr>
            <w:tcW w:w="160" w:type="dxa"/>
            <w:vAlign w:val="bottom"/>
            <w:shd w:val="clear" w:color="auto" w:fill="CBCBCB"/>
          </w:tcPr>
          <w:p>
            <w:pPr>
              <w:spacing w:after="0"/>
              <w:rPr>
                <w:sz w:val="19"/>
                <w:szCs w:val="19"/>
                <w:color w:val="auto"/>
              </w:rPr>
            </w:pPr>
          </w:p>
        </w:tc>
        <w:tc>
          <w:tcPr>
            <w:tcW w:w="8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1,089,936</w:t>
            </w:r>
          </w:p>
        </w:tc>
        <w:tc>
          <w:tcPr>
            <w:tcW w:w="160" w:type="dxa"/>
            <w:vAlign w:val="bottom"/>
            <w:shd w:val="clear" w:color="auto" w:fill="CBCBCB"/>
          </w:tcPr>
          <w:p>
            <w:pPr>
              <w:spacing w:after="0"/>
              <w:rPr>
                <w:sz w:val="19"/>
                <w:szCs w:val="19"/>
                <w:color w:val="auto"/>
              </w:rPr>
            </w:pPr>
          </w:p>
        </w:tc>
        <w:tc>
          <w:tcPr>
            <w:tcW w:w="10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85,034</w:t>
            </w:r>
          </w:p>
        </w:tc>
        <w:tc>
          <w:tcPr>
            <w:tcW w:w="11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693,142</w:t>
            </w:r>
          </w:p>
        </w:tc>
        <w:tc>
          <w:tcPr>
            <w:tcW w:w="140" w:type="dxa"/>
            <w:vAlign w:val="bottom"/>
            <w:shd w:val="clear" w:color="auto" w:fill="CBCBCB"/>
          </w:tcPr>
          <w:p>
            <w:pPr>
              <w:spacing w:after="0"/>
              <w:rPr>
                <w:sz w:val="19"/>
                <w:szCs w:val="19"/>
                <w:color w:val="auto"/>
              </w:rPr>
            </w:pPr>
          </w:p>
        </w:tc>
        <w:tc>
          <w:tcPr>
            <w:tcW w:w="9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2,675,974</w:t>
            </w:r>
          </w:p>
        </w:tc>
        <w:tc>
          <w:tcPr>
            <w:tcW w:w="14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6"/>
                <w:szCs w:val="16"/>
                <w:color w:val="auto"/>
              </w:rPr>
              <w:t>3,343,358</w:t>
            </w:r>
          </w:p>
        </w:tc>
        <w:tc>
          <w:tcPr>
            <w:tcW w:w="280" w:type="dxa"/>
            <w:vAlign w:val="bottom"/>
            <w:shd w:val="clear" w:color="auto" w:fill="CBCBCB"/>
          </w:tcPr>
          <w:p>
            <w:pPr>
              <w:spacing w:after="0"/>
              <w:rPr>
                <w:sz w:val="19"/>
                <w:szCs w:val="19"/>
                <w:color w:val="auto"/>
              </w:rPr>
            </w:pPr>
          </w:p>
        </w:tc>
        <w:tc>
          <w:tcPr>
            <w:tcW w:w="10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8,632,444</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260" w:hanging="332"/>
        <w:spacing w:after="0" w:line="292"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September 3, 2020, except for Mr. Mehrotra, which represents two years of salary as of September 3, 2020.</w:t>
      </w:r>
    </w:p>
    <w:p>
      <w:pPr>
        <w:spacing w:after="0" w:line="103" w:lineRule="exact"/>
        <w:rPr>
          <w:rFonts w:ascii="Arial" w:cs="Arial" w:eastAsia="Arial" w:hAnsi="Arial"/>
          <w:sz w:val="18"/>
          <w:szCs w:val="18"/>
          <w:color w:val="auto"/>
        </w:rPr>
      </w:pPr>
    </w:p>
    <w:p>
      <w:pPr>
        <w:ind w:left="340" w:right="320" w:hanging="332"/>
        <w:spacing w:after="0" w:line="292"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2020, except for Mr. Mehrotra, which also includes two times his target annual bonus, subject to the maximum award limit imposed by the EIP.</w:t>
      </w:r>
    </w:p>
    <w:p>
      <w:pPr>
        <w:spacing w:after="0" w:line="117" w:lineRule="exact"/>
        <w:rPr>
          <w:rFonts w:ascii="Arial" w:cs="Arial" w:eastAsia="Arial" w:hAnsi="Arial"/>
          <w:sz w:val="18"/>
          <w:szCs w:val="18"/>
          <w:color w:val="auto"/>
        </w:rPr>
      </w:pPr>
    </w:p>
    <w:p>
      <w:pPr>
        <w:ind w:left="340" w:right="500" w:hanging="332"/>
        <w:spacing w:after="0" w:line="292" w:lineRule="auto"/>
        <w:tabs>
          <w:tab w:leader="none" w:pos="3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except for Mr. Mehrotra,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927" w:right="35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represents twice the amount. The amount listed includes a gross-up calculation for the tax impact of the payment.</w:t>
      </w:r>
    </w:p>
    <w:p>
      <w:pPr>
        <w:spacing w:after="0" w:line="185" w:lineRule="exact"/>
        <w:rPr>
          <w:sz w:val="20"/>
          <w:szCs w:val="20"/>
          <w:color w:val="auto"/>
        </w:rPr>
      </w:pPr>
    </w:p>
    <w:p>
      <w:pPr>
        <w:ind w:left="340" w:right="40" w:hanging="332"/>
        <w:spacing w:after="0" w:line="260"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total value of stock options that are exercisable as of September 3, 2020 and that are expected to vest during the Named Executive Officer’s Transition Period. The fair value of each option award is estimated as of September 3, 2020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as of September 3, 2020.</w:t>
      </w:r>
    </w:p>
    <w:p>
      <w:pPr>
        <w:spacing w:after="0" w:line="147" w:lineRule="exact"/>
        <w:rPr>
          <w:rFonts w:ascii="Arial" w:cs="Arial" w:eastAsia="Arial" w:hAnsi="Arial"/>
          <w:sz w:val="18"/>
          <w:szCs w:val="18"/>
          <w:color w:val="auto"/>
        </w:rPr>
      </w:pPr>
    </w:p>
    <w:p>
      <w:pPr>
        <w:ind w:left="340" w:right="280" w:hanging="332"/>
        <w:spacing w:after="0" w:line="294" w:lineRule="auto"/>
        <w:tabs>
          <w:tab w:leader="none" w:pos="33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the value resulting from the additional vesting of restricted shares during the Named Executive Officer’s Transition Period, and in Mr. Bhatia’s case includes the unvested portion of his new hire stock grant. The amount shown is calculated as the number of additional shares that would vest during the Transition Period multiplied by $46.33, our closing stock price on September 3, 2020.</w:t>
      </w:r>
    </w:p>
    <w:p>
      <w:pPr>
        <w:spacing w:after="0" w:line="105" w:lineRule="exact"/>
        <w:rPr>
          <w:rFonts w:ascii="Arial" w:cs="Arial" w:eastAsia="Arial" w:hAnsi="Arial"/>
          <w:sz w:val="17"/>
          <w:szCs w:val="17"/>
          <w:color w:val="auto"/>
        </w:rPr>
      </w:pPr>
    </w:p>
    <w:p>
      <w:pPr>
        <w:ind w:left="340" w:right="80" w:hanging="332"/>
        <w:spacing w:after="0" w:line="271" w:lineRule="auto"/>
        <w:tabs>
          <w:tab w:leader="none" w:pos="3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value resulting from the vesting of performance based restricted awards during the Named Executive Officer’s Transition Period. The amount shown is calculated as the number of additional shares that would vest during the Transition Period multiplied by $46.33, our closing stock price on September 3, 2020.</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Potential Payment under Termination with Change in Control</w:t>
      </w:r>
    </w:p>
    <w:p>
      <w:pPr>
        <w:spacing w:after="0" w:line="24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 change in control is generally defined as a change in the majority of the members of the Board of Directors within a specified time period or the acquisition of 35% or more of our outstanding Common Stock.</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equity plans, grant agreements, and EIP have change in control provisions, including “double-trigger” vesting provisions in the event of a change in control. As a result, if awards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double-trigger event. For our Named Executive Officers, upon the occurrence of a double-trigger event, outstanding performance-based awards are treated as if all required performance goals were satisfied at the target level, and the awards vested, on the date of the double-trigger event, except that if applicable performance goals have been exceeded, or the applicable performance period has been completed, at the time of a double-trigger event, performance-based awards will be treated as if relevant performance goals were satisfied at the actual level instead of the target level, subject to any applicable caps.</w:t>
      </w:r>
    </w:p>
    <w:p>
      <w:pPr>
        <w:spacing w:after="0" w:line="203"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do not have separate change in control agreements for our Named Executive Officers. The Severance Agreements for Messrs. Mehrotra, Zinsner, Bhatia,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are paid in a lump sum within 60 days from the date of separation, subject to the possibility of a six-month delay that may be required by Section 409A. All outstanding time-based and performance-based awards would become fully vested.</w:t>
      </w:r>
    </w:p>
    <w:p>
      <w:pPr>
        <w:spacing w:after="0" w:line="204"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The compensation that executive officers could receive if a change in control occurs is intended to enable them to objectively evaluate whether a potential change in control is in the best interest of us and our shareholders.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55</w:t>
      </w:r>
    </w:p>
    <w:p>
      <w:pPr>
        <w:sectPr>
          <w:pgSz w:w="11900" w:h="16838" w:orient="portrait"/>
          <w:cols w:equalWidth="0" w:num="1">
            <w:col w:w="11240"/>
          </w:cols>
          <w:pgMar w:left="320" w:top="927" w:right="339" w:bottom="1440" w:gutter="0" w:footer="0" w:header="0"/>
        </w:sectPr>
      </w:pPr>
    </w:p>
    <w:bookmarkStart w:id="63" w:name="page64"/>
    <w:bookmarkEnd w:id="63"/>
    <w:p>
      <w:pPr>
        <w:ind w:right="240"/>
        <w:spacing w:after="0" w:line="292" w:lineRule="auto"/>
        <w:rPr>
          <w:sz w:val="20"/>
          <w:szCs w:val="20"/>
          <w:color w:val="auto"/>
        </w:rPr>
      </w:pPr>
      <w:r>
        <w:rPr>
          <w:rFonts w:ascii="Arial" w:cs="Arial" w:eastAsia="Arial" w:hAnsi="Arial"/>
          <w:sz w:val="18"/>
          <w:szCs w:val="18"/>
          <w:color w:val="auto"/>
        </w:rPr>
        <w:t>The following table sets forth the estimated benefits payable to the Named Executive Officers pursuant to change in control agreements or provisions, assuming a change in control separation occurred on September 3,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rPr>
              <w:t>Cash in Lieu of</w:t>
            </w:r>
          </w:p>
        </w:tc>
        <w:tc>
          <w:tcPr>
            <w:tcW w:w="160" w:type="dxa"/>
            <w:vAlign w:val="bottom"/>
          </w:tcPr>
          <w:p>
            <w:pPr>
              <w:spacing w:after="0"/>
              <w:rPr>
                <w:sz w:val="17"/>
                <w:szCs w:val="17"/>
                <w:color w:val="auto"/>
              </w:rPr>
            </w:pPr>
          </w:p>
        </w:tc>
        <w:tc>
          <w:tcPr>
            <w:tcW w:w="11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Value of</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Value of Stock</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Salary(1)</w:t>
            </w:r>
          </w:p>
        </w:tc>
        <w:tc>
          <w:tcPr>
            <w:tcW w:w="24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Bonus(2)</w:t>
            </w:r>
          </w:p>
        </w:tc>
        <w:tc>
          <w:tcPr>
            <w:tcW w:w="18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Benefits</w:t>
            </w: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100" w:type="dxa"/>
            <w:vAlign w:val="bottom"/>
            <w:tcBorders>
              <w:bottom w:val="single" w:sz="8" w:color="0090DA"/>
            </w:tcBorders>
            <w:vMerge w:val="continue"/>
          </w:tcPr>
          <w:p>
            <w:pPr>
              <w:spacing w:after="0"/>
              <w:rPr>
                <w:sz w:val="19"/>
                <w:szCs w:val="19"/>
                <w:color w:val="auto"/>
              </w:rPr>
            </w:pPr>
          </w:p>
        </w:tc>
        <w:tc>
          <w:tcPr>
            <w:tcW w:w="2000" w:type="dxa"/>
            <w:vAlign w:val="bottom"/>
            <w:tcBorders>
              <w:bottom w:val="single" w:sz="8" w:color="0090DA"/>
            </w:tcBorders>
            <w:gridSpan w:val="2"/>
            <w:vMerge w:val="continue"/>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vMerge w:val="continue"/>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rPr>
              <w:t>Payment(3)</w:t>
            </w:r>
          </w:p>
        </w:tc>
        <w:tc>
          <w:tcPr>
            <w:tcW w:w="1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Options(4)</w:t>
            </w:r>
          </w:p>
        </w:tc>
        <w:tc>
          <w:tcPr>
            <w:tcW w:w="132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Awards(5)</w:t>
            </w:r>
          </w:p>
        </w:tc>
        <w:tc>
          <w:tcPr>
            <w:tcW w:w="22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w:t>
            </w:r>
          </w:p>
        </w:tc>
        <w:tc>
          <w:tcPr>
            <w:tcW w:w="1000" w:type="dxa"/>
            <w:vAlign w:val="bottom"/>
            <w:shd w:val="clear" w:color="auto" w:fill="CBCBCB"/>
          </w:tcPr>
          <w:p>
            <w:pPr>
              <w:ind w:left="7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2,700,000</w:t>
            </w:r>
          </w:p>
        </w:tc>
        <w:tc>
          <w:tcPr>
            <w:tcW w:w="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8,991,001</w:t>
            </w:r>
          </w:p>
        </w:tc>
        <w:tc>
          <w:tcPr>
            <w:tcW w:w="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372,644</w:t>
            </w:r>
          </w:p>
        </w:tc>
        <w:tc>
          <w:tcPr>
            <w:tcW w:w="160" w:type="dxa"/>
            <w:vAlign w:val="bottom"/>
            <w:shd w:val="clear" w:color="auto" w:fill="CBCBC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2,927,134</w:t>
            </w:r>
          </w:p>
        </w:tc>
        <w:tc>
          <w:tcPr>
            <w:tcW w:w="1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  44,449,424</w:t>
            </w:r>
          </w:p>
        </w:tc>
        <w:tc>
          <w:tcPr>
            <w:tcW w:w="22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59,440,203</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880,461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130,067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115,190</w:t>
            </w:r>
          </w:p>
        </w:tc>
        <w:tc>
          <w:tcPr>
            <w:tcW w:w="1320" w:type="dxa"/>
            <w:vAlign w:val="bottom"/>
          </w:tcPr>
          <w:p>
            <w:pPr>
              <w:jc w:val="right"/>
              <w:spacing w:after="0"/>
              <w:rPr>
                <w:sz w:val="20"/>
                <w:szCs w:val="20"/>
                <w:color w:val="auto"/>
              </w:rPr>
            </w:pPr>
            <w:r>
              <w:rPr>
                <w:rFonts w:ascii="Arial" w:cs="Arial" w:eastAsia="Arial" w:hAnsi="Arial"/>
                <w:sz w:val="18"/>
                <w:szCs w:val="18"/>
                <w:color w:val="auto"/>
              </w:rPr>
              <w:t>10,548,258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12,666,976</w:t>
            </w:r>
          </w:p>
        </w:tc>
        <w:tc>
          <w:tcPr>
            <w:tcW w:w="0" w:type="dxa"/>
            <w:vAlign w:val="bottom"/>
          </w:tcPr>
          <w:p>
            <w:pPr>
              <w:spacing w:after="0"/>
              <w:rPr>
                <w:sz w:val="1"/>
                <w:szCs w:val="1"/>
                <w:color w:val="auto"/>
              </w:rPr>
            </w:pPr>
          </w:p>
        </w:tc>
      </w:tr>
      <w:tr>
        <w:trPr>
          <w:trHeight w:val="230"/>
        </w:trPr>
        <w:tc>
          <w:tcPr>
            <w:tcW w:w="2100" w:type="dxa"/>
            <w:vAlign w:val="bottom"/>
            <w:shd w:val="clear" w:color="auto" w:fill="CBCBCB"/>
          </w:tcPr>
          <w:p>
            <w:pPr>
              <w:ind w:left="20"/>
              <w:spacing w:after="0"/>
              <w:rPr>
                <w:sz w:val="20"/>
                <w:szCs w:val="20"/>
                <w:color w:val="auto"/>
              </w:rPr>
            </w:pPr>
            <w:r>
              <w:rPr>
                <w:rFonts w:ascii="Arial" w:cs="Arial" w:eastAsia="Arial" w:hAnsi="Arial"/>
                <w:sz w:val="18"/>
                <w:szCs w:val="18"/>
                <w:color w:val="auto"/>
              </w:rPr>
              <w:t>Manish Bhatia</w:t>
            </w:r>
          </w:p>
        </w:tc>
        <w:tc>
          <w:tcPr>
            <w:tcW w:w="100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1,042,500</w:t>
            </w:r>
          </w:p>
        </w:tc>
        <w:tc>
          <w:tcPr>
            <w:tcW w:w="24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924,351</w:t>
            </w:r>
          </w:p>
        </w:tc>
        <w:tc>
          <w:tcPr>
            <w:tcW w:w="18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88,041</w:t>
            </w:r>
          </w:p>
        </w:tc>
        <w:tc>
          <w:tcPr>
            <w:tcW w:w="160" w:type="dxa"/>
            <w:vAlign w:val="bottom"/>
            <w:shd w:val="clear" w:color="auto" w:fill="CBCBCB"/>
          </w:tcPr>
          <w:p>
            <w:pPr>
              <w:spacing w:after="0"/>
              <w:rPr>
                <w:sz w:val="19"/>
                <w:szCs w:val="19"/>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127,163</w:t>
            </w:r>
          </w:p>
        </w:tc>
        <w:tc>
          <w:tcPr>
            <w:tcW w:w="1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15,304,705</w:t>
            </w:r>
          </w:p>
        </w:tc>
        <w:tc>
          <w:tcPr>
            <w:tcW w:w="22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17,486,760</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Scott J. DeBoer</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791,351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94,333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555,635</w:t>
            </w:r>
          </w:p>
        </w:tc>
        <w:tc>
          <w:tcPr>
            <w:tcW w:w="1320" w:type="dxa"/>
            <w:vAlign w:val="bottom"/>
          </w:tcPr>
          <w:p>
            <w:pPr>
              <w:jc w:val="right"/>
              <w:spacing w:after="0"/>
              <w:rPr>
                <w:sz w:val="20"/>
                <w:szCs w:val="20"/>
                <w:color w:val="auto"/>
              </w:rPr>
            </w:pPr>
            <w:r>
              <w:rPr>
                <w:rFonts w:ascii="Arial" w:cs="Arial" w:eastAsia="Arial" w:hAnsi="Arial"/>
                <w:sz w:val="18"/>
                <w:szCs w:val="18"/>
                <w:color w:val="auto"/>
              </w:rPr>
              <w:t>7,831,136</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9,867,455</w:t>
            </w:r>
          </w:p>
        </w:tc>
        <w:tc>
          <w:tcPr>
            <w:tcW w:w="0" w:type="dxa"/>
            <w:vAlign w:val="bottom"/>
          </w:tcPr>
          <w:p>
            <w:pPr>
              <w:spacing w:after="0"/>
              <w:rPr>
                <w:sz w:val="1"/>
                <w:szCs w:val="1"/>
                <w:color w:val="auto"/>
              </w:rPr>
            </w:pPr>
          </w:p>
        </w:tc>
      </w:tr>
      <w:tr>
        <w:trPr>
          <w:trHeight w:val="229"/>
        </w:trPr>
        <w:tc>
          <w:tcPr>
            <w:tcW w:w="21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Sumit Sadana</w:t>
            </w:r>
          </w:p>
        </w:tc>
        <w:tc>
          <w:tcPr>
            <w:tcW w:w="1000" w:type="dxa"/>
            <w:vAlign w:val="bottom"/>
            <w:shd w:val="clear" w:color="auto" w:fill="CBCBCB"/>
          </w:tcPr>
          <w:p>
            <w:pPr>
              <w:spacing w:after="0"/>
              <w:rPr>
                <w:sz w:val="19"/>
                <w:szCs w:val="19"/>
                <w:color w:val="auto"/>
              </w:rPr>
            </w:pPr>
          </w:p>
        </w:tc>
        <w:tc>
          <w:tcPr>
            <w:tcW w:w="10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1,117,500</w:t>
            </w:r>
          </w:p>
        </w:tc>
        <w:tc>
          <w:tcPr>
            <w:tcW w:w="24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1,089,936</w:t>
            </w:r>
          </w:p>
        </w:tc>
        <w:tc>
          <w:tcPr>
            <w:tcW w:w="180" w:type="dxa"/>
            <w:vAlign w:val="bottom"/>
            <w:shd w:val="clear" w:color="auto" w:fill="CBCBCB"/>
          </w:tcPr>
          <w:p>
            <w:pPr>
              <w:spacing w:after="0"/>
              <w:rPr>
                <w:sz w:val="19"/>
                <w:szCs w:val="19"/>
                <w:color w:val="auto"/>
              </w:rPr>
            </w:pPr>
          </w:p>
        </w:tc>
        <w:tc>
          <w:tcPr>
            <w:tcW w:w="118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127,550</w:t>
            </w:r>
          </w:p>
        </w:tc>
        <w:tc>
          <w:tcPr>
            <w:tcW w:w="160" w:type="dxa"/>
            <w:vAlign w:val="bottom"/>
            <w:shd w:val="clear" w:color="auto" w:fill="CBCBCB"/>
          </w:tcPr>
          <w:p>
            <w:pPr>
              <w:spacing w:after="0"/>
              <w:rPr>
                <w:sz w:val="19"/>
                <w:szCs w:val="19"/>
                <w:color w:val="auto"/>
              </w:rPr>
            </w:pPr>
          </w:p>
        </w:tc>
        <w:tc>
          <w:tcPr>
            <w:tcW w:w="11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343,553</w:t>
            </w:r>
          </w:p>
        </w:tc>
        <w:tc>
          <w:tcPr>
            <w:tcW w:w="13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15,726,007</w:t>
            </w:r>
          </w:p>
        </w:tc>
        <w:tc>
          <w:tcPr>
            <w:tcW w:w="220" w:type="dxa"/>
            <w:vAlign w:val="bottom"/>
            <w:shd w:val="clear" w:color="auto" w:fill="CBCBCB"/>
          </w:tcPr>
          <w:p>
            <w:pPr>
              <w:spacing w:after="0"/>
              <w:rPr>
                <w:sz w:val="19"/>
                <w:szCs w:val="19"/>
                <w:color w:val="auto"/>
              </w:rPr>
            </w:pPr>
          </w:p>
        </w:tc>
        <w:tc>
          <w:tcPr>
            <w:tcW w:w="11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18,404,546</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240" w:hanging="332"/>
        <w:spacing w:after="0" w:line="271"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one and a half years of the Named Executive Officer’s salary as of September 3, 2020, except for Mr. Mehrotra, which represents two years of his salary as of September 3, 2020, and for Mr. DeBoer, which represents one year of his salary. Mr. DeBoer’s severance agreement does not provide for additional benefits upon separation due to a change in control.</w:t>
      </w:r>
    </w:p>
    <w:p>
      <w:pPr>
        <w:spacing w:after="0" w:line="122" w:lineRule="exact"/>
        <w:rPr>
          <w:rFonts w:ascii="Arial" w:cs="Arial" w:eastAsia="Arial" w:hAnsi="Arial"/>
          <w:sz w:val="18"/>
          <w:szCs w:val="18"/>
          <w:color w:val="auto"/>
        </w:rPr>
      </w:pPr>
    </w:p>
    <w:p>
      <w:pPr>
        <w:ind w:left="340" w:right="340" w:hanging="332"/>
        <w:spacing w:after="0" w:line="292"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2020, except for Mr. Mehrotra, which also includes two times his target annual bonus, subject to the maximum award limit imposed by the EIP.</w:t>
      </w:r>
    </w:p>
    <w:p>
      <w:pPr>
        <w:spacing w:after="0" w:line="117" w:lineRule="exact"/>
        <w:rPr>
          <w:rFonts w:ascii="Arial" w:cs="Arial" w:eastAsia="Arial" w:hAnsi="Arial"/>
          <w:sz w:val="18"/>
          <w:szCs w:val="18"/>
          <w:color w:val="auto"/>
        </w:rPr>
      </w:pPr>
    </w:p>
    <w:p>
      <w:pPr>
        <w:ind w:left="340" w:right="100" w:hanging="332"/>
        <w:spacing w:after="0" w:line="264"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18 months of benefits similar to those received while an employee, except for Mr. Mehrotra, which represents 24 months of such benefits, and Mr. DeBoer, which represents 12 months of such benefits. Mr. DeBoer’s severance agreement does not provide for additional benefits upon separation due to a change in control. The amount listed includes a gross-up calculation for the tax impact of the payment.</w:t>
      </w:r>
    </w:p>
    <w:p>
      <w:pPr>
        <w:spacing w:after="0" w:line="128" w:lineRule="exact"/>
        <w:rPr>
          <w:rFonts w:ascii="Arial" w:cs="Arial" w:eastAsia="Arial" w:hAnsi="Arial"/>
          <w:sz w:val="18"/>
          <w:szCs w:val="18"/>
          <w:color w:val="auto"/>
        </w:rPr>
      </w:pPr>
    </w:p>
    <w:p>
      <w:pPr>
        <w:ind w:left="340" w:right="20" w:hanging="332"/>
        <w:spacing w:after="0" w:line="271"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outstanding unvested options are time-based equity awards and would have fully vested on September 3, 2020. Amount shown is calculated as the excess of $46.33, the closing price of our stock on September 3, 2020, over the exercise price of the options that would have been subject to accelerated vesting due to a change in control.</w:t>
      </w:r>
    </w:p>
    <w:p>
      <w:pPr>
        <w:spacing w:after="0" w:line="122" w:lineRule="exact"/>
        <w:rPr>
          <w:rFonts w:ascii="Arial" w:cs="Arial" w:eastAsia="Arial" w:hAnsi="Arial"/>
          <w:sz w:val="18"/>
          <w:szCs w:val="18"/>
          <w:color w:val="auto"/>
        </w:rPr>
      </w:pPr>
    </w:p>
    <w:p>
      <w:pPr>
        <w:ind w:left="340" w:right="20" w:hanging="332"/>
        <w:spacing w:after="0" w:line="258" w:lineRule="auto"/>
        <w:tabs>
          <w:tab w:leader="none" w:pos="3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outstanding time-based and performance-based restricted stock awards would have fully vested at target or actual achievement level on September 3, 2020, except for Mr. DeBoer, whose separation agreement does not include a change in control provision. Mr. DeBoer’s fiscal 2019 and 2020 performance-based restricted stock awards each have a performance period of three years, and two-thirds of his fiscal 2019 and one-third of his fiscal 2020 performance-based awards would have vested on September 3, 2020. The amount shown is calculated as the number of shares upon which restrictions would lapse, multiplied by $46.33, the closing price of our Common Stock on September 3, 2020.</w:t>
      </w: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6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provides information as of September 3, 2020 regarding shares of Common Stock that may be issued pursuant to our equity compensation plans:</w:t>
      </w:r>
    </w:p>
    <w:tbl>
      <w:tblPr>
        <w:tblLayout w:type="fixed"/>
        <w:tblInd w:w="6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 Number of</w:t>
            </w:r>
          </w:p>
        </w:tc>
        <w:tc>
          <w:tcPr>
            <w:tcW w:w="140" w:type="dxa"/>
            <w:vAlign w:val="bottom"/>
          </w:tcPr>
          <w:p>
            <w:pPr>
              <w:spacing w:after="0"/>
              <w:rPr>
                <w:sz w:val="14"/>
                <w:szCs w:val="14"/>
                <w:color w:val="auto"/>
              </w:rPr>
            </w:pPr>
          </w:p>
        </w:tc>
        <w:tc>
          <w:tcPr>
            <w:tcW w:w="1260" w:type="dxa"/>
            <w:vAlign w:val="bottom"/>
          </w:tcPr>
          <w:p>
            <w:pPr>
              <w:jc w:val="center"/>
              <w:ind w:right="39"/>
              <w:spacing w:after="0" w:line="170" w:lineRule="exact"/>
              <w:rPr>
                <w:sz w:val="20"/>
                <w:szCs w:val="20"/>
                <w:color w:val="auto"/>
              </w:rPr>
            </w:pPr>
            <w:r>
              <w:rPr>
                <w:rFonts w:ascii="Arial" w:cs="Arial" w:eastAsia="Arial" w:hAnsi="Arial"/>
                <w:sz w:val="16"/>
                <w:szCs w:val="16"/>
                <w:b w:val="1"/>
                <w:bCs w:val="1"/>
                <w:color w:val="auto"/>
              </w:rPr>
              <w:t>(b) Weighted</w:t>
            </w:r>
          </w:p>
        </w:tc>
        <w:tc>
          <w:tcPr>
            <w:tcW w:w="23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(c) Number of Securities</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4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Average Exercise</w:t>
            </w:r>
          </w:p>
        </w:tc>
        <w:tc>
          <w:tcPr>
            <w:tcW w:w="2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Securities to be</w:t>
            </w:r>
          </w:p>
        </w:tc>
        <w:tc>
          <w:tcPr>
            <w:tcW w:w="14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Price of</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Issued Upon Exercise</w:t>
            </w:r>
          </w:p>
        </w:tc>
        <w:tc>
          <w:tcPr>
            <w:tcW w:w="14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Outstanding</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Outstanding</w:t>
            </w:r>
          </w:p>
        </w:tc>
        <w:tc>
          <w:tcPr>
            <w:tcW w:w="14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8"/>
              </w:rPr>
              <w:t>Options,</w:t>
            </w:r>
          </w:p>
        </w:tc>
        <w:tc>
          <w:tcPr>
            <w:tcW w:w="2000" w:type="dxa"/>
            <w:vAlign w:val="bottom"/>
            <w:gridSpan w:val="2"/>
          </w:tcPr>
          <w:p>
            <w:pPr>
              <w:jc w:val="center"/>
              <w:ind w:left="319"/>
              <w:spacing w:after="0" w:line="162" w:lineRule="exact"/>
              <w:rPr>
                <w:sz w:val="20"/>
                <w:szCs w:val="20"/>
                <w:color w:val="auto"/>
              </w:rPr>
            </w:pPr>
            <w:r>
              <w:rPr>
                <w:rFonts w:ascii="Arial" w:cs="Arial" w:eastAsia="Arial" w:hAnsi="Arial"/>
                <w:sz w:val="16"/>
                <w:szCs w:val="16"/>
                <w:b w:val="1"/>
                <w:bCs w:val="1"/>
                <w:color w:val="auto"/>
              </w:rPr>
              <w:t>Compensation Plans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7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Options, Warrants and</w:t>
            </w:r>
          </w:p>
        </w:tc>
        <w:tc>
          <w:tcPr>
            <w:tcW w:w="140" w:type="dxa"/>
            <w:vAlign w:val="bottom"/>
          </w:tcPr>
          <w:p>
            <w:pPr>
              <w:spacing w:after="0"/>
              <w:rPr>
                <w:sz w:val="14"/>
                <w:szCs w:val="14"/>
                <w:color w:val="auto"/>
              </w:rPr>
            </w:pPr>
          </w:p>
        </w:tc>
        <w:tc>
          <w:tcPr>
            <w:tcW w:w="12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Warrants and</w:t>
            </w:r>
          </w:p>
        </w:tc>
        <w:tc>
          <w:tcPr>
            <w:tcW w:w="23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0090DA"/>
            </w:tcBorders>
          </w:tcPr>
          <w:p>
            <w:pPr>
              <w:spacing w:after="0"/>
              <w:rPr>
                <w:sz w:val="18"/>
                <w:szCs w:val="18"/>
                <w:color w:val="auto"/>
              </w:rPr>
            </w:pPr>
          </w:p>
        </w:tc>
        <w:tc>
          <w:tcPr>
            <w:tcW w:w="178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140" w:type="dxa"/>
            <w:vAlign w:val="bottom"/>
            <w:tcBorders>
              <w:bottom w:val="single" w:sz="8" w:color="0090DA"/>
            </w:tcBorders>
          </w:tcPr>
          <w:p>
            <w:pPr>
              <w:spacing w:after="0"/>
              <w:rPr>
                <w:sz w:val="18"/>
                <w:szCs w:val="18"/>
                <w:color w:val="auto"/>
              </w:rPr>
            </w:pPr>
          </w:p>
        </w:tc>
        <w:tc>
          <w:tcPr>
            <w:tcW w:w="1260" w:type="dxa"/>
            <w:vAlign w:val="bottom"/>
            <w:tcBorders>
              <w:bottom w:val="single" w:sz="8" w:color="0090DA"/>
            </w:tcBorders>
          </w:tcPr>
          <w:p>
            <w:pPr>
              <w:jc w:val="center"/>
              <w:ind w:right="39"/>
              <w:spacing w:after="0"/>
              <w:rPr>
                <w:sz w:val="20"/>
                <w:szCs w:val="20"/>
                <w:color w:val="auto"/>
              </w:rPr>
            </w:pPr>
            <w:r>
              <w:rPr>
                <w:rFonts w:ascii="Arial" w:cs="Arial" w:eastAsia="Arial" w:hAnsi="Arial"/>
                <w:sz w:val="16"/>
                <w:szCs w:val="16"/>
                <w:b w:val="1"/>
                <w:bCs w:val="1"/>
                <w:color w:val="auto"/>
              </w:rPr>
              <w:t>Rights(1)</w:t>
            </w:r>
          </w:p>
        </w:tc>
        <w:tc>
          <w:tcPr>
            <w:tcW w:w="2380" w:type="dxa"/>
            <w:vAlign w:val="bottom"/>
            <w:tcBorders>
              <w:bottom w:val="single" w:sz="8" w:color="0090DA"/>
            </w:tcBorders>
            <w:gridSpan w:val="3"/>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4"/>
        </w:trPr>
        <w:tc>
          <w:tcPr>
            <w:tcW w:w="5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BCBCB"/>
          </w:tcPr>
          <w:p>
            <w:pPr>
              <w:ind w:left="20"/>
              <w:spacing w:after="0"/>
              <w:rPr>
                <w:sz w:val="20"/>
                <w:szCs w:val="20"/>
                <w:color w:val="auto"/>
              </w:rPr>
            </w:pPr>
            <w:r>
              <w:rPr>
                <w:rFonts w:ascii="Arial" w:cs="Arial" w:eastAsia="Arial" w:hAnsi="Arial"/>
                <w:sz w:val="16"/>
                <w:szCs w:val="16"/>
                <w:color w:val="auto"/>
              </w:rPr>
              <w:t>Equity Compensation Plans Approved by Shareholders(2)</w:t>
            </w:r>
          </w:p>
        </w:tc>
        <w:tc>
          <w:tcPr>
            <w:tcW w:w="17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21,194,917</w:t>
            </w:r>
          </w:p>
        </w:tc>
        <w:tc>
          <w:tcPr>
            <w:tcW w:w="140" w:type="dxa"/>
            <w:vAlign w:val="bottom"/>
            <w:shd w:val="clear" w:color="auto" w:fill="CBCBC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BCBCB"/>
          </w:tcPr>
          <w:p>
            <w:pPr>
              <w:jc w:val="right"/>
              <w:spacing w:after="0"/>
              <w:rPr>
                <w:sz w:val="20"/>
                <w:szCs w:val="20"/>
                <w:color w:val="auto"/>
              </w:rPr>
            </w:pPr>
            <w:r>
              <w:rPr>
                <w:rFonts w:ascii="Arial" w:cs="Arial" w:eastAsia="Arial" w:hAnsi="Arial"/>
                <w:sz w:val="16"/>
                <w:szCs w:val="16"/>
                <w:color w:val="auto"/>
              </w:rPr>
              <w:t>28.23</w:t>
            </w:r>
          </w:p>
        </w:tc>
        <w:tc>
          <w:tcPr>
            <w:tcW w:w="198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87,068,864</w:t>
            </w:r>
          </w:p>
        </w:tc>
        <w:tc>
          <w:tcPr>
            <w:tcW w:w="20" w:type="dxa"/>
            <w:vAlign w:val="bottom"/>
            <w:shd w:val="clear" w:color="auto" w:fill="CBCBCB"/>
          </w:tcPr>
          <w:p>
            <w:pPr>
              <w:spacing w:after="0"/>
              <w:rPr>
                <w:sz w:val="18"/>
                <w:szCs w:val="18"/>
                <w:color w:val="auto"/>
              </w:rPr>
            </w:pPr>
          </w:p>
        </w:tc>
        <w:tc>
          <w:tcPr>
            <w:tcW w:w="380" w:type="dxa"/>
            <w:vAlign w:val="bottom"/>
            <w:shd w:val="clear" w:color="auto" w:fill="CBCBCB"/>
          </w:tcPr>
          <w:p>
            <w:pPr>
              <w:jc w:val="right"/>
              <w:ind w:right="9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BCBCB"/>
            </w:tcBorders>
          </w:tcPr>
          <w:p>
            <w:pPr>
              <w:ind w:left="20"/>
              <w:spacing w:after="0"/>
              <w:rPr>
                <w:sz w:val="20"/>
                <w:szCs w:val="20"/>
                <w:color w:val="auto"/>
              </w:rPr>
            </w:pPr>
            <w:r>
              <w:rPr>
                <w:rFonts w:ascii="Arial" w:cs="Arial" w:eastAsia="Arial" w:hAnsi="Arial"/>
                <w:sz w:val="16"/>
                <w:szCs w:val="16"/>
                <w:color w:val="auto"/>
              </w:rPr>
              <w:t>Equity Compensation Plans Not Approved by Shareholders(4)</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2,250,487</w:t>
            </w:r>
          </w:p>
        </w:tc>
        <w:tc>
          <w:tcPr>
            <w:tcW w:w="140" w:type="dxa"/>
            <w:vAlign w:val="bottom"/>
            <w:tcBorders>
              <w:bottom w:val="single" w:sz="8" w:color="CBCBCB"/>
            </w:tcBorders>
          </w:tcPr>
          <w:p>
            <w:pPr>
              <w:spacing w:after="0"/>
              <w:rPr>
                <w:sz w:val="18"/>
                <w:szCs w:val="18"/>
                <w:color w:val="auto"/>
              </w:rPr>
            </w:pPr>
          </w:p>
        </w:tc>
        <w:tc>
          <w:tcPr>
            <w:tcW w:w="1260" w:type="dxa"/>
            <w:vAlign w:val="bottom"/>
            <w:tcBorders>
              <w:bottom w:val="single" w:sz="8" w:color="CBCBCB"/>
            </w:tcBorders>
          </w:tcPr>
          <w:p>
            <w:pPr>
              <w:jc w:val="right"/>
              <w:spacing w:after="0"/>
              <w:rPr>
                <w:sz w:val="20"/>
                <w:szCs w:val="20"/>
                <w:color w:val="auto"/>
              </w:rPr>
            </w:pPr>
            <w:r>
              <w:rPr>
                <w:rFonts w:ascii="Arial" w:cs="Arial" w:eastAsia="Arial" w:hAnsi="Arial"/>
                <w:sz w:val="16"/>
                <w:szCs w:val="16"/>
                <w:color w:val="auto"/>
              </w:rPr>
              <w:t>26.14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3,233,400</w:t>
            </w:r>
          </w:p>
        </w:tc>
        <w:tc>
          <w:tcPr>
            <w:tcW w:w="20" w:type="dxa"/>
            <w:vAlign w:val="bottom"/>
            <w:tcBorders>
              <w:bottom w:val="single" w:sz="8" w:color="CBCBCB"/>
            </w:tcBorders>
          </w:tcPr>
          <w:p>
            <w:pPr>
              <w:spacing w:after="0"/>
              <w:rPr>
                <w:sz w:val="18"/>
                <w:szCs w:val="18"/>
                <w:color w:val="auto"/>
              </w:rPr>
            </w:pPr>
          </w:p>
        </w:tc>
        <w:tc>
          <w:tcPr>
            <w:tcW w:w="380" w:type="dxa"/>
            <w:vAlign w:val="bottom"/>
            <w:tcBorders>
              <w:bottom w:val="single" w:sz="8" w:color="CBCBCB"/>
            </w:tcBorders>
          </w:tcPr>
          <w:p>
            <w:pPr>
              <w:jc w:val="right"/>
              <w:ind w:right="99"/>
              <w:spacing w:after="0"/>
              <w:rPr>
                <w:sz w:val="20"/>
                <w:szCs w:val="20"/>
                <w:color w:val="auto"/>
              </w:rPr>
            </w:pPr>
            <w:r>
              <w:rPr>
                <w:rFonts w:ascii="Arial" w:cs="Arial" w:eastAsia="Arial" w:hAnsi="Arial"/>
                <w:sz w:val="16"/>
                <w:szCs w:val="16"/>
                <w:color w:val="auto"/>
                <w:w w:val="91"/>
              </w:rPr>
              <w:t>(5)</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BCBCB"/>
            </w:tcBorders>
            <w:shd w:val="clear" w:color="auto" w:fill="CBCBCB"/>
          </w:tcPr>
          <w:p>
            <w:pPr>
              <w:ind w:left="20"/>
              <w:spacing w:after="0"/>
              <w:rPr>
                <w:sz w:val="20"/>
                <w:szCs w:val="20"/>
                <w:color w:val="auto"/>
              </w:rPr>
            </w:pPr>
            <w:r>
              <w:rPr>
                <w:rFonts w:ascii="Arial" w:cs="Arial" w:eastAsia="Arial" w:hAnsi="Arial"/>
                <w:sz w:val="16"/>
                <w:szCs w:val="16"/>
                <w:color w:val="auto"/>
              </w:rPr>
              <w:t>Totals(6)</w:t>
            </w:r>
          </w:p>
        </w:tc>
        <w:tc>
          <w:tcPr>
            <w:tcW w:w="178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23,445,404</w:t>
            </w:r>
          </w:p>
        </w:tc>
        <w:tc>
          <w:tcPr>
            <w:tcW w:w="140" w:type="dxa"/>
            <w:vAlign w:val="bottom"/>
            <w:tcBorders>
              <w:bottom w:val="single" w:sz="8" w:color="CBCBCB"/>
            </w:tcBorders>
            <w:shd w:val="clear" w:color="auto" w:fill="CBCBCB"/>
          </w:tcPr>
          <w:p>
            <w:pPr>
              <w:spacing w:after="0"/>
              <w:rPr>
                <w:sz w:val="19"/>
                <w:szCs w:val="19"/>
                <w:color w:val="auto"/>
              </w:rPr>
            </w:pPr>
          </w:p>
        </w:tc>
        <w:tc>
          <w:tcPr>
            <w:tcW w:w="1260" w:type="dxa"/>
            <w:vAlign w:val="bottom"/>
            <w:tcBorders>
              <w:bottom w:val="single" w:sz="8" w:color="CBCBCB"/>
            </w:tcBorders>
            <w:shd w:val="clear" w:color="auto" w:fill="CBCBCB"/>
          </w:tcPr>
          <w:p>
            <w:pPr>
              <w:jc w:val="right"/>
              <w:spacing w:after="0"/>
              <w:rPr>
                <w:sz w:val="20"/>
                <w:szCs w:val="20"/>
                <w:color w:val="auto"/>
              </w:rPr>
            </w:pPr>
            <w:r>
              <w:rPr>
                <w:rFonts w:ascii="Arial" w:cs="Arial" w:eastAsia="Arial" w:hAnsi="Arial"/>
                <w:sz w:val="16"/>
                <w:szCs w:val="16"/>
                <w:color w:val="auto"/>
              </w:rPr>
              <w:t>27.54</w:t>
            </w:r>
          </w:p>
        </w:tc>
        <w:tc>
          <w:tcPr>
            <w:tcW w:w="198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90,302,264</w:t>
            </w:r>
          </w:p>
        </w:tc>
        <w:tc>
          <w:tcPr>
            <w:tcW w:w="20" w:type="dxa"/>
            <w:vAlign w:val="bottom"/>
            <w:tcBorders>
              <w:bottom w:val="single" w:sz="8" w:color="CBCBCB"/>
            </w:tcBorders>
            <w:shd w:val="clear" w:color="auto" w:fill="CBCBCB"/>
          </w:tcPr>
          <w:p>
            <w:pPr>
              <w:spacing w:after="0"/>
              <w:rPr>
                <w:sz w:val="19"/>
                <w:szCs w:val="19"/>
                <w:color w:val="auto"/>
              </w:rPr>
            </w:pPr>
          </w:p>
        </w:tc>
        <w:tc>
          <w:tcPr>
            <w:tcW w:w="380" w:type="dxa"/>
            <w:vAlign w:val="bottom"/>
            <w:tcBorders>
              <w:bottom w:val="single" w:sz="8" w:color="CBCBCB"/>
            </w:tcBorders>
            <w:shd w:val="clear" w:color="auto" w:fill="CBCBC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BCBCB"/>
            </w:tcBorders>
          </w:tcPr>
          <w:p>
            <w:pPr>
              <w:spacing w:after="0" w:line="20" w:lineRule="exact"/>
              <w:rPr>
                <w:sz w:val="1"/>
                <w:szCs w:val="1"/>
                <w:color w:val="auto"/>
              </w:rPr>
            </w:pPr>
          </w:p>
        </w:tc>
        <w:tc>
          <w:tcPr>
            <w:tcW w:w="1780" w:type="dxa"/>
            <w:vAlign w:val="bottom"/>
            <w:tcBorders>
              <w:top w:val="single" w:sz="8" w:color="CBCBCB"/>
              <w:bottom w:val="single" w:sz="8" w:color="auto"/>
            </w:tcBorders>
          </w:tcPr>
          <w:p>
            <w:pPr>
              <w:spacing w:after="0" w:line="20" w:lineRule="exact"/>
              <w:rPr>
                <w:sz w:val="1"/>
                <w:szCs w:val="1"/>
                <w:color w:val="auto"/>
              </w:rPr>
            </w:pPr>
          </w:p>
        </w:tc>
        <w:tc>
          <w:tcPr>
            <w:tcW w:w="140" w:type="dxa"/>
            <w:vAlign w:val="bottom"/>
            <w:tcBorders>
              <w:top w:val="single" w:sz="8" w:color="CBCBCB"/>
            </w:tcBorders>
          </w:tcPr>
          <w:p>
            <w:pPr>
              <w:spacing w:after="0" w:line="20" w:lineRule="exact"/>
              <w:rPr>
                <w:sz w:val="1"/>
                <w:szCs w:val="1"/>
                <w:color w:val="auto"/>
              </w:rPr>
            </w:pPr>
          </w:p>
        </w:tc>
        <w:tc>
          <w:tcPr>
            <w:tcW w:w="1260" w:type="dxa"/>
            <w:vAlign w:val="bottom"/>
            <w:tcBorders>
              <w:top w:val="single" w:sz="8" w:color="CBCBCB"/>
            </w:tcBorders>
          </w:tcPr>
          <w:p>
            <w:pPr>
              <w:spacing w:after="0" w:line="20" w:lineRule="exact"/>
              <w:rPr>
                <w:sz w:val="1"/>
                <w:szCs w:val="1"/>
                <w:color w:val="auto"/>
              </w:rPr>
            </w:pPr>
          </w:p>
        </w:tc>
        <w:tc>
          <w:tcPr>
            <w:tcW w:w="1980" w:type="dxa"/>
            <w:vAlign w:val="bottom"/>
            <w:tcBorders>
              <w:top w:val="single" w:sz="8" w:color="CBCBCB"/>
              <w:bottom w:val="single" w:sz="8" w:color="auto"/>
            </w:tcBorders>
          </w:tcPr>
          <w:p>
            <w:pPr>
              <w:spacing w:after="0" w:line="20" w:lineRule="exact"/>
              <w:rPr>
                <w:sz w:val="1"/>
                <w:szCs w:val="1"/>
                <w:color w:val="auto"/>
              </w:rPr>
            </w:pPr>
          </w:p>
        </w:tc>
        <w:tc>
          <w:tcPr>
            <w:tcW w:w="20" w:type="dxa"/>
            <w:vAlign w:val="bottom"/>
            <w:tcBorders>
              <w:top w:val="single" w:sz="8" w:color="CBCBCB"/>
            </w:tcBorders>
          </w:tcPr>
          <w:p>
            <w:pPr>
              <w:spacing w:after="0" w:line="20" w:lineRule="exact"/>
              <w:rPr>
                <w:sz w:val="1"/>
                <w:szCs w:val="1"/>
                <w:color w:val="auto"/>
              </w:rPr>
            </w:pPr>
          </w:p>
        </w:tc>
        <w:tc>
          <w:tcPr>
            <w:tcW w:w="380" w:type="dxa"/>
            <w:vAlign w:val="bottom"/>
            <w:tcBorders>
              <w:top w:val="single" w:sz="8" w:color="CBCBC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27" w:right="339" w:bottom="1440" w:gutter="0" w:footer="0" w:header="0"/>
        </w:sectPr>
      </w:pPr>
    </w:p>
    <w:bookmarkStart w:id="64" w:name="page65"/>
    <w:bookmarkEnd w:id="64"/>
    <w:p>
      <w:pPr>
        <w:ind w:left="340" w:right="640" w:hanging="332"/>
        <w:spacing w:after="0" w:line="292"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Excludes restricted stock that converts to shares of Common Stock for no consideration and excludes ESPP shares for which the exercise price will not be fixed until the purchase date.</w:t>
      </w:r>
    </w:p>
    <w:p>
      <w:pPr>
        <w:spacing w:after="0" w:line="103" w:lineRule="exact"/>
        <w:rPr>
          <w:rFonts w:ascii="Arial" w:cs="Arial" w:eastAsia="Arial" w:hAnsi="Arial"/>
          <w:sz w:val="18"/>
          <w:szCs w:val="18"/>
          <w:color w:val="auto"/>
        </w:rPr>
      </w:pPr>
    </w:p>
    <w:p>
      <w:pPr>
        <w:ind w:left="340" w:right="120" w:hanging="332"/>
        <w:spacing w:after="0" w:line="258"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Plan, and Employee Stock Purchase Plan (the “ESPP”). The 2004 Plan and the 2007 Plan provide for a maximum term for options and Stock Appreciation Rights (“SARs”) of eight years. The 2004 Plan and 2007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49" w:lineRule="exact"/>
        <w:rPr>
          <w:rFonts w:ascii="Arial" w:cs="Arial" w:eastAsia="Arial" w:hAnsi="Arial"/>
          <w:sz w:val="18"/>
          <w:szCs w:val="18"/>
          <w:color w:val="auto"/>
        </w:rPr>
      </w:pPr>
    </w:p>
    <w:p>
      <w:pPr>
        <w:ind w:left="340" w:right="60" w:hanging="332"/>
        <w:spacing w:after="0" w:line="292" w:lineRule="auto"/>
        <w:tabs>
          <w:tab w:leader="none" w:pos="3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issuing full-value awards, the number of available shares is 56,287,419. The 2004 Plan and 2007 Plan permit granting options and full-value awards.</w:t>
      </w:r>
    </w:p>
    <w:p>
      <w:pPr>
        <w:spacing w:after="0" w:line="103" w:lineRule="exact"/>
        <w:rPr>
          <w:rFonts w:ascii="Arial" w:cs="Arial" w:eastAsia="Arial" w:hAnsi="Arial"/>
          <w:sz w:val="18"/>
          <w:szCs w:val="18"/>
          <w:color w:val="auto"/>
        </w:rPr>
      </w:pPr>
    </w:p>
    <w:p>
      <w:pPr>
        <w:ind w:left="340" w:right="280" w:hanging="332"/>
        <w:spacing w:after="0" w:line="294" w:lineRule="auto"/>
        <w:tabs>
          <w:tab w:leader="none" w:pos="33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Nonstatutory Stock Option Plan (the “NSOP”). Options granted under the NSOP have terms ranging from six to ten years. The exercise price and the vesting schedule of the options granted under this plan are determined by the administrators of the plan or our Board of Directors. Executive officers and directors do not participate in the NSOP.</w:t>
      </w:r>
    </w:p>
    <w:p>
      <w:pPr>
        <w:spacing w:after="0" w:line="105" w:lineRule="exact"/>
        <w:rPr>
          <w:rFonts w:ascii="Arial" w:cs="Arial" w:eastAsia="Arial" w:hAnsi="Arial"/>
          <w:sz w:val="17"/>
          <w:szCs w:val="17"/>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full-value awards.</w:t>
      </w:r>
    </w:p>
    <w:p>
      <w:pPr>
        <w:spacing w:after="0" w:line="198"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212" w:lineRule="exact"/>
        <w:rPr>
          <w:sz w:val="20"/>
          <w:szCs w:val="20"/>
          <w:color w:val="auto"/>
        </w:rPr>
      </w:pPr>
    </w:p>
    <w:tbl>
      <w:tblPr>
        <w:tblLayout w:type="fixed"/>
        <w:tblInd w:w="158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840" w:type="dxa"/>
            <w:vAlign w:val="bottom"/>
          </w:tcPr>
          <w:p>
            <w:pPr>
              <w:jc w:val="center"/>
              <w:ind w:left="359"/>
              <w:spacing w:after="0"/>
              <w:rPr>
                <w:sz w:val="20"/>
                <w:szCs w:val="20"/>
                <w:color w:val="auto"/>
              </w:rPr>
            </w:pPr>
            <w:r>
              <w:rPr>
                <w:rFonts w:ascii="Arial" w:cs="Arial" w:eastAsia="Arial" w:hAnsi="Arial"/>
                <w:sz w:val="16"/>
                <w:szCs w:val="16"/>
                <w:b w:val="1"/>
                <w:bCs w:val="1"/>
                <w:color w:val="auto"/>
              </w:rPr>
              <w:t>(a)</w:t>
            </w:r>
          </w:p>
        </w:tc>
        <w:tc>
          <w:tcPr>
            <w:tcW w:w="420" w:type="dxa"/>
            <w:vAlign w:val="bottom"/>
          </w:tcPr>
          <w:p>
            <w:pPr>
              <w:spacing w:after="0"/>
              <w:rPr>
                <w:sz w:val="16"/>
                <w:szCs w:val="16"/>
                <w:color w:val="auto"/>
              </w:rPr>
            </w:pPr>
          </w:p>
        </w:tc>
        <w:tc>
          <w:tcPr>
            <w:tcW w:w="2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(b)</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Number of Securities To Be</w:t>
            </w:r>
          </w:p>
        </w:tc>
        <w:tc>
          <w:tcPr>
            <w:tcW w:w="2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Issued Upon Exercise of</w:t>
            </w:r>
          </w:p>
        </w:tc>
        <w:tc>
          <w:tcPr>
            <w:tcW w:w="2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Number of Securities Available for</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Equity Plan</w:t>
            </w:r>
          </w:p>
        </w:tc>
        <w:tc>
          <w:tcPr>
            <w:tcW w:w="22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Outstanding Options,</w:t>
            </w:r>
          </w:p>
        </w:tc>
        <w:tc>
          <w:tcPr>
            <w:tcW w:w="2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Issuance (Excluding Securities</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0090DA"/>
            </w:tcBorders>
            <w:vMerge w:val="continue"/>
          </w:tcPr>
          <w:p>
            <w:pPr>
              <w:spacing w:after="0"/>
              <w:rPr>
                <w:sz w:val="18"/>
                <w:szCs w:val="18"/>
                <w:color w:val="auto"/>
              </w:rPr>
            </w:pPr>
          </w:p>
        </w:tc>
        <w:tc>
          <w:tcPr>
            <w:tcW w:w="22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7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BCBCB"/>
          </w:tcPr>
          <w:p>
            <w:pPr>
              <w:ind w:left="20"/>
              <w:spacing w:after="0"/>
              <w:rPr>
                <w:sz w:val="20"/>
                <w:szCs w:val="20"/>
                <w:color w:val="auto"/>
              </w:rPr>
            </w:pPr>
            <w:r>
              <w:rPr>
                <w:rFonts w:ascii="Arial" w:cs="Arial" w:eastAsia="Arial" w:hAnsi="Arial"/>
                <w:sz w:val="16"/>
                <w:szCs w:val="16"/>
                <w:color w:val="auto"/>
              </w:rPr>
              <w:t>Plans Approved by Shareholders</w:t>
            </w:r>
          </w:p>
        </w:tc>
        <w:tc>
          <w:tcPr>
            <w:tcW w:w="1840" w:type="dxa"/>
            <w:vAlign w:val="bottom"/>
            <w:shd w:val="clear" w:color="auto" w:fill="CBCBCB"/>
          </w:tcPr>
          <w:p>
            <w:pPr>
              <w:spacing w:after="0"/>
              <w:rPr>
                <w:sz w:val="18"/>
                <w:szCs w:val="18"/>
                <w:color w:val="auto"/>
              </w:rPr>
            </w:pPr>
          </w:p>
        </w:tc>
        <w:tc>
          <w:tcPr>
            <w:tcW w:w="420" w:type="dxa"/>
            <w:vAlign w:val="bottom"/>
            <w:shd w:val="clear" w:color="auto" w:fill="CBCBCB"/>
          </w:tcPr>
          <w:p>
            <w:pPr>
              <w:spacing w:after="0"/>
              <w:rPr>
                <w:sz w:val="18"/>
                <w:szCs w:val="18"/>
                <w:color w:val="auto"/>
              </w:rPr>
            </w:pPr>
          </w:p>
        </w:tc>
        <w:tc>
          <w:tcPr>
            <w:tcW w:w="2320" w:type="dxa"/>
            <w:vAlign w:val="bottom"/>
            <w:shd w:val="clear" w:color="auto" w:fill="CBCBCB"/>
          </w:tcPr>
          <w:p>
            <w:pPr>
              <w:spacing w:after="0"/>
              <w:rPr>
                <w:sz w:val="18"/>
                <w:szCs w:val="18"/>
                <w:color w:val="auto"/>
              </w:rPr>
            </w:pPr>
          </w:p>
        </w:tc>
        <w:tc>
          <w:tcPr>
            <w:tcW w:w="4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6"/>
                <w:szCs w:val="16"/>
                <w:color w:val="auto"/>
              </w:rPr>
              <w:t>2004 Plan</w:t>
            </w:r>
          </w:p>
        </w:tc>
        <w:tc>
          <w:tcPr>
            <w:tcW w:w="1840" w:type="dxa"/>
            <w:vAlign w:val="bottom"/>
          </w:tcPr>
          <w:p>
            <w:pPr>
              <w:jc w:val="right"/>
              <w:spacing w:after="0"/>
              <w:rPr>
                <w:sz w:val="20"/>
                <w:szCs w:val="20"/>
                <w:color w:val="auto"/>
              </w:rPr>
            </w:pPr>
            <w:r>
              <w:rPr>
                <w:rFonts w:ascii="Arial" w:cs="Arial" w:eastAsia="Arial" w:hAnsi="Arial"/>
                <w:sz w:val="16"/>
                <w:szCs w:val="16"/>
                <w:color w:val="auto"/>
              </w:rPr>
              <w:t>11,056,375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740" w:type="dxa"/>
            <w:vAlign w:val="bottom"/>
            <w:gridSpan w:val="2"/>
          </w:tcPr>
          <w:p>
            <w:pPr>
              <w:ind w:left="2080"/>
              <w:spacing w:after="0"/>
              <w:rPr>
                <w:sz w:val="20"/>
                <w:szCs w:val="20"/>
                <w:color w:val="auto"/>
              </w:rPr>
            </w:pPr>
            <w:r>
              <w:rPr>
                <w:rFonts w:ascii="Arial" w:cs="Arial" w:eastAsia="Arial" w:hAnsi="Arial"/>
                <w:sz w:val="16"/>
                <w:szCs w:val="16"/>
                <w:color w:val="auto"/>
              </w:rPr>
              <w:t>— (2)</w:t>
            </w:r>
          </w:p>
        </w:tc>
        <w:tc>
          <w:tcPr>
            <w:tcW w:w="0" w:type="dxa"/>
            <w:vAlign w:val="bottom"/>
          </w:tcPr>
          <w:p>
            <w:pPr>
              <w:spacing w:after="0"/>
              <w:rPr>
                <w:sz w:val="1"/>
                <w:szCs w:val="1"/>
                <w:color w:val="auto"/>
              </w:rPr>
            </w:pPr>
          </w:p>
        </w:tc>
      </w:tr>
      <w:tr>
        <w:trPr>
          <w:trHeight w:val="216"/>
        </w:trPr>
        <w:tc>
          <w:tcPr>
            <w:tcW w:w="3100" w:type="dxa"/>
            <w:vAlign w:val="bottom"/>
            <w:shd w:val="clear" w:color="auto" w:fill="CBCBCB"/>
          </w:tcPr>
          <w:p>
            <w:pPr>
              <w:ind w:left="140"/>
              <w:spacing w:after="0"/>
              <w:rPr>
                <w:sz w:val="20"/>
                <w:szCs w:val="20"/>
                <w:color w:val="auto"/>
              </w:rPr>
            </w:pPr>
            <w:r>
              <w:rPr>
                <w:rFonts w:ascii="Arial" w:cs="Arial" w:eastAsia="Arial" w:hAnsi="Arial"/>
                <w:sz w:val="16"/>
                <w:szCs w:val="16"/>
                <w:color w:val="auto"/>
              </w:rPr>
              <w:t>2007 Plan</w:t>
            </w:r>
          </w:p>
        </w:tc>
        <w:tc>
          <w:tcPr>
            <w:tcW w:w="18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8,488,542</w:t>
            </w:r>
          </w:p>
        </w:tc>
        <w:tc>
          <w:tcPr>
            <w:tcW w:w="420" w:type="dxa"/>
            <w:vAlign w:val="bottom"/>
            <w:shd w:val="clear" w:color="auto" w:fill="CBCBCB"/>
          </w:tcPr>
          <w:p>
            <w:pPr>
              <w:jc w:val="right"/>
              <w:ind w:right="119"/>
              <w:spacing w:after="0"/>
              <w:rPr>
                <w:sz w:val="20"/>
                <w:szCs w:val="20"/>
                <w:color w:val="auto"/>
              </w:rPr>
            </w:pPr>
            <w:r>
              <w:rPr>
                <w:rFonts w:ascii="Arial" w:cs="Arial" w:eastAsia="Arial" w:hAnsi="Arial"/>
                <w:sz w:val="16"/>
                <w:szCs w:val="16"/>
                <w:color w:val="auto"/>
              </w:rPr>
              <w:t>(3)</w:t>
            </w:r>
          </w:p>
        </w:tc>
        <w:tc>
          <w:tcPr>
            <w:tcW w:w="2320" w:type="dxa"/>
            <w:vAlign w:val="bottom"/>
            <w:shd w:val="clear" w:color="auto" w:fill="CBCBCB"/>
          </w:tcPr>
          <w:p>
            <w:pPr>
              <w:jc w:val="right"/>
              <w:spacing w:after="0"/>
              <w:rPr>
                <w:sz w:val="20"/>
                <w:szCs w:val="20"/>
                <w:color w:val="auto"/>
              </w:rPr>
            </w:pPr>
            <w:r>
              <w:rPr>
                <w:rFonts w:ascii="Arial" w:cs="Arial" w:eastAsia="Arial" w:hAnsi="Arial"/>
                <w:sz w:val="16"/>
                <w:szCs w:val="16"/>
                <w:color w:val="auto"/>
              </w:rPr>
              <w:t>61,562,891</w:t>
            </w:r>
          </w:p>
        </w:tc>
        <w:tc>
          <w:tcPr>
            <w:tcW w:w="4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BCBCB"/>
            </w:tcBorders>
          </w:tcPr>
          <w:p>
            <w:pPr>
              <w:ind w:left="140"/>
              <w:spacing w:after="0"/>
              <w:rPr>
                <w:sz w:val="20"/>
                <w:szCs w:val="20"/>
                <w:color w:val="auto"/>
              </w:rPr>
            </w:pPr>
            <w:r>
              <w:rPr>
                <w:rFonts w:ascii="Arial" w:cs="Arial" w:eastAsia="Arial" w:hAnsi="Arial"/>
                <w:sz w:val="16"/>
                <w:szCs w:val="16"/>
                <w:color w:val="auto"/>
              </w:rPr>
              <w:t>ESPP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1,650,000</w:t>
            </w:r>
          </w:p>
        </w:tc>
        <w:tc>
          <w:tcPr>
            <w:tcW w:w="420" w:type="dxa"/>
            <w:vAlign w:val="bottom"/>
            <w:tcBorders>
              <w:bottom w:val="single" w:sz="8" w:color="CBCBCB"/>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25,505,973</w:t>
            </w:r>
          </w:p>
        </w:tc>
        <w:tc>
          <w:tcPr>
            <w:tcW w:w="420" w:type="dxa"/>
            <w:vAlign w:val="bottom"/>
            <w:tcBorders>
              <w:bottom w:val="single" w:sz="8" w:color="CBCBC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BCBCB"/>
          </w:tcPr>
          <w:p>
            <w:pPr>
              <w:ind w:left="300"/>
              <w:spacing w:after="0"/>
              <w:rPr>
                <w:sz w:val="20"/>
                <w:szCs w:val="20"/>
                <w:color w:val="auto"/>
              </w:rPr>
            </w:pPr>
            <w:r>
              <w:rPr>
                <w:rFonts w:ascii="Arial" w:cs="Arial" w:eastAsia="Arial" w:hAnsi="Arial"/>
                <w:sz w:val="16"/>
                <w:szCs w:val="16"/>
                <w:color w:val="auto"/>
              </w:rPr>
              <w:t>Approved Plan Total</w:t>
            </w:r>
          </w:p>
        </w:tc>
        <w:tc>
          <w:tcPr>
            <w:tcW w:w="184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21,194,917</w:t>
            </w:r>
          </w:p>
        </w:tc>
        <w:tc>
          <w:tcPr>
            <w:tcW w:w="420" w:type="dxa"/>
            <w:vAlign w:val="bottom"/>
            <w:shd w:val="clear" w:color="auto" w:fill="CBCBCB"/>
          </w:tcPr>
          <w:p>
            <w:pPr>
              <w:spacing w:after="0"/>
              <w:rPr>
                <w:sz w:val="18"/>
                <w:szCs w:val="18"/>
                <w:color w:val="auto"/>
              </w:rPr>
            </w:pPr>
          </w:p>
        </w:tc>
        <w:tc>
          <w:tcPr>
            <w:tcW w:w="2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87,068,864</w:t>
            </w:r>
          </w:p>
        </w:tc>
        <w:tc>
          <w:tcPr>
            <w:tcW w:w="4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BCBCB"/>
          </w:tcPr>
          <w:p>
            <w:pPr>
              <w:ind w:left="20"/>
              <w:spacing w:after="0"/>
              <w:rPr>
                <w:sz w:val="20"/>
                <w:szCs w:val="20"/>
                <w:color w:val="auto"/>
              </w:rPr>
            </w:pPr>
            <w:r>
              <w:rPr>
                <w:rFonts w:ascii="Arial" w:cs="Arial" w:eastAsia="Arial" w:hAnsi="Arial"/>
                <w:sz w:val="16"/>
                <w:szCs w:val="16"/>
                <w:color w:val="auto"/>
              </w:rPr>
              <w:t>Plans Not Approved by Shareholders</w:t>
            </w:r>
          </w:p>
        </w:tc>
        <w:tc>
          <w:tcPr>
            <w:tcW w:w="1840" w:type="dxa"/>
            <w:vAlign w:val="bottom"/>
            <w:shd w:val="clear" w:color="auto" w:fill="CBCBCB"/>
          </w:tcPr>
          <w:p>
            <w:pPr>
              <w:spacing w:after="0"/>
              <w:rPr>
                <w:sz w:val="18"/>
                <w:szCs w:val="18"/>
                <w:color w:val="auto"/>
              </w:rPr>
            </w:pPr>
          </w:p>
        </w:tc>
        <w:tc>
          <w:tcPr>
            <w:tcW w:w="420" w:type="dxa"/>
            <w:vAlign w:val="bottom"/>
            <w:shd w:val="clear" w:color="auto" w:fill="CBCBCB"/>
          </w:tcPr>
          <w:p>
            <w:pPr>
              <w:spacing w:after="0"/>
              <w:rPr>
                <w:sz w:val="18"/>
                <w:szCs w:val="18"/>
                <w:color w:val="auto"/>
              </w:rPr>
            </w:pPr>
          </w:p>
        </w:tc>
        <w:tc>
          <w:tcPr>
            <w:tcW w:w="2320" w:type="dxa"/>
            <w:vAlign w:val="bottom"/>
            <w:shd w:val="clear" w:color="auto" w:fill="CBCBCB"/>
          </w:tcPr>
          <w:p>
            <w:pPr>
              <w:spacing w:after="0"/>
              <w:rPr>
                <w:sz w:val="18"/>
                <w:szCs w:val="18"/>
                <w:color w:val="auto"/>
              </w:rPr>
            </w:pPr>
          </w:p>
        </w:tc>
        <w:tc>
          <w:tcPr>
            <w:tcW w:w="4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BCBCB"/>
            </w:tcBorders>
          </w:tcPr>
          <w:p>
            <w:pPr>
              <w:ind w:left="140"/>
              <w:spacing w:after="0"/>
              <w:rPr>
                <w:sz w:val="20"/>
                <w:szCs w:val="20"/>
                <w:color w:val="auto"/>
              </w:rPr>
            </w:pPr>
            <w:r>
              <w:rPr>
                <w:rFonts w:ascii="Arial" w:cs="Arial" w:eastAsia="Arial" w:hAnsi="Arial"/>
                <w:sz w:val="16"/>
                <w:szCs w:val="16"/>
                <w:color w:val="auto"/>
              </w:rPr>
              <w:t>NSOP</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2,250,487</w:t>
            </w:r>
          </w:p>
        </w:tc>
        <w:tc>
          <w:tcPr>
            <w:tcW w:w="420" w:type="dxa"/>
            <w:vAlign w:val="bottom"/>
            <w:tcBorders>
              <w:bottom w:val="single" w:sz="8" w:color="CBCBCB"/>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3,233,400</w:t>
            </w:r>
          </w:p>
        </w:tc>
        <w:tc>
          <w:tcPr>
            <w:tcW w:w="420" w:type="dxa"/>
            <w:vAlign w:val="bottom"/>
            <w:tcBorders>
              <w:bottom w:val="single" w:sz="8" w:color="CBCBCB"/>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BCBCB"/>
          </w:tcPr>
          <w:p>
            <w:pPr>
              <w:ind w:left="300"/>
              <w:spacing w:after="0"/>
              <w:rPr>
                <w:sz w:val="20"/>
                <w:szCs w:val="20"/>
                <w:color w:val="auto"/>
              </w:rPr>
            </w:pPr>
            <w:r>
              <w:rPr>
                <w:rFonts w:ascii="Arial" w:cs="Arial" w:eastAsia="Arial" w:hAnsi="Arial"/>
                <w:sz w:val="16"/>
                <w:szCs w:val="16"/>
                <w:color w:val="auto"/>
              </w:rPr>
              <w:t>Not Approved Plan Total</w:t>
            </w:r>
          </w:p>
        </w:tc>
        <w:tc>
          <w:tcPr>
            <w:tcW w:w="184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2,250,487</w:t>
            </w:r>
          </w:p>
        </w:tc>
        <w:tc>
          <w:tcPr>
            <w:tcW w:w="420" w:type="dxa"/>
            <w:vAlign w:val="bottom"/>
            <w:shd w:val="clear" w:color="auto" w:fill="CBCBCB"/>
          </w:tcPr>
          <w:p>
            <w:pPr>
              <w:spacing w:after="0"/>
              <w:rPr>
                <w:sz w:val="18"/>
                <w:szCs w:val="18"/>
                <w:color w:val="auto"/>
              </w:rPr>
            </w:pPr>
          </w:p>
        </w:tc>
        <w:tc>
          <w:tcPr>
            <w:tcW w:w="232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6"/>
                <w:szCs w:val="16"/>
                <w:color w:val="auto"/>
              </w:rPr>
              <w:t>3,233,400</w:t>
            </w:r>
          </w:p>
        </w:tc>
        <w:tc>
          <w:tcPr>
            <w:tcW w:w="420" w:type="dxa"/>
            <w:vAlign w:val="bottom"/>
            <w:shd w:val="clear" w:color="auto" w:fill="CBCBC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60"/>
              <w:spacing w:after="0"/>
              <w:rPr>
                <w:sz w:val="20"/>
                <w:szCs w:val="20"/>
                <w:color w:val="auto"/>
              </w:rPr>
            </w:pPr>
            <w:r>
              <w:rPr>
                <w:rFonts w:ascii="Arial" w:cs="Arial" w:eastAsia="Arial" w:hAnsi="Arial"/>
                <w:sz w:val="16"/>
                <w:szCs w:val="16"/>
                <w:color w:val="auto"/>
              </w:rPr>
              <w:t>Grand 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23,445,404</w:t>
            </w:r>
          </w:p>
        </w:tc>
        <w:tc>
          <w:tcPr>
            <w:tcW w:w="420" w:type="dxa"/>
            <w:vAlign w:val="bottom"/>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90,302,264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20" w:hanging="316"/>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8,751,750 restricted stock units and excludes 939,193 shares of restricted stock.</w:t>
      </w:r>
    </w:p>
    <w:p>
      <w:pPr>
        <w:spacing w:after="0" w:line="184" w:lineRule="exact"/>
        <w:rPr>
          <w:rFonts w:ascii="Arial" w:cs="Arial" w:eastAsia="Arial" w:hAnsi="Arial"/>
          <w:sz w:val="18"/>
          <w:szCs w:val="18"/>
          <w:color w:val="auto"/>
        </w:rPr>
      </w:pPr>
    </w:p>
    <w:p>
      <w:pPr>
        <w:ind w:left="1620" w:right="60" w:hanging="316"/>
        <w:spacing w:after="0" w:line="260" w:lineRule="auto"/>
        <w:tabs>
          <w:tab w:leader="none" w:pos="16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Subsequent to September 3, 2020, the number of securities available for issuance increased as a result of awards that were forfeited, including RSU awards, which reduce the number of shares available for grant by two shares for each one share covered by the award, as required under the 2004 Plan. In addition, PRSUs granted from the 2004 Plan had been counted at the maximum number that could be earned under the award at the same two-to-one ratio and any unearned shares from such PRSUs were returned to the 2004 Plan after September 3, 2020.</w:t>
      </w:r>
    </w:p>
    <w:p>
      <w:pPr>
        <w:spacing w:after="0" w:line="147" w:lineRule="exact"/>
        <w:rPr>
          <w:rFonts w:ascii="Arial" w:cs="Arial" w:eastAsia="Arial" w:hAnsi="Arial"/>
          <w:sz w:val="18"/>
          <w:szCs w:val="18"/>
          <w:color w:val="auto"/>
        </w:rPr>
      </w:pPr>
    </w:p>
    <w:p>
      <w:pPr>
        <w:ind w:left="1620" w:hanging="316"/>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6,166,686 restricted stock units and excludes 32,693 shares of restricted stock.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Section 16(a) of the Exchange Act requires our directors, executive officers, and persons who own beneficially more than 10% of our Common Stock to file reports of ownership and changes of ownership with the SEC and Nasdaq. Copies of all filed reports are required to be furnished to us pursuant to Section 16(a) of the Exchange Act. With the exception of Mses. Arnzen and Wright, and Messrs. Bokan, Byrne, and Poppen, who each had one late filing due to clerical errors by Company personnel, all directors, executive officers, and greater than 10% beneficial owners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57</w:t>
      </w:r>
    </w:p>
    <w:p>
      <w:pPr>
        <w:sectPr>
          <w:pgSz w:w="11900" w:h="16838" w:orient="portrait"/>
          <w:cols w:equalWidth="0" w:num="1">
            <w:col w:w="11240"/>
          </w:cols>
          <w:pgMar w:left="320" w:top="927" w:right="339" w:bottom="1440" w:gutter="0" w:footer="0" w:header="0"/>
        </w:sectPr>
      </w:pPr>
    </w:p>
    <w:bookmarkStart w:id="65" w:name="page66"/>
    <w:bookmarkEnd w:id="65"/>
    <w:p>
      <w:pPr>
        <w:spacing w:after="0" w:line="292" w:lineRule="auto"/>
        <w:rPr>
          <w:sz w:val="20"/>
          <w:szCs w:val="20"/>
          <w:color w:val="auto"/>
        </w:rPr>
      </w:pPr>
      <w:r>
        <w:rPr>
          <w:rFonts w:ascii="Arial" w:cs="Arial" w:eastAsia="Arial" w:hAnsi="Arial"/>
          <w:sz w:val="18"/>
          <w:szCs w:val="18"/>
          <w:color w:val="auto"/>
        </w:rPr>
        <w:t>complied with all applicable filing requirements during the fiscal year ended September 3, 2020, based on the reports received or written representations from reporting persons.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0820"/>
          </w:cols>
          <w:pgMar w:left="320" w:top="927" w:right="759" w:bottom="1440" w:gutter="0" w:footer="0" w:header="0"/>
        </w:sectPr>
      </w:pPr>
    </w:p>
    <w:bookmarkStart w:id="66" w:name="page67"/>
    <w:bookmarkEnd w:id="66"/>
    <w:p>
      <w:pPr>
        <w:ind w:left="20" w:right="2140"/>
        <w:spacing w:after="0" w:line="306" w:lineRule="auto"/>
        <w:rPr>
          <w:sz w:val="20"/>
          <w:szCs w:val="20"/>
          <w:color w:val="auto"/>
        </w:rPr>
      </w:pPr>
      <w:r>
        <w:rPr>
          <w:rFonts w:ascii="Arial" w:cs="Arial" w:eastAsia="Arial" w:hAnsi="Arial"/>
          <w:sz w:val="32"/>
          <w:szCs w:val="32"/>
          <w:b w:val="1"/>
          <w:bCs w:val="1"/>
          <w:color w:val="FFFFFF"/>
        </w:rPr>
        <w:t>PROPOSAL 3 – APPROVAL OF AMENDED AND RESTATED 2007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548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4911725"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3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currently maintain the Micron Technology, Inc. Amended and Restated 2007 Equity Incentive Plan (the “Plan”). The Plan has been effective in attracting and retaining highly-qualified employees and non-employee directors and has provided incentives that align the economic interests of plan participants with those of our shareholders. The Plan was last approved by shareholders at our Fiscal 2016 Annual Meeting.</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Board of Directors is requesting that you approve an amended and restated version of the Plan. The amended and restated version of the Plan is referred to in this Proposal 3 as the “2007 Plan.” The 2007 Plan includes the following material changes as compared to the version of the Plan that was approved at the Fiscal 2016 Annual Meeting:</w:t>
      </w:r>
    </w:p>
    <w:p>
      <w:pPr>
        <w:spacing w:after="0" w:line="190"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additional 35 million shares of our Common Stock will be made available for issuance under the 2007 Plan; and</w:t>
      </w:r>
    </w:p>
    <w:p>
      <w:pPr>
        <w:spacing w:after="0" w:line="252"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technical provisions in the Plan relating to compliance with the now-inapplicable performance-based exception under Section 162(m) of the Internal Revenue Code (the “Code”) have been removed from the 2007 Plan. Those provisions no longer are necessary because the performance-based exception under Section 162(m) of the Code was eliminated by The Tax Cut and Jobs Act of 2017. Importantly, the 2007 Plan nevertheless retains many of the key governance aspects of the performance-based exception, including the per-person limits on grants that may be made to any individual during any fiscal year. The 2007 Plan also continues to permit the grant of awards that vest based on the achievement of performance goals. We have a track record of granting performance-based awards to our executive officers, as shown in the executive compensation sections of this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the 2007 Plan does not contain any material changes as compared to the Plan.</w:t>
      </w:r>
    </w:p>
    <w:p>
      <w:pPr>
        <w:spacing w:after="0" w:line="200" w:lineRule="exact"/>
        <w:rPr>
          <w:sz w:val="20"/>
          <w:szCs w:val="20"/>
          <w:color w:val="auto"/>
        </w:rPr>
      </w:pPr>
    </w:p>
    <w:p>
      <w:pPr>
        <w:spacing w:after="0" w:line="282" w:lineRule="exact"/>
        <w:rPr>
          <w:sz w:val="20"/>
          <w:szCs w:val="20"/>
          <w:color w:val="auto"/>
        </w:rPr>
      </w:pPr>
    </w:p>
    <w:p>
      <w:pPr>
        <w:ind w:right="200"/>
        <w:spacing w:after="0" w:line="313" w:lineRule="auto"/>
        <w:rPr>
          <w:sz w:val="20"/>
          <w:szCs w:val="20"/>
          <w:color w:val="auto"/>
        </w:rPr>
      </w:pPr>
      <w:r>
        <w:rPr>
          <w:rFonts w:ascii="Arial" w:cs="Arial" w:eastAsia="Arial" w:hAnsi="Arial"/>
          <w:sz w:val="39"/>
          <w:szCs w:val="39"/>
          <w:b w:val="1"/>
          <w:bCs w:val="1"/>
          <w:color w:val="auto"/>
        </w:rPr>
        <w:t>APPROVAL OF 35 MILLION ADDITIONAL SHARES OF COMMON STOCK FOR ISSUANCE UNDER THE 2007 PLAN</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Plan, as of the Record Date, November 18, 2020, equity awards covering 78,355,117 shares had been granted, net of cancellations. Due to the fungible share pool provision of the Plan (see “Important Provisions of the 2007 Plan - Fungible Share Pool” below), the equity awards granted as of the Record Date counted as 123,018,699 shares against the Plan share reserve. As of the Record Date, approximately 41,981,301 shares remained available for future grants, subject to the fungible share pool provision. We expect to exhaust the existing share reserve in the next two years. Our calculations suggest that it is prudent to replenish the share reserve at this time. Without the additional shares, we would need to make changes to our long-term incentives program in order to conserve the remaining share reserve. In order to enable us to continue offering meaningful equity-based incentives to key employees and non-employee directors, the Board of Directors believes that it is both necessary and appropriate to increase the number of shares of Common Stock available for these purposes. Accordingly, we are asking our shareholders to approve an amendment and restatement of the Plan that would increase the total number of shares of Common Stock available for grant under the Plan by 35 million, which would make available for grant under the 2007 Plan a total of approximately 200 million shares of Common Stock. If shareholders approve the 2007 Plan, we expect that the shares available under the 2007 Plan will meet our anticipated needs for approximately three years, subject to changes in business conditions or other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59</w:t>
      </w:r>
    </w:p>
    <w:p>
      <w:pPr>
        <w:sectPr>
          <w:pgSz w:w="11900" w:h="16838" w:orient="portrait"/>
          <w:cols w:equalWidth="0" w:num="1">
            <w:col w:w="11240"/>
          </w:cols>
          <w:pgMar w:left="320" w:top="1204"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0090DA"/>
        </w:rPr>
        <w:t>Background for the Current Request to Increase the Share Reserve for Equity Incentive Awards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Historical Award Information</w:t>
      </w:r>
    </w:p>
    <w:p>
      <w:pPr>
        <w:spacing w:after="0" w:line="25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Common measures of a stock plan’s cost include burn rate, dilution, and overhang. The burn rate, or run rate, refers to how fast a company uses the supply of shares authorized for issuance under its stock plan. Over the last three years, we have maintained an average equity run rate of only 0.9%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how our key equity metrics have changed over the past three fiscal years with respect to the Plan:</w:t>
      </w:r>
    </w:p>
    <w:p>
      <w:pPr>
        <w:spacing w:after="0" w:line="291"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3000" w:type="dxa"/>
            <w:vAlign w:val="bottom"/>
            <w:tcBorders>
              <w:bottom w:val="single" w:sz="8" w:color="0090DA"/>
            </w:tcBorders>
          </w:tcPr>
          <w:p>
            <w:pPr>
              <w:spacing w:after="0"/>
              <w:rPr>
                <w:sz w:val="20"/>
                <w:szCs w:val="20"/>
                <w:color w:val="auto"/>
              </w:rPr>
            </w:pPr>
            <w:r>
              <w:rPr>
                <w:rFonts w:ascii="Arial" w:cs="Arial" w:eastAsia="Arial" w:hAnsi="Arial"/>
                <w:sz w:val="18"/>
                <w:szCs w:val="18"/>
                <w:b w:val="1"/>
                <w:bCs w:val="1"/>
                <w:color w:val="auto"/>
              </w:rPr>
              <w:t>Key Equity Metrics</w:t>
            </w:r>
          </w:p>
        </w:tc>
        <w:tc>
          <w:tcPr>
            <w:tcW w:w="2300" w:type="dxa"/>
            <w:vAlign w:val="bottom"/>
            <w:tcBorders>
              <w:bottom w:val="single" w:sz="8" w:color="0090DA"/>
            </w:tcBorders>
          </w:tcPr>
          <w:p>
            <w:pPr>
              <w:jc w:val="center"/>
              <w:ind w:left="890"/>
              <w:spacing w:after="0"/>
              <w:rPr>
                <w:sz w:val="20"/>
                <w:szCs w:val="20"/>
                <w:color w:val="auto"/>
              </w:rPr>
            </w:pPr>
            <w:r>
              <w:rPr>
                <w:rFonts w:ascii="Arial" w:cs="Arial" w:eastAsia="Arial" w:hAnsi="Arial"/>
                <w:sz w:val="18"/>
                <w:szCs w:val="18"/>
                <w:b w:val="1"/>
                <w:bCs w:val="1"/>
                <w:color w:val="auto"/>
                <w:w w:val="99"/>
              </w:rPr>
              <w:t>2020</w:t>
            </w:r>
          </w:p>
        </w:tc>
        <w:tc>
          <w:tcPr>
            <w:tcW w:w="13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2019</w:t>
            </w:r>
          </w:p>
        </w:tc>
        <w:tc>
          <w:tcPr>
            <w:tcW w:w="13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2018</w:t>
            </w:r>
          </w:p>
        </w:tc>
      </w:tr>
      <w:tr>
        <w:trPr>
          <w:trHeight w:val="34"/>
        </w:trPr>
        <w:tc>
          <w:tcPr>
            <w:tcW w:w="30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000" w:type="dxa"/>
            <w:vAlign w:val="bottom"/>
            <w:shd w:val="clear" w:color="auto" w:fill="CBCBCB"/>
          </w:tcPr>
          <w:p>
            <w:pPr>
              <w:spacing w:after="0"/>
              <w:rPr>
                <w:sz w:val="20"/>
                <w:szCs w:val="20"/>
                <w:color w:val="auto"/>
              </w:rPr>
            </w:pPr>
            <w:r>
              <w:rPr>
                <w:rFonts w:ascii="Arial" w:cs="Arial" w:eastAsia="Arial" w:hAnsi="Arial"/>
                <w:sz w:val="18"/>
                <w:szCs w:val="18"/>
                <w:color w:val="auto"/>
              </w:rPr>
              <w:t>Equity Run Rate(1)</w:t>
            </w:r>
          </w:p>
        </w:tc>
        <w:tc>
          <w:tcPr>
            <w:tcW w:w="2300" w:type="dxa"/>
            <w:vAlign w:val="bottom"/>
            <w:shd w:val="clear" w:color="auto" w:fill="CBCBCB"/>
          </w:tcPr>
          <w:p>
            <w:pPr>
              <w:jc w:val="center"/>
              <w:ind w:left="87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1.1%</w:t>
            </w:r>
          </w:p>
        </w:tc>
        <w:tc>
          <w:tcPr>
            <w:tcW w:w="132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0.7%</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Overhang(2)</w:t>
            </w:r>
          </w:p>
        </w:tc>
        <w:tc>
          <w:tcPr>
            <w:tcW w:w="2300" w:type="dxa"/>
            <w:vAlign w:val="bottom"/>
          </w:tcPr>
          <w:p>
            <w:pPr>
              <w:jc w:val="center"/>
              <w:ind w:left="870"/>
              <w:spacing w:after="0"/>
              <w:rPr>
                <w:sz w:val="20"/>
                <w:szCs w:val="20"/>
                <w:color w:val="auto"/>
              </w:rPr>
            </w:pPr>
            <w:r>
              <w:rPr>
                <w:rFonts w:ascii="Arial" w:cs="Arial" w:eastAsia="Arial" w:hAnsi="Arial"/>
                <w:sz w:val="18"/>
                <w:szCs w:val="18"/>
                <w:color w:val="auto"/>
                <w:w w:val="97"/>
              </w:rPr>
              <w:t>10.2%</w:t>
            </w:r>
          </w:p>
        </w:tc>
        <w:tc>
          <w:tcPr>
            <w:tcW w:w="1320" w:type="dxa"/>
            <w:vAlign w:val="bottom"/>
          </w:tcPr>
          <w:p>
            <w:pPr>
              <w:jc w:val="center"/>
              <w:spacing w:after="0"/>
              <w:rPr>
                <w:sz w:val="20"/>
                <w:szCs w:val="20"/>
                <w:color w:val="auto"/>
              </w:rPr>
            </w:pPr>
            <w:r>
              <w:rPr>
                <w:rFonts w:ascii="Arial" w:cs="Arial" w:eastAsia="Arial" w:hAnsi="Arial"/>
                <w:sz w:val="18"/>
                <w:szCs w:val="18"/>
                <w:color w:val="auto"/>
              </w:rPr>
              <w:t>12.3%</w:t>
            </w:r>
          </w:p>
        </w:tc>
        <w:tc>
          <w:tcPr>
            <w:tcW w:w="1320" w:type="dxa"/>
            <w:vAlign w:val="bottom"/>
          </w:tcPr>
          <w:p>
            <w:pPr>
              <w:jc w:val="center"/>
              <w:spacing w:after="0"/>
              <w:rPr>
                <w:sz w:val="20"/>
                <w:szCs w:val="20"/>
                <w:color w:val="auto"/>
              </w:rPr>
            </w:pPr>
            <w:r>
              <w:rPr>
                <w:rFonts w:ascii="Arial" w:cs="Arial" w:eastAsia="Arial" w:hAnsi="Arial"/>
                <w:sz w:val="18"/>
                <w:szCs w:val="18"/>
                <w:color w:val="auto"/>
              </w:rPr>
              <w:t>13.4%</w:t>
            </w:r>
          </w:p>
        </w:tc>
      </w:tr>
      <w:tr>
        <w:trPr>
          <w:trHeight w:val="229"/>
        </w:trPr>
        <w:tc>
          <w:tcPr>
            <w:tcW w:w="3000" w:type="dxa"/>
            <w:vAlign w:val="bottom"/>
            <w:shd w:val="clear" w:color="auto" w:fill="CBCBCB"/>
          </w:tcPr>
          <w:p>
            <w:pPr>
              <w:spacing w:after="0"/>
              <w:rPr>
                <w:sz w:val="20"/>
                <w:szCs w:val="20"/>
                <w:color w:val="auto"/>
              </w:rPr>
            </w:pPr>
            <w:r>
              <w:rPr>
                <w:rFonts w:ascii="Arial" w:cs="Arial" w:eastAsia="Arial" w:hAnsi="Arial"/>
                <w:sz w:val="18"/>
                <w:szCs w:val="18"/>
                <w:color w:val="auto"/>
              </w:rPr>
              <w:t>Dilution(3)</w:t>
            </w:r>
          </w:p>
        </w:tc>
        <w:tc>
          <w:tcPr>
            <w:tcW w:w="2300" w:type="dxa"/>
            <w:vAlign w:val="bottom"/>
            <w:shd w:val="clear" w:color="auto" w:fill="CBCBCB"/>
          </w:tcPr>
          <w:p>
            <w:pPr>
              <w:jc w:val="center"/>
              <w:ind w:left="870"/>
              <w:spacing w:after="0"/>
              <w:rPr>
                <w:sz w:val="20"/>
                <w:szCs w:val="20"/>
                <w:color w:val="auto"/>
              </w:rPr>
            </w:pPr>
            <w:r>
              <w:rPr>
                <w:rFonts w:ascii="Arial" w:cs="Arial" w:eastAsia="Arial" w:hAnsi="Arial"/>
                <w:sz w:val="18"/>
                <w:szCs w:val="18"/>
                <w:color w:val="auto"/>
              </w:rPr>
              <w:t>2.1%</w:t>
            </w:r>
          </w:p>
        </w:tc>
        <w:tc>
          <w:tcPr>
            <w:tcW w:w="132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2.4%</w:t>
            </w:r>
          </w:p>
        </w:tc>
        <w:tc>
          <w:tcPr>
            <w:tcW w:w="1320" w:type="dxa"/>
            <w:vAlign w:val="bottom"/>
            <w:shd w:val="clear" w:color="auto" w:fill="CBCBCB"/>
          </w:tcPr>
          <w:p>
            <w:pPr>
              <w:jc w:val="center"/>
              <w:spacing w:after="0"/>
              <w:rPr>
                <w:sz w:val="20"/>
                <w:szCs w:val="20"/>
                <w:color w:val="auto"/>
              </w:rPr>
            </w:pPr>
            <w:r>
              <w:rPr>
                <w:rFonts w:ascii="Arial" w:cs="Arial" w:eastAsia="Arial" w:hAnsi="Arial"/>
                <w:sz w:val="18"/>
                <w:szCs w:val="18"/>
                <w:color w:val="auto"/>
                <w:w w:val="97"/>
              </w:rPr>
              <w:t>2.7%</w:t>
            </w:r>
          </w:p>
        </w:tc>
      </w:tr>
    </w:tbl>
    <w:p>
      <w:pPr>
        <w:spacing w:after="0" w:line="328" w:lineRule="exact"/>
        <w:rPr>
          <w:sz w:val="20"/>
          <w:szCs w:val="20"/>
          <w:color w:val="auto"/>
        </w:rPr>
      </w:pPr>
    </w:p>
    <w:p>
      <w:pPr>
        <w:ind w:left="1880" w:right="140" w:hanging="495"/>
        <w:spacing w:after="0" w:line="292" w:lineRule="auto"/>
        <w:tabs>
          <w:tab w:leader="none" w:pos="18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fiscal year by the weighted-average number of shares outstanding during the fiscal year.</w:t>
      </w:r>
    </w:p>
    <w:p>
      <w:pPr>
        <w:spacing w:after="0" w:line="171" w:lineRule="exact"/>
        <w:rPr>
          <w:rFonts w:ascii="Arial" w:cs="Arial" w:eastAsia="Arial" w:hAnsi="Arial"/>
          <w:sz w:val="18"/>
          <w:szCs w:val="18"/>
          <w:color w:val="auto"/>
        </w:rPr>
      </w:pPr>
    </w:p>
    <w:p>
      <w:pPr>
        <w:ind w:left="1880" w:hanging="495"/>
        <w:spacing w:after="0" w:line="271" w:lineRule="auto"/>
        <w:tabs>
          <w:tab w:leader="none" w:pos="18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Overhang is calculated by dividing (a) the sum of (x) the number of shares subject to equity awards outstanding at the end of the fiscal year and (y) the number of shares available for future grants at the end of the fiscal year, by (b) the number of shares outstanding at the end of the fiscal year.</w:t>
      </w:r>
    </w:p>
    <w:p>
      <w:pPr>
        <w:spacing w:after="0" w:line="189" w:lineRule="exact"/>
        <w:rPr>
          <w:rFonts w:ascii="Arial" w:cs="Arial" w:eastAsia="Arial" w:hAnsi="Arial"/>
          <w:sz w:val="18"/>
          <w:szCs w:val="18"/>
          <w:color w:val="auto"/>
        </w:rPr>
      </w:pPr>
    </w:p>
    <w:p>
      <w:pPr>
        <w:ind w:left="1880" w:right="300" w:hanging="495"/>
        <w:spacing w:after="0" w:line="292" w:lineRule="auto"/>
        <w:tabs>
          <w:tab w:leader="none" w:pos="18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Shares Requested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considered several factors in determining to request 35 million additional shares for the 2007 Plan:</w:t>
      </w:r>
    </w:p>
    <w:p>
      <w:pPr>
        <w:spacing w:after="0" w:line="252" w:lineRule="exact"/>
        <w:rPr>
          <w:sz w:val="20"/>
          <w:szCs w:val="20"/>
          <w:color w:val="auto"/>
        </w:rPr>
      </w:pPr>
    </w:p>
    <w:p>
      <w:pPr>
        <w:ind w:left="660" w:right="140" w:hanging="328"/>
        <w:spacing w:after="0" w:line="276"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Assuming shareholder approval of the 2007 Plan, 76,981,301 shares will be available for future grants (which is the sum of the 35,000,000 additional shares and the 41,981,301 shares available as of the Record Date). We expect this amount to last for approximately three years of awards. Such shares would represent approximately 6.9% of our total outstanding common shares as of the Record Date. This estimate assumes that we continue our current practices of issuing grants. While we believe this modeling provides a reasonable estimate of how long such a share reserve would last, there are a number of factors that could impact our future actual equity share usage and the shares available under the 2007 Plan may last longer or shorter than three years.</w:t>
      </w:r>
    </w:p>
    <w:p>
      <w:pPr>
        <w:spacing w:after="0" w:line="190" w:lineRule="exact"/>
        <w:rPr>
          <w:rFonts w:ascii="Arial" w:cs="Arial" w:eastAsia="Arial" w:hAnsi="Arial"/>
          <w:sz w:val="17"/>
          <w:szCs w:val="17"/>
          <w:color w:val="auto"/>
        </w:rPr>
      </w:pPr>
    </w:p>
    <w:p>
      <w:pPr>
        <w:ind w:left="660" w:right="840" w:hanging="328"/>
        <w:spacing w:after="0" w:line="29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overhang resulting from the share request, including awards outstanding under all of our equity plans, represents approximately 12.2% of the shares of Common Stock outstanding as of the Record Date.</w:t>
      </w:r>
    </w:p>
    <w:p>
      <w:pPr>
        <w:spacing w:after="0" w:line="171"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Once the small number of remaining shares available for grant under our 2004 Plan is exhausted, we expect that future equity-based compensation awards, other than the ESPP, will be made under the 2007 Plan or its successors.</w:t>
      </w:r>
    </w:p>
    <w:p>
      <w:pPr>
        <w:spacing w:after="0" w:line="171" w:lineRule="exact"/>
        <w:rPr>
          <w:rFonts w:ascii="Arial" w:cs="Arial" w:eastAsia="Arial" w:hAnsi="Arial"/>
          <w:sz w:val="18"/>
          <w:szCs w:val="18"/>
          <w:color w:val="auto"/>
        </w:rPr>
      </w:pPr>
    </w:p>
    <w:p>
      <w:pPr>
        <w:ind w:left="660" w:right="360" w:hanging="328"/>
        <w:spacing w:after="0" w:line="292"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Given the significant institutional share ownership of Micron, we considered the stated policies of those institutions and of certain proxy advisory services.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927"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Effect of Shareholder Approval of 2007 Plan</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If shareholders approve the 2007 Plan, it will replace the version of the Plan that was approved by shareholders at the Fiscal 2016 Annual Meeting. If shareholders do not approve the 2007 Plan as described herein, we will continue to use the Plan as last approved by shareholders. However, as described above, without the share increase proposed above, the shares that remain available for issuance under the Plan may not be sufficient for us to be able to achieve our goals of attracting, motivating, and retaining our employees through grants of equity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Individual Awards</w:t>
      </w:r>
    </w:p>
    <w:p>
      <w:pPr>
        <w:spacing w:after="0" w:line="252"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maximum aggregate number of shares of our Common Stock subject to stock-based awards that may be granted under the 2007 Plan during any one calendar year to any one participant is as follows:</w:t>
      </w:r>
    </w:p>
    <w:p>
      <w:pPr>
        <w:spacing w:after="0" w:line="275" w:lineRule="exact"/>
        <w:rPr>
          <w:sz w:val="20"/>
          <w:szCs w:val="20"/>
          <w:color w:val="auto"/>
        </w:rPr>
      </w:pPr>
    </w:p>
    <w:tbl>
      <w:tblPr>
        <w:tblLayout w:type="fixed"/>
        <w:tblInd w:w="1580" w:type="dxa"/>
        <w:tblCellMar>
          <w:top w:w="0" w:type="dxa"/>
          <w:left w:w="0" w:type="dxa"/>
          <w:bottom w:w="0" w:type="dxa"/>
          <w:right w:w="0" w:type="dxa"/>
        </w:tblCellMar>
      </w:tblPr>
      <w:tr>
        <w:trPr>
          <w:trHeight w:val="229"/>
        </w:trPr>
        <w:tc>
          <w:tcPr>
            <w:tcW w:w="5880" w:type="dxa"/>
            <w:vAlign w:val="bottom"/>
            <w:shd w:val="clear" w:color="auto" w:fill="CBCBCB"/>
          </w:tcPr>
          <w:p>
            <w:pPr>
              <w:ind w:left="20"/>
              <w:spacing w:after="0"/>
              <w:rPr>
                <w:sz w:val="20"/>
                <w:szCs w:val="20"/>
                <w:color w:val="auto"/>
              </w:rPr>
            </w:pPr>
            <w:r>
              <w:rPr>
                <w:rFonts w:ascii="Arial" w:cs="Arial" w:eastAsia="Arial" w:hAnsi="Arial"/>
                <w:sz w:val="18"/>
                <w:szCs w:val="18"/>
                <w:color w:val="auto"/>
              </w:rPr>
              <w:t>Options</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5,000,000</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Stock Appreciation Rights (SARs)</w:t>
            </w:r>
          </w:p>
        </w:tc>
        <w:tc>
          <w:tcPr>
            <w:tcW w:w="220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29"/>
        </w:trPr>
        <w:tc>
          <w:tcPr>
            <w:tcW w:w="5880" w:type="dxa"/>
            <w:vAlign w:val="bottom"/>
            <w:shd w:val="clear" w:color="auto" w:fill="CBCBCB"/>
          </w:tcPr>
          <w:p>
            <w:pPr>
              <w:ind w:left="20"/>
              <w:spacing w:after="0"/>
              <w:rPr>
                <w:sz w:val="20"/>
                <w:szCs w:val="20"/>
                <w:color w:val="auto"/>
              </w:rPr>
            </w:pPr>
            <w:r>
              <w:rPr>
                <w:rFonts w:ascii="Arial" w:cs="Arial" w:eastAsia="Arial" w:hAnsi="Arial"/>
                <w:sz w:val="18"/>
                <w:szCs w:val="18"/>
                <w:color w:val="auto"/>
              </w:rPr>
              <w:t>Other Stock-Based Awards (other than Options or SARs)</w:t>
            </w:r>
          </w:p>
        </w:tc>
        <w:tc>
          <w:tcPr>
            <w:tcW w:w="220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5,000,000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These limits are unchanged as compared to the Plan and are subject to anti-dilution adjustments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event of corporate events such as stock splits, mergers, consolidations, stock dividends, recapitalizations and similar transactions.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IMPORTANT PROVISIONS OF THE 2007 PLAN</w:t>
      </w:r>
    </w:p>
    <w:p>
      <w:pPr>
        <w:spacing w:after="0" w:line="269"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The 2007 Plan contains a number of provisions that we believe are consistent with the interests of shareholders and sound corporate governance practices, including:</w:t>
      </w:r>
    </w:p>
    <w:p>
      <w:pPr>
        <w:spacing w:after="0" w:line="171" w:lineRule="exact"/>
        <w:rPr>
          <w:sz w:val="20"/>
          <w:szCs w:val="20"/>
          <w:color w:val="auto"/>
        </w:rPr>
      </w:pPr>
    </w:p>
    <w:p>
      <w:pPr>
        <w:ind w:left="660" w:right="140" w:hanging="328"/>
        <w:spacing w:after="0" w:line="27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2007 Plan uses a fungible share pool under which each stock option and SAR counts as one share</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plan share reserve and each stock-based full-value award (which includes any stock-based or stock-settled award other than options or SARs) counts as two shares against the plan share reserve.</w:t>
      </w:r>
    </w:p>
    <w:p>
      <w:pPr>
        <w:spacing w:after="0" w:line="189" w:lineRule="exact"/>
        <w:rPr>
          <w:rFonts w:ascii="Arial" w:cs="Arial" w:eastAsia="Arial" w:hAnsi="Arial"/>
          <w:sz w:val="18"/>
          <w:szCs w:val="18"/>
          <w:color w:val="auto"/>
        </w:rPr>
      </w:pPr>
    </w:p>
    <w:p>
      <w:pPr>
        <w:ind w:left="660" w:right="160" w:hanging="328"/>
        <w:spacing w:after="0" w:line="271"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2007 Plan prohibits the reuse of shares withheld, repurchased 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satisfy the exercise price or tax withholding requirements relating to a stock option or SAR. The Plan also prohibits “net share counting” upon the exercise of options or SARs.</w:t>
      </w:r>
    </w:p>
    <w:p>
      <w:pPr>
        <w:spacing w:after="0" w:line="189" w:lineRule="exact"/>
        <w:rPr>
          <w:rFonts w:ascii="Arial" w:cs="Arial" w:eastAsia="Arial" w:hAnsi="Arial"/>
          <w:sz w:val="18"/>
          <w:szCs w:val="18"/>
          <w:color w:val="auto"/>
        </w:rPr>
      </w:pPr>
    </w:p>
    <w:p>
      <w:pPr>
        <w:ind w:left="660" w:right="40" w:hanging="328"/>
        <w:spacing w:after="0" w:line="258"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No Repricing of Stock Options or SARs</w:t>
      </w:r>
      <w:r>
        <w:rPr>
          <w:rFonts w:ascii="Arial" w:cs="Arial" w:eastAsia="Arial" w:hAnsi="Arial"/>
          <w:sz w:val="18"/>
          <w:szCs w:val="18"/>
          <w:color w:val="auto"/>
        </w:rPr>
        <w:t>. The 2007 Plan generally prohibits the repricing of stock options or SARs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As provided in the 2007 Plan, the following actions are generally prohibited: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any repurchasing of an option or SAR for value (in cash or otherwise) if the current fair market value of the shares of Common Stock underlying the option or SAR is lower than the exercise price or base price per share of the option or SAR.</w:t>
      </w:r>
    </w:p>
    <w:p>
      <w:pPr>
        <w:spacing w:after="0" w:line="203" w:lineRule="exact"/>
        <w:rPr>
          <w:rFonts w:ascii="Arial" w:cs="Arial" w:eastAsia="Arial" w:hAnsi="Arial"/>
          <w:sz w:val="18"/>
          <w:szCs w:val="18"/>
          <w:color w:val="auto"/>
        </w:rPr>
      </w:pPr>
    </w:p>
    <w:p>
      <w:pPr>
        <w:ind w:left="660" w:right="360" w:hanging="328"/>
        <w:spacing w:after="0" w:line="292"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the underlying Common Stock on the date of grant.</w:t>
      </w:r>
    </w:p>
    <w:p>
      <w:pPr>
        <w:spacing w:after="0" w:line="171" w:lineRule="exact"/>
        <w:rPr>
          <w:rFonts w:ascii="Arial" w:cs="Arial" w:eastAsia="Arial" w:hAnsi="Arial"/>
          <w:sz w:val="18"/>
          <w:szCs w:val="18"/>
          <w:color w:val="auto"/>
        </w:rPr>
      </w:pPr>
    </w:p>
    <w:p>
      <w:pPr>
        <w:ind w:left="660" w:right="60" w:hanging="328"/>
        <w:spacing w:after="0" w:line="264"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“Double-trigger” Change in Control Vesting</w:t>
      </w:r>
      <w:r>
        <w:rPr>
          <w:rFonts w:ascii="Arial" w:cs="Arial" w:eastAsia="Arial" w:hAnsi="Arial"/>
          <w:sz w:val="18"/>
          <w:szCs w:val="18"/>
          <w:color w:val="auto"/>
        </w:rPr>
        <w:t>. If awards granted under the 2007 Plan are assumed by a successor in connection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such awards will not automatically vest and pay out solely as a result of the change in control. Instead, such awards will only vest in accordance with their existing vesting schedule, except that they will vest upon termination or resignation if within one year after</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61</w:t>
      </w:r>
    </w:p>
    <w:p>
      <w:pPr>
        <w:sectPr>
          <w:pgSz w:w="11900" w:h="16838" w:orient="portrait"/>
          <w:cols w:equalWidth="0" w:num="1">
            <w:col w:w="11240"/>
          </w:cols>
          <w:pgMar w:left="320" w:top="1170" w:right="339" w:bottom="1440" w:gutter="0" w:footer="0" w:header="0"/>
        </w:sectPr>
      </w:pPr>
    </w:p>
    <w:bookmarkStart w:id="69" w:name="page70"/>
    <w:bookmarkEnd w:id="69"/>
    <w:p>
      <w:pPr>
        <w:ind w:left="660" w:right="700"/>
        <w:spacing w:after="0" w:line="292" w:lineRule="auto"/>
        <w:rPr>
          <w:sz w:val="20"/>
          <w:szCs w:val="20"/>
          <w:color w:val="auto"/>
        </w:rPr>
      </w:pPr>
      <w:r>
        <w:rPr>
          <w:rFonts w:ascii="Arial" w:cs="Arial" w:eastAsia="Arial" w:hAnsi="Arial"/>
          <w:sz w:val="18"/>
          <w:szCs w:val="18"/>
          <w:color w:val="auto"/>
        </w:rPr>
        <w:t>the effective date of the change in control, the participant’s employment is terminated without cause or, in the case of certain participants, if the participant resigns for good reason.</w:t>
      </w:r>
    </w:p>
    <w:p>
      <w:pPr>
        <w:spacing w:after="0" w:line="171" w:lineRule="exact"/>
        <w:rPr>
          <w:sz w:val="20"/>
          <w:szCs w:val="20"/>
          <w:color w:val="auto"/>
        </w:rPr>
      </w:pPr>
    </w:p>
    <w:p>
      <w:pPr>
        <w:ind w:left="660" w:right="180" w:hanging="328"/>
        <w:spacing w:after="0" w:line="29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No Award may be Transferred for Value</w:t>
      </w:r>
      <w:r>
        <w:rPr>
          <w:rFonts w:ascii="Arial" w:cs="Arial" w:eastAsia="Arial" w:hAnsi="Arial"/>
          <w:sz w:val="18"/>
          <w:szCs w:val="18"/>
          <w:color w:val="auto"/>
        </w:rPr>
        <w:t>. The 2007 Plan prohibits the transfer of unexercised, unvested or restricted awards to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value.</w:t>
      </w:r>
    </w:p>
    <w:p>
      <w:pPr>
        <w:spacing w:after="0" w:line="171" w:lineRule="exact"/>
        <w:rPr>
          <w:rFonts w:ascii="Arial" w:cs="Arial" w:eastAsia="Arial" w:hAnsi="Arial"/>
          <w:sz w:val="18"/>
          <w:szCs w:val="18"/>
          <w:color w:val="auto"/>
        </w:rPr>
      </w:pPr>
    </w:p>
    <w:p>
      <w:pPr>
        <w:ind w:left="660" w:right="300" w:hanging="328"/>
        <w:spacing w:after="0" w:line="29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2007 Plan is not a “liberal”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be activated on mere shareholder approval of a transaction.</w:t>
      </w:r>
    </w:p>
    <w:p>
      <w:pPr>
        <w:spacing w:after="0" w:line="171" w:lineRule="exact"/>
        <w:rPr>
          <w:rFonts w:ascii="Arial" w:cs="Arial" w:eastAsia="Arial" w:hAnsi="Arial"/>
          <w:sz w:val="18"/>
          <w:szCs w:val="18"/>
          <w:color w:val="auto"/>
        </w:rPr>
      </w:pPr>
    </w:p>
    <w:p>
      <w:pPr>
        <w:ind w:left="660" w:right="220" w:hanging="328"/>
        <w:spacing w:after="0" w:line="264"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Minimum Vesting Requirements</w:t>
      </w:r>
      <w:r>
        <w:rPr>
          <w:rFonts w:ascii="Arial" w:cs="Arial" w:eastAsia="Arial" w:hAnsi="Arial"/>
          <w:sz w:val="18"/>
          <w:szCs w:val="18"/>
          <w:color w:val="auto"/>
        </w:rPr>
        <w:t>. Subject to certain limited exceptions, full-value awards granted under the 2007 Plan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granted to non-employee directors) will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196" w:lineRule="exact"/>
        <w:rPr>
          <w:rFonts w:ascii="Arial" w:cs="Arial" w:eastAsia="Arial" w:hAnsi="Arial"/>
          <w:sz w:val="18"/>
          <w:szCs w:val="18"/>
          <w:color w:val="auto"/>
        </w:rPr>
      </w:pPr>
    </w:p>
    <w:p>
      <w:pPr>
        <w:ind w:left="660" w:right="560" w:hanging="328"/>
        <w:spacing w:after="0" w:line="292"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No Dividends on Unearned Awards</w:t>
      </w:r>
      <w:r>
        <w:rPr>
          <w:rFonts w:ascii="Arial" w:cs="Arial" w:eastAsia="Arial" w:hAnsi="Arial"/>
          <w:sz w:val="18"/>
          <w:szCs w:val="18"/>
          <w:color w:val="auto"/>
        </w:rPr>
        <w:t>. The 2007 Plan prohibits the current payment of dividends or dividend equivalent rights on</w:t>
      </w:r>
      <w:r>
        <w:rPr>
          <w:rFonts w:ascii="Arial" w:cs="Arial" w:eastAsia="Arial" w:hAnsi="Arial"/>
          <w:sz w:val="18"/>
          <w:szCs w:val="18"/>
          <w:i w:val="1"/>
          <w:iCs w:val="1"/>
          <w:color w:val="auto"/>
        </w:rPr>
        <w:t xml:space="preserve"> </w:t>
      </w:r>
      <w:r>
        <w:rPr>
          <w:rFonts w:ascii="Arial" w:cs="Arial" w:eastAsia="Arial" w:hAnsi="Arial"/>
          <w:sz w:val="18"/>
          <w:szCs w:val="18"/>
          <w:color w:val="auto"/>
        </w:rPr>
        <w:t>unearned performance shares.</w:t>
      </w:r>
    </w:p>
    <w:p>
      <w:pPr>
        <w:spacing w:after="0" w:line="171" w:lineRule="exact"/>
        <w:rPr>
          <w:rFonts w:ascii="Arial" w:cs="Arial" w:eastAsia="Arial" w:hAnsi="Arial"/>
          <w:sz w:val="18"/>
          <w:szCs w:val="18"/>
          <w:color w:val="auto"/>
        </w:rPr>
      </w:pPr>
    </w:p>
    <w:p>
      <w:pPr>
        <w:ind w:left="660" w:right="120" w:hanging="328"/>
        <w:spacing w:after="0" w:line="264"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2007 Plan can be made without shareholder approval. For example,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that would materially increase the number of shares reserved under the plan, or that would diminish the prohibitions on repricing stock options or SARs, would require shareholder approval. The types of amendments that require shareholder approval are described in the 2007 Plan.</w:t>
      </w:r>
    </w:p>
    <w:p>
      <w:pPr>
        <w:spacing w:after="0" w:line="200" w:lineRule="exact"/>
        <w:rPr>
          <w:sz w:val="20"/>
          <w:szCs w:val="20"/>
          <w:color w:val="auto"/>
        </w:rPr>
      </w:pPr>
    </w:p>
    <w:p>
      <w:pPr>
        <w:spacing w:after="0" w:line="226" w:lineRule="exact"/>
        <w:rPr>
          <w:sz w:val="20"/>
          <w:szCs w:val="20"/>
          <w:color w:val="auto"/>
        </w:rPr>
      </w:pPr>
    </w:p>
    <w:p>
      <w:pPr>
        <w:ind w:right="2420"/>
        <w:spacing w:after="0" w:line="313" w:lineRule="auto"/>
        <w:rPr>
          <w:sz w:val="20"/>
          <w:szCs w:val="20"/>
          <w:color w:val="auto"/>
        </w:rPr>
      </w:pPr>
      <w:r>
        <w:rPr>
          <w:rFonts w:ascii="Arial" w:cs="Arial" w:eastAsia="Arial" w:hAnsi="Arial"/>
          <w:sz w:val="39"/>
          <w:szCs w:val="39"/>
          <w:b w:val="1"/>
          <w:bCs w:val="1"/>
          <w:color w:val="auto"/>
        </w:rPr>
        <w:t>SUMMARY OF THE 2007 PLAN AS PROPOSED TO BE AMENDED AND RESTATED</w:t>
      </w:r>
    </w:p>
    <w:p>
      <w:pPr>
        <w:spacing w:after="0" w:line="32"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 xml:space="preserve">The following summary is qualified in its entirety by reference to the complete text of the 2007 Plan, which is provided with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Purpose</w:t>
      </w:r>
    </w:p>
    <w:p>
      <w:pPr>
        <w:spacing w:after="0" w:line="24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purpose of the 2007 Plan is to promote our success and enhance our value by linking the personal interests of our employees, officers, and directors to those of our shareholders, and by providing participants with an incentive for outstanding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Permissible Awards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252" w:lineRule="exact"/>
        <w:rPr>
          <w:sz w:val="20"/>
          <w:szCs w:val="20"/>
          <w:color w:val="auto"/>
        </w:rPr>
      </w:pPr>
    </w:p>
    <w:p>
      <w:pPr>
        <w:ind w:left="660" w:right="20" w:hanging="328"/>
        <w:spacing w:after="0" w:line="260"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Options to purchase shares of Common Stock, which may be nonstatutory stock options or incentive stock options under the U.S. Internal Revenue Code (the “Code”). The exercise price of an option granted under the 2007 Plan may not be less than the fair market value of our Common Stock on the date of grant (except to the limited extent permitted by the Code when we issue options in substitution for options held by employees of companies acquired by us). Stock options granted under the 2007 Plan may have a term of up to eight years.</w:t>
      </w:r>
    </w:p>
    <w:p>
      <w:pPr>
        <w:spacing w:after="0" w:line="201" w:lineRule="exact"/>
        <w:rPr>
          <w:rFonts w:ascii="Arial" w:cs="Arial" w:eastAsia="Arial" w:hAnsi="Arial"/>
          <w:sz w:val="18"/>
          <w:szCs w:val="18"/>
          <w:color w:val="auto"/>
        </w:rPr>
      </w:pPr>
    </w:p>
    <w:p>
      <w:pPr>
        <w:ind w:left="660" w:hanging="328"/>
        <w:spacing w:after="0" w:line="264"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SARs, which give the holder the right to receive the excess, if any, of the fair market value of one share of Common Stock on the date of exercise, over the base price of the SAR. The base price of a SAR may not be less than the fair market value of our Common Stock on the date of grant (except to the limited extent permitted by the Code when we issue SARs in substitution for SARs held by employees of companies acquired by us). SARs granted under the 2007 Plan may have a term of up to eight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927" w:right="359" w:bottom="1440" w:gutter="0" w:footer="0" w:header="0"/>
        </w:sectPr>
      </w:pPr>
    </w:p>
    <w:bookmarkStart w:id="70" w:name="page71"/>
    <w:bookmarkEnd w:id="70"/>
    <w:p>
      <w:pPr>
        <w:ind w:left="660" w:right="180" w:hanging="328"/>
        <w:spacing w:after="0" w:line="29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our Board of Directors (the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52" w:lineRule="exact"/>
        <w:rPr>
          <w:rFonts w:ascii="Arial" w:cs="Arial" w:eastAsia="Arial" w:hAnsi="Arial"/>
          <w:sz w:val="18"/>
          <w:szCs w:val="18"/>
          <w:color w:val="auto"/>
        </w:rPr>
      </w:pPr>
    </w:p>
    <w:p>
      <w:pPr>
        <w:ind w:left="660" w:right="740" w:hanging="328"/>
        <w:spacing w:after="0" w:line="29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171" w:lineRule="exact"/>
        <w:rPr>
          <w:rFonts w:ascii="Arial" w:cs="Arial" w:eastAsia="Arial" w:hAnsi="Arial"/>
          <w:sz w:val="18"/>
          <w:szCs w:val="18"/>
          <w:color w:val="auto"/>
        </w:rPr>
      </w:pPr>
    </w:p>
    <w:p>
      <w:pPr>
        <w:ind w:left="660" w:right="80" w:hanging="328"/>
        <w:spacing w:after="0" w:line="29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awards will be evidenced by a written award certificate between us and the participant, which will include such provisions as may be specified by the Committee. Dividend equivalent rights, which entitle the participant to payments by reference to the amount of ordinary cash dividends or distributions paid on the shares of stock underlying an award, may not be granted with respect to options or SARs, but may be granted with other awards. Dividend equivalent rights may be deemed reinvested (in shares or otherwise) or may be paid out or distributed as accrued, as determined by the Committee, except that dividend equivalent rights on performance shares may not be paid out or distributed as accrued, and can be paid or distributed only if the performance-based vesting restrictions on the performance shares lapse. Unless determined otherwise by the Committee, dividend equivalent rights accruing on unvested awards will vest when the award vests and otherwise will be forfeited if the award on which the dividend equivalent rights accrued is forfeited.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Shares Available for Awards</w:t>
      </w:r>
    </w:p>
    <w:p>
      <w:pPr>
        <w:spacing w:after="0" w:line="24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proposed amendment of the Plan would increase the number of shares that may be issued under the 2007 Plan by 35 million shares. If the shareholders approve the proposed amendment to the Plan, the aggregate number of shares of Common Stock reserved and available for issuance pursuant to awards granted under the 2007 Plan will be 200 million. The maximum number of shares that may be issued to one person upon exercise of incentive stock options granted under the 2007 Plan is 2 million. Each share issued pursuant to “full value” awards, such as restricted stock, unrestricted stock, restricted stock units, deferred stock units, performance shares, or other stock-based awards (other than options or stock appreciation rights) payable in stock, will reduce the number of shares available for grant by two shares.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the Plan, as of the Record Date, November 18, 2020, equity awards covering an aggregate of 78,355,117 shares had been granted, net of cancellations. As of that date, no awards had been granted under the 2007 Plan, the amended and restated version of the Plan that is being submitted for shareholder approval. Due to the fungible share pool provision of the Plan and the 2007 Plan (see “Important Provisions of the 2007 Plan - Fungible Share Pool” above), the equity awards granted as of the Record Date counted as 123,018,699 shares against the Plan share reserve, resulting in 41,981,301 shares still available for grant as of November 18, 2020. As of the same date, equity awards covering an aggregate of 16,880,340 shares were outstanding under the Plan, of which 1,956,770 shares were subject to stock options, 13,651,030 shares were subject to restricted stock awards, and 1,272,540 shares were subject to performance restricted stock units. The weighted-average remaining contractual term of the outstanding stock options as of the Record Date, was 2.84 years and the weighted-average exercise price per share of those stock options was $24.89. Any stock issued under the 2007 Plan may consist of authorized and unissued shares of our Common Stock, treasury shares of our Common Stock, or shares of our Common Stock purchased on the open market.</w:t>
      </w:r>
    </w:p>
    <w:p>
      <w:pPr>
        <w:spacing w:after="0" w:line="20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noted above, the maximum number of shares of Common Stock subject to awards that may be granted under the 2007 Plan during any one calendar year to any one participant will be 5,000,000 with respect to options and/or SARs; and 5,000,000 with respect to awards of restricted stock, restricted stock units, deferred stock units, performance shares or other stock-based awards (other than options and SARs). In addition, the maximum number of shares of Common Stock subject to awards granted during any single fiscal year of ours to any</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63</w:t>
      </w:r>
    </w:p>
    <w:p>
      <w:pPr>
        <w:sectPr>
          <w:pgSz w:w="11900" w:h="16838" w:orient="portrait"/>
          <w:cols w:equalWidth="0" w:num="1">
            <w:col w:w="11240"/>
          </w:cols>
          <w:pgMar w:left="320" w:top="927" w:right="339" w:bottom="1440" w:gutter="0" w:footer="0" w:header="0"/>
        </w:sectPr>
      </w:pPr>
    </w:p>
    <w:bookmarkStart w:id="71" w:name="page72"/>
    <w:bookmarkEnd w:id="71"/>
    <w:p>
      <w:pPr>
        <w:ind w:right="40"/>
        <w:spacing w:after="0" w:line="271" w:lineRule="auto"/>
        <w:rPr>
          <w:sz w:val="20"/>
          <w:szCs w:val="20"/>
          <w:color w:val="auto"/>
        </w:rPr>
      </w:pPr>
      <w:r>
        <w:rPr>
          <w:rFonts w:ascii="Arial" w:cs="Arial" w:eastAsia="Arial" w:hAnsi="Arial"/>
          <w:sz w:val="18"/>
          <w:szCs w:val="18"/>
          <w:color w:val="auto"/>
        </w:rPr>
        <w:t>nonemployee director, taken together with any cash fees paid to such non-employee director during that fiscal year, will not exceed $750,000 in total value. For this purpose, the value of any such awards will be based on the grant date fair value as determined for financial reporting purposes.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Share Counting</w:t>
      </w: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subject to awards that terminate or expire unexercised, or are cancelled, forfeited or lapse for any reason, and shares underlying awards that are ultimately settled in cash, will become available for future grants of awards under the 2007 Plan. The following shares of Common Stock may not again be made available for issuance as awards under the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 If any part of a “full value” award (as defined in the “Shares Available for Awards” section immediately above) is cancelled, forfeited, or lapses for any reason, or the shares underlying the award are settled in cash, twice the number of such full value awards will be returned to the 2007 Plan to correspond to the formula described above for reducing the number of shares available for grant under the 2007 Plan when granting full value awards.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Minimum Vesting Requirements</w:t>
      </w:r>
    </w:p>
    <w:p>
      <w:pPr>
        <w:spacing w:after="0" w:line="24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Full-value awards granted under the 2007 Plan will be subject to a minimum vesting period of three years (which may include graduated vesting) or one year if the vesting is performance-based, except to the limited extent provided in the 2007 Plan. These exceptions include awards issued in substitution for awards in a business combination, awards issued for foregone cash compensation, accelerated vesting in the case of death, disability or retirement, or the occurrence of a change in control (as defined in the 2007 Plan), awards covering 5% or fewer of the total number of shares of Common Stock authorized under the 2007 Plan, and awards granted to non-employee directors.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Administration</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plan will be administered by the Committee. The Committee will have the authority to grant awards; designate participants; determine the type or types of awards to be granted to each participant and the number, terms and conditions thereof, including without limitation exercisability, exercise or purchase prices, and term to expiration; establish, adopt or revise any rules and regulations as it may deem necessary or advisable to administer the 2007 Plan; and make all other decisions and determinations that may be required under the 2007 Plan. However, the Committee may not grant discretionary awards under the 2007 Plan to our non-employee directors and our non-employee directors will be granted awards under the 2007 Plan only in accordance with the terms, conditions and parameters of a plan, program or policy for compensating our non-employee directors as may be in effect from time to time. Our Board of Directors may at any time administer the 2007 Plan. If it does so, it will have all the powers of the Committee under the 2007 Plan.</w:t>
      </w:r>
    </w:p>
    <w:p>
      <w:pPr>
        <w:spacing w:after="0" w:line="20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addition, our Board of Directors may expressly delegate to a special committee some or all of the Committee’s authority, within specified parameters, to grant awards to eligible participants who, at the time of grant, are not executive officers. The Board has delegated to our Chief Executive Officer limited authority to grant awards under the Plan to employees who are not executive officers of the Company. The Chief Executive Officer is authorized to grant awards to employees provided Equity Awards granted to any employee do not have a grant date value in excess $ 1,000,000, in the aggregate in any fiscal year of the Company. The Board at any time may revoke the authority of the Chief Executive Officer to grant these awards. The Chief Executive Officer is not authorized to grant awards to members of the Board or to executive officers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Eligibility</w:t>
      </w:r>
    </w:p>
    <w:p>
      <w:pPr>
        <w:spacing w:after="0" w:line="24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Employees (including officers) and non-employee directors of the Company or any affiliate of the Company, including its subsidiaries, are eligible to be selected to receive awards under the 2007 Plan. These are the same groups of individuals eligible under the Plan. The actual number of individuals who will receive awards cannot be determined in advance because the Committee has the discretion to select the participants. As of November 18, 2020, approximately 40,536 persons, including approximately 40,529 employees, and 7 non-employee directors,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27" w:right="339" w:bottom="1440" w:gutter="0" w:footer="0" w:header="0"/>
        </w:sectPr>
      </w:pPr>
    </w:p>
    <w:bookmarkStart w:id="72" w:name="page73"/>
    <w:bookmarkEnd w:id="72"/>
    <w:p>
      <w:pPr>
        <w:jc w:val="both"/>
        <w:ind w:right="240"/>
        <w:spacing w:after="0" w:line="264" w:lineRule="auto"/>
        <w:rPr>
          <w:sz w:val="20"/>
          <w:szCs w:val="20"/>
          <w:color w:val="auto"/>
        </w:rPr>
      </w:pPr>
      <w:r>
        <w:rPr>
          <w:rFonts w:ascii="Arial" w:cs="Arial" w:eastAsia="Arial" w:hAnsi="Arial"/>
          <w:sz w:val="18"/>
          <w:szCs w:val="18"/>
          <w:color w:val="auto"/>
        </w:rPr>
        <w:t>were eligible to be selected to receive awards under the Plan and therefore, approximately the same number are expected to be eligible to be selected to receive awards under the 2007 Plan. As of the same date, 27,561 persons, including 27,553 employees, and 8 current and former non-employee directors had outstanding awards under the Plan. Consultants of the Company or its affiliates also are eligible to be selected to receive awards under the 2007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Limitations on Transfer; Beneficiaries</w:t>
      </w:r>
    </w:p>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Acceleration Upon Certain Events</w:t>
      </w:r>
    </w:p>
    <w:p>
      <w:pPr>
        <w:spacing w:after="0" w:line="24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Unless otherwise provided in an award certificate or any special plan document governing an award, upon the occurrence</w:t>
      </w:r>
      <w:r>
        <w:rPr>
          <w:rFonts w:ascii="Arial" w:cs="Arial" w:eastAsia="Arial" w:hAnsi="Arial"/>
          <w:sz w:val="18"/>
          <w:szCs w:val="18"/>
          <w:i w:val="1"/>
          <w:iCs w:val="1"/>
          <w:color w:val="auto"/>
        </w:rPr>
        <w:t xml:space="preserve"> </w:t>
      </w:r>
      <w:r>
        <w:rPr>
          <w:rFonts w:ascii="Arial" w:cs="Arial" w:eastAsia="Arial" w:hAnsi="Arial"/>
          <w:sz w:val="18"/>
          <w:szCs w:val="18"/>
          <w:color w:val="auto"/>
        </w:rPr>
        <w:t>of a “change in control” (as defined in the 2007 Plan), awards that are assumed by the surviving entity will not automatically accelerate vesting or pay out. Awards that are not assumed by the surviving entity or otherwise equitably converted or substituted in connection with the change in control in a manner approved by the Committee or our Board of Directors, will be treated as follows:</w:t>
      </w:r>
    </w:p>
    <w:p>
      <w:pPr>
        <w:spacing w:after="0" w:line="196"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outstanding options, SARs, and other awards in the nature of rights that may be exercised will become fully exercisable;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time-based vesting restrictions on outstanding awards will lapse; and</w:t>
      </w:r>
    </w:p>
    <w:p>
      <w:pPr>
        <w:spacing w:after="0" w:line="252" w:lineRule="exact"/>
        <w:rPr>
          <w:rFonts w:ascii="Arial" w:cs="Arial" w:eastAsia="Arial" w:hAnsi="Arial"/>
          <w:sz w:val="18"/>
          <w:szCs w:val="18"/>
          <w:color w:val="auto"/>
        </w:rPr>
      </w:pPr>
    </w:p>
    <w:p>
      <w:pPr>
        <w:ind w:left="660" w:right="180" w:hanging="328"/>
        <w:spacing w:after="0" w:line="271"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payout opportunities attainable under all outstanding performance-based awards will vest based on target performance and the awards will pay out on a pro rata basis, based on the time within the performance period that has elapsed prior to the change in control.</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With respect to awards assumed by the surviving entity or otherwise equitably converted or substituted in connection with a change in control, if within one year after the effective date of the change in control, a participant’s employment is terminated without Cause (as defined in the 2007 Plan, unless otherwise provided in an award certificate or any special plan document or other agreement governing an award) or the participant resigns for Good Reason (if and as defined in the award certificate, unless otherwise provided in any special plan document or other agreement governing an award), then:</w:t>
      </w:r>
    </w:p>
    <w:p>
      <w:pPr>
        <w:spacing w:after="0" w:line="202" w:lineRule="exact"/>
        <w:rPr>
          <w:sz w:val="20"/>
          <w:szCs w:val="20"/>
          <w:color w:val="auto"/>
        </w:rPr>
      </w:pPr>
    </w:p>
    <w:p>
      <w:pPr>
        <w:ind w:left="660" w:right="280" w:hanging="328"/>
        <w:spacing w:after="0" w:line="292"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that participant’s outstanding options, SARs, and other awards in the nature of rights that may be exercised will become fully exercisable;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time-based vesting restrictions on that participant’s outstanding awards will lapse; and</w:t>
      </w:r>
    </w:p>
    <w:p>
      <w:pPr>
        <w:spacing w:after="0" w:line="252"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payout opportunities attainable under all of that participant’s outstanding performance-based awards will vest based on target performance and the awards will pay out on a pro rata basis, based on the time within the performance period that has elapsed prior to the date of termination.</w:t>
      </w:r>
    </w:p>
    <w:p>
      <w:pPr>
        <w:spacing w:after="0" w:line="19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Unless otherwise provided in an award certificate or other governing document, if a participant’s service terminates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death or disability, all of such participant’s outstanding options, SARs, and other awards in the nature of rights that may be exercised that are solely subject to time-based vesting restrictions will become fully exercisable for a period of up to 12 months following the termination of service, all time-based vesting restrictions on outstanding awards will lapse, all outstanding performance-based awards will be fully earned based upon an assumed achievement of all relevant performance goals at “target” levels and there will</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65</w:t>
      </w:r>
    </w:p>
    <w:p>
      <w:pPr>
        <w:sectPr>
          <w:pgSz w:w="11900" w:h="16838" w:orient="portrait"/>
          <w:cols w:equalWidth="0" w:num="1">
            <w:col w:w="11240"/>
          </w:cols>
          <w:pgMar w:left="320" w:top="927" w:right="339" w:bottom="1440" w:gutter="0" w:footer="0" w:header="0"/>
        </w:sectPr>
      </w:pPr>
    </w:p>
    <w:bookmarkStart w:id="73" w:name="page74"/>
    <w:bookmarkEnd w:id="73"/>
    <w:p>
      <w:pPr>
        <w:ind w:right="160"/>
        <w:spacing w:after="0" w:line="292" w:lineRule="auto"/>
        <w:rPr>
          <w:sz w:val="20"/>
          <w:szCs w:val="20"/>
          <w:color w:val="auto"/>
        </w:rPr>
      </w:pPr>
      <w:r>
        <w:rPr>
          <w:rFonts w:ascii="Arial" w:cs="Arial" w:eastAsia="Arial" w:hAnsi="Arial"/>
          <w:sz w:val="18"/>
          <w:szCs w:val="18"/>
          <w:color w:val="auto"/>
        </w:rPr>
        <w:t>be a pro-rata payout of such performance awards based upon the length of time within the performance period that has elapsed prior to the termination of service.</w:t>
      </w:r>
    </w:p>
    <w:p>
      <w:pPr>
        <w:spacing w:after="0" w:line="171"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i w:val="1"/>
          <w:iCs w:val="1"/>
          <w:color w:val="auto"/>
        </w:rPr>
        <w:t>Discretionary Acceleration</w:t>
      </w:r>
      <w:r>
        <w:rPr>
          <w:rFonts w:ascii="Arial" w:cs="Arial" w:eastAsia="Arial" w:hAnsi="Arial"/>
          <w:sz w:val="18"/>
          <w:szCs w:val="18"/>
          <w:color w:val="auto"/>
        </w:rPr>
        <w:t>. In addition, the Committee may in its discretion accelerate the vesting and (as applicable) exercisability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other reason, subject to the above described minimum vesting requirements. The Committee may discriminate among participants or among awards in exercising such discretion.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Adjustments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a nonreciprocal transaction between us and our shareholders occurs that causes the per-share value of the shares of Common Stock to change, such as a stock dividend, stock split, spin-off, rights offering, or large nonrecurring cash dividend, then the number of shares issuable under the 2007 Plan and the per-participant share limits in the 2007 Plan will be adjusted proportionately. The Committee will make other adjustments to the 2007 Plan and awards granted under it that the Committee deems necessary to prevent dilution or enlargement of rights, including adjustments to the number and type of shares covered by outstanding awards or deliverable under the 2007 Plan and the price per share of Common Stock covered by each outstanding award. Also, in the case of a stock split, stock dividend or stock consolidation, the share authorization limits under the 2007 Plan and shares subject to, and terms of, outstanding awards will be adjusted proportionately. These adjustments may be made notwithstanding the other limits and restrictions of the 2007 Plan.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Termination and Amendment</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2007 Plan is approved by our shareholders at the Annual Meeting, it will be scheduled to terminate on January 14, 2031, unless we terminate it earlier. The Plan as originally adopted and as last approved by shareholders, and the 2007 Plan, provide that the expiration date of the applicable plan automatically is extended to the 10th anniversary of shareholder approval of any addition of shares to the applicable plan. Therefore, the 2007 Plan, if approved, will be scheduled to expire on January 14, 2031, which is the tenth anniversary of the Annual Meeting. If shareholders do not approve the 2007 Plan, the Plan will expire on January 18, 2027, which is 10 years from the last shareholder approval of the Plan. Our Board of Directors or the Committee may, at any time and from time to time, terminate or amend the 2007 Plan, but if an amendment to the 2007 Plan would materially increase the number of shares of stock issuable under the 2007 Plan, expand the types of awards provided under the 2007 Plan, materially expand the class of participants eligible to participate in the 2007 Plan, materially extend the term of the 2007 Plan or otherwise constitute a material amendment requiring shareholder approval under applicable listing requirements, laws, policies or regulations, then such amendment will be subject to shareholder approval. No termination or amendment of the 2007 Plan may adversely affect any award previously granted under the 2007 Plan without the written consent of the participant as provided in the 2007 Plan.</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in certain circumstances. Also, unless approved by the shareholders or otherwise permitted by the anti-dilution or adjustment provisions of the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we may not repurchase an option or SAR for value (in cash or otherwise) from a participant if the current fair market value of a share of Common Stock underlying the option or SAR is lower than the exercise price or base price per share of the option or SAR, and (iv) the original term of an option or SAR may not be extended.</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Prohibition on Repricing</w:t>
      </w:r>
    </w:p>
    <w:p>
      <w:pPr>
        <w:spacing w:after="0" w:line="2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indicated above under “Termination and Amendment,” outstanding stock options and SARs cannot be repriced, directly or indirectly, without the prior consent of our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27" w:right="3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0090DA"/>
        </w:rPr>
        <w:t>Forfeiture of Awards</w:t>
      </w:r>
    </w:p>
    <w:p>
      <w:pPr>
        <w:spacing w:after="0" w:line="2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Awards under the 2007 Plan will be subject to any applicable compensation recoupment policy that we adopt from time to time, as required by law or otherwise. In addition, the Committee may specify in an award certificate that a participant’s award will be subject to reduction, cancellation, forfeiture, or recoupment upon certain specified events, in addition to any otherwise applicable vesting or performance requirements. These event may include without limitation, termination for cause, violation of our material policies, breach of certain restrictive covenants, or other conduct by a participant detrimental to our business or reputation, or later determination that the vesting of or amount realized from a performance-based award was based on materially inaccurate financial statements or performance metric criteria, whether or not the participant caused or contributed to such material inaccuracy.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CERTAIN FEDERAL TAX EFFECTS</w:t>
      </w:r>
    </w:p>
    <w:p>
      <w:pPr>
        <w:spacing w:after="0" w:line="26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following discussion is limited to a summary of the U.S. federal income tax provisions relating to the grant, exercise and vesting of awards under the 2007 Plan and the subsequent sale of Common Stock acquired under the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20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Generally, there will be no federal income tax consequences to the optionee upon the grant of a nonstatutory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under the 2007 Plan. When the optionee exercises a nonstatutory stock option, however, he or she will recognize ordinary income in an amount equal to the excess of the fair market value of the Common Stock received upon exercise of the option at the time of exercise over the exercise price. Any gain that the optionee realizes when he or she later sells or disposes of the option shares will be short-term or long-term capital gain, depending on how long the shares were held.</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There typically will be no federal income tax consequences to the optionee upon the grant or exercise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If the optionee holds the option shares for the required holding period of more than two years after the date the option was granted or one year after exercise, the difference between the exercise price and the amount realized upon sale or disposition of the option shares will be long-term capital gain or loss.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20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participant receiving a stock appreciation right generally will not recognize income at the time the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When the participant exercises the stock appreciation right, the amount of cash and the fair market value of any shares of Common Stock received will be ordinary income to the participant.</w:t>
      </w:r>
    </w:p>
    <w:p>
      <w:pPr>
        <w:spacing w:after="0" w:line="1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Unless a participant makes an election to accelerate recognition of income to the date of grant as described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generally will not recognize income at the time a restricted stock award is granted, provided that the award is subject to restrictions on transfer and is subject to a substantial risk of forfeiture. When the restrictions lapse, the participant generally will recognize ordinary income equal to the fair market value of the Common Stock as of that date, less any amount he or she paid for the stock.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67</w:t>
      </w:r>
    </w:p>
    <w:p>
      <w:pPr>
        <w:sectPr>
          <w:pgSz w:w="11900" w:h="16838" w:orient="portrait"/>
          <w:cols w:equalWidth="0" w:num="1">
            <w:col w:w="11240"/>
          </w:cols>
          <w:pgMar w:left="320" w:top="927" w:right="339" w:bottom="1440" w:gutter="0" w:footer="0" w:header="0"/>
        </w:sectPr>
      </w:pPr>
    </w:p>
    <w:bookmarkStart w:id="75" w:name="page76"/>
    <w:bookmarkEnd w:id="75"/>
    <w:p>
      <w:pPr>
        <w:ind w:right="20"/>
        <w:spacing w:after="0" w:line="271" w:lineRule="auto"/>
        <w:rPr>
          <w:sz w:val="20"/>
          <w:szCs w:val="20"/>
          <w:color w:val="auto"/>
        </w:rPr>
      </w:pPr>
      <w:r>
        <w:rPr>
          <w:rFonts w:ascii="Arial" w:cs="Arial" w:eastAsia="Arial" w:hAnsi="Arial"/>
          <w:sz w:val="18"/>
          <w:szCs w:val="18"/>
          <w:i w:val="1"/>
          <w:iCs w:val="1"/>
          <w:color w:val="auto"/>
        </w:rPr>
        <w:t>Restricted or Deferred Stock Units</w:t>
      </w:r>
      <w:r>
        <w:rPr>
          <w:rFonts w:ascii="Arial" w:cs="Arial" w:eastAsia="Arial" w:hAnsi="Arial"/>
          <w:sz w:val="18"/>
          <w:szCs w:val="18"/>
          <w:color w:val="auto"/>
        </w:rPr>
        <w:t>. A participant generally will not recognize income at the time a stock unit award is granted. Upon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the equivalent value in cash) in settlement of a stock unit award, a participant will recognize ordinary income equal to the fair market value of the Common Stock or other property as of that date.</w:t>
      </w:r>
    </w:p>
    <w:p>
      <w:pPr>
        <w:spacing w:after="0" w:line="190" w:lineRule="exact"/>
        <w:rPr>
          <w:sz w:val="20"/>
          <w:szCs w:val="20"/>
          <w:color w:val="auto"/>
        </w:rPr>
      </w:pPr>
    </w:p>
    <w:p>
      <w:pPr>
        <w:jc w:val="both"/>
        <w:ind w:right="340"/>
        <w:spacing w:after="0" w:line="292" w:lineRule="auto"/>
        <w:rPr>
          <w:sz w:val="20"/>
          <w:szCs w:val="20"/>
          <w:color w:val="auto"/>
        </w:rPr>
      </w:pPr>
      <w:r>
        <w:rPr>
          <w:rFonts w:ascii="Arial" w:cs="Arial" w:eastAsia="Arial" w:hAnsi="Arial"/>
          <w:sz w:val="18"/>
          <w:szCs w:val="18"/>
          <w:i w:val="1"/>
          <w:iCs w:val="1"/>
          <w:color w:val="auto"/>
        </w:rPr>
        <w:t>Performance Shares</w:t>
      </w:r>
      <w:r>
        <w:rPr>
          <w:rFonts w:ascii="Arial" w:cs="Arial" w:eastAsia="Arial" w:hAnsi="Arial"/>
          <w:sz w:val="18"/>
          <w:szCs w:val="18"/>
          <w:color w:val="auto"/>
        </w:rPr>
        <w:t>. A participant generally will not recognize income at the time performance shares are granted. When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receives settlement of the award, the fair market value of the shares of stock (or cash payment) will be ordinary income to the participant.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Tax Effect for the Company</w:t>
      </w:r>
      <w:r>
        <w:rPr>
          <w:rFonts w:ascii="Arial" w:cs="Arial" w:eastAsia="Arial" w:hAnsi="Arial"/>
          <w:sz w:val="18"/>
          <w:szCs w:val="18"/>
          <w:color w:val="auto"/>
        </w:rPr>
        <w:t>. The Company generally will be entitled to a tax deduction in connection with an award under the 2007 Plan in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equal to the ordinary income recognized by a participant and at the time that the participant recognizes such income (for example, the exercise of a nonqualified stock option), except as follows. Under Section 162(m) of the Code, the deductibility of compensation paid to certain individuals is limited to $1,000,000 per person per year. These individuals include our Chief Executive Officer, Chief Financial Officer and certain other individuals (including, but not necessarily limited to, our next three other most highly compensated named executive officers other than the Chief Executive Officer and Chief Financial Officer and certain individuals who were subject to Section 162(m) while employees at Micron). Under a special Code Section 162(m) transition rule, compensation received from the exercise of non-qualified stock options that we granted prior to November 2, 2017 is expected to be fully deductible although this tax treatment is not guaranteed.</w:t>
      </w:r>
    </w:p>
    <w:p>
      <w:pPr>
        <w:spacing w:after="0" w:line="200" w:lineRule="exact"/>
        <w:rPr>
          <w:sz w:val="20"/>
          <w:szCs w:val="20"/>
          <w:color w:val="auto"/>
        </w:rPr>
      </w:pPr>
    </w:p>
    <w:p>
      <w:pPr>
        <w:spacing w:after="0" w:line="234" w:lineRule="exact"/>
        <w:rPr>
          <w:sz w:val="20"/>
          <w:szCs w:val="20"/>
          <w:color w:val="auto"/>
        </w:rPr>
      </w:pPr>
    </w:p>
    <w:p>
      <w:pPr>
        <w:ind w:right="4700"/>
        <w:spacing w:after="0" w:line="313" w:lineRule="auto"/>
        <w:rPr>
          <w:sz w:val="20"/>
          <w:szCs w:val="20"/>
          <w:color w:val="auto"/>
        </w:rPr>
      </w:pPr>
      <w:r>
        <w:rPr>
          <w:rFonts w:ascii="Arial" w:cs="Arial" w:eastAsia="Arial" w:hAnsi="Arial"/>
          <w:sz w:val="39"/>
          <w:szCs w:val="39"/>
          <w:b w:val="1"/>
          <w:bCs w:val="1"/>
          <w:color w:val="auto"/>
        </w:rPr>
        <w:t>BENEFITS TO NAMED EXECUTIVE OFFICERS AND OTHERS</w:t>
      </w:r>
    </w:p>
    <w:p>
      <w:pPr>
        <w:spacing w:after="0" w:line="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number and type of equity awards that a service provider may receive under the 2007 Plan (if any) is in the discretion of the Committee. Therefore, the amount that may be received by any individual under the 2007 Plan cannot be determined in advance. Our executive officers and non-employee directors will be eligible to receive awards under the 2007 Plan, and therefore, our executive officers and non-employee directors have an interest in the approval of the 2007 Plan by shareholders. For purposes of illustration only, the following table sets forth information with respect to the awards that were granted under the Plan during fiscal 2020 to the executive officers named in the Summary Compensation Table, to all executive officers as a group, to all non-employee directors as a group, and to all non-executive officer employees as a group. Additional awards may be granted under the 2007 Plan to these individuals and groups in the future, as determined in the discretion of the Committee. No stock options, SARs, or performance-based restricted stock awards were granted under the Plan in fiscal 2020. Our executive officers received equity awards under our 2004 Plan in fiscal 2020. See “Grants of Plan-Based Awards in Fiscal 2020” above. We expect that future equity awards to our executive officers may be made under the 2007 Plan or a successor to the 2007 Plan. As of November 24, 2020, the closing price of our Common Stock was $63.95.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3080" w:type="dxa"/>
            <w:vAlign w:val="bottom"/>
          </w:tcPr>
          <w:p>
            <w:pPr>
              <w:jc w:val="center"/>
              <w:ind w:left="679"/>
              <w:spacing w:after="0"/>
              <w:rPr>
                <w:sz w:val="20"/>
                <w:szCs w:val="20"/>
                <w:color w:val="auto"/>
              </w:rPr>
            </w:pPr>
            <w:r>
              <w:rPr>
                <w:rFonts w:ascii="Arial" w:cs="Arial" w:eastAsia="Arial" w:hAnsi="Arial"/>
                <w:sz w:val="16"/>
                <w:szCs w:val="16"/>
                <w:b w:val="1"/>
                <w:bCs w:val="1"/>
                <w:color w:val="auto"/>
              </w:rPr>
              <w:t>Time-Based Restricted Stock</w:t>
            </w:r>
          </w:p>
        </w:tc>
        <w:tc>
          <w:tcPr>
            <w:tcW w:w="0" w:type="dxa"/>
            <w:vAlign w:val="bottom"/>
          </w:tcPr>
          <w:p>
            <w:pPr>
              <w:spacing w:after="0"/>
              <w:rPr>
                <w:sz w:val="1"/>
                <w:szCs w:val="1"/>
                <w:color w:val="auto"/>
              </w:rPr>
            </w:pPr>
          </w:p>
        </w:tc>
      </w:tr>
      <w:tr>
        <w:trPr>
          <w:trHeight w:val="162"/>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Position</w:t>
            </w:r>
          </w:p>
        </w:tc>
        <w:tc>
          <w:tcPr>
            <w:tcW w:w="3080" w:type="dxa"/>
            <w:vAlign w:val="bottom"/>
          </w:tcPr>
          <w:p>
            <w:pPr>
              <w:jc w:val="center"/>
              <w:ind w:left="659"/>
              <w:spacing w:after="0" w:line="162"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0090DA"/>
            </w:tcBorders>
            <w:vMerge w:val="continue"/>
          </w:tcPr>
          <w:p>
            <w:pPr>
              <w:spacing w:after="0"/>
              <w:rPr>
                <w:sz w:val="18"/>
                <w:szCs w:val="18"/>
                <w:color w:val="auto"/>
              </w:rPr>
            </w:pPr>
          </w:p>
        </w:tc>
        <w:tc>
          <w:tcPr>
            <w:tcW w:w="3080" w:type="dxa"/>
            <w:vAlign w:val="bottom"/>
            <w:tcBorders>
              <w:bottom w:val="single" w:sz="8" w:color="0090DA"/>
            </w:tcBorders>
          </w:tcPr>
          <w:p>
            <w:pPr>
              <w:jc w:val="center"/>
              <w:ind w:left="6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8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BCBCB"/>
          </w:tcPr>
          <w:p>
            <w:pPr>
              <w:ind w:left="20"/>
              <w:spacing w:after="0"/>
              <w:rPr>
                <w:sz w:val="20"/>
                <w:szCs w:val="20"/>
                <w:color w:val="auto"/>
              </w:rPr>
            </w:pPr>
            <w:r>
              <w:rPr>
                <w:rFonts w:ascii="Arial" w:cs="Arial" w:eastAsia="Arial" w:hAnsi="Arial"/>
                <w:sz w:val="16"/>
                <w:szCs w:val="16"/>
                <w:color w:val="auto"/>
              </w:rPr>
              <w:t>Sanjay Mehrotra, President and Chief Executive Officer</w:t>
            </w:r>
          </w:p>
        </w:tc>
        <w:tc>
          <w:tcPr>
            <w:tcW w:w="3080" w:type="dxa"/>
            <w:vAlign w:val="bottom"/>
            <w:shd w:val="clear" w:color="auto" w:fill="CBCBCB"/>
          </w:tcPr>
          <w:p>
            <w:pPr>
              <w:jc w:val="center"/>
              <w:ind w:left="67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color w:val="auto"/>
              </w:rPr>
              <w:t>David A. Zinsner, Senior Vice President and Chief Financial Officer</w:t>
            </w:r>
          </w:p>
        </w:tc>
        <w:tc>
          <w:tcPr>
            <w:tcW w:w="308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8160" w:type="dxa"/>
            <w:vAlign w:val="bottom"/>
            <w:shd w:val="clear" w:color="auto" w:fill="CBCBCB"/>
          </w:tcPr>
          <w:p>
            <w:pPr>
              <w:ind w:left="20"/>
              <w:spacing w:after="0"/>
              <w:rPr>
                <w:sz w:val="20"/>
                <w:szCs w:val="20"/>
                <w:color w:val="auto"/>
              </w:rPr>
            </w:pPr>
            <w:r>
              <w:rPr>
                <w:rFonts w:ascii="Arial" w:cs="Arial" w:eastAsia="Arial" w:hAnsi="Arial"/>
                <w:sz w:val="16"/>
                <w:szCs w:val="16"/>
                <w:color w:val="auto"/>
              </w:rPr>
              <w:t>Manish Bhatia, Executive Vice President, Global Operations</w:t>
            </w:r>
          </w:p>
        </w:tc>
        <w:tc>
          <w:tcPr>
            <w:tcW w:w="3080" w:type="dxa"/>
            <w:vAlign w:val="bottom"/>
            <w:shd w:val="clear" w:color="auto" w:fill="CBCBCB"/>
          </w:tcPr>
          <w:p>
            <w:pPr>
              <w:jc w:val="center"/>
              <w:ind w:left="67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color w:val="auto"/>
              </w:rPr>
              <w:t>Scott J. DeBoer, Executive Vice President, Technology and Products</w:t>
            </w:r>
          </w:p>
        </w:tc>
        <w:tc>
          <w:tcPr>
            <w:tcW w:w="308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8160" w:type="dxa"/>
            <w:vAlign w:val="bottom"/>
            <w:shd w:val="clear" w:color="auto" w:fill="CBCBCB"/>
          </w:tcPr>
          <w:p>
            <w:pPr>
              <w:ind w:left="20"/>
              <w:spacing w:after="0"/>
              <w:rPr>
                <w:sz w:val="20"/>
                <w:szCs w:val="20"/>
                <w:color w:val="auto"/>
              </w:rPr>
            </w:pPr>
            <w:r>
              <w:rPr>
                <w:rFonts w:ascii="Arial" w:cs="Arial" w:eastAsia="Arial" w:hAnsi="Arial"/>
                <w:sz w:val="16"/>
                <w:szCs w:val="16"/>
                <w:color w:val="auto"/>
              </w:rPr>
              <w:t>Sumit Sadana, Executive Vice President and Chief Business Officer</w:t>
            </w:r>
          </w:p>
        </w:tc>
        <w:tc>
          <w:tcPr>
            <w:tcW w:w="3080" w:type="dxa"/>
            <w:vAlign w:val="bottom"/>
            <w:shd w:val="clear" w:color="auto" w:fill="CBCBCB"/>
          </w:tcPr>
          <w:p>
            <w:pPr>
              <w:jc w:val="center"/>
              <w:ind w:left="67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6"/>
                <w:szCs w:val="16"/>
                <w:color w:val="auto"/>
              </w:rPr>
              <w:t>All Executive Officers as a Group</w:t>
            </w:r>
          </w:p>
        </w:tc>
        <w:tc>
          <w:tcPr>
            <w:tcW w:w="3080" w:type="dxa"/>
            <w:vAlign w:val="bottom"/>
          </w:tcPr>
          <w:p>
            <w:pPr>
              <w:jc w:val="center"/>
              <w:ind w:left="67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8160" w:type="dxa"/>
            <w:vAlign w:val="bottom"/>
            <w:shd w:val="clear" w:color="auto" w:fill="CBCBCB"/>
          </w:tcPr>
          <w:p>
            <w:pPr>
              <w:ind w:left="20"/>
              <w:spacing w:after="0"/>
              <w:rPr>
                <w:sz w:val="20"/>
                <w:szCs w:val="20"/>
                <w:color w:val="auto"/>
              </w:rPr>
            </w:pPr>
            <w:r>
              <w:rPr>
                <w:rFonts w:ascii="Arial" w:cs="Arial" w:eastAsia="Arial" w:hAnsi="Arial"/>
                <w:sz w:val="16"/>
                <w:szCs w:val="16"/>
                <w:color w:val="auto"/>
              </w:rPr>
              <w:t>All Non-Executive Officer Employees as a Group (Including all Officers who are not Executive Officers)</w:t>
            </w:r>
          </w:p>
        </w:tc>
        <w:tc>
          <w:tcPr>
            <w:tcW w:w="3080" w:type="dxa"/>
            <w:vAlign w:val="bottom"/>
            <w:shd w:val="clear" w:color="auto" w:fill="CBCBCB"/>
          </w:tcPr>
          <w:p>
            <w:pPr>
              <w:jc w:val="center"/>
              <w:ind w:left="679"/>
              <w:spacing w:after="0"/>
              <w:rPr>
                <w:sz w:val="20"/>
                <w:szCs w:val="20"/>
                <w:color w:val="auto"/>
              </w:rPr>
            </w:pPr>
            <w:r>
              <w:rPr>
                <w:rFonts w:ascii="Arial" w:cs="Arial" w:eastAsia="Arial" w:hAnsi="Arial"/>
                <w:sz w:val="16"/>
                <w:szCs w:val="16"/>
                <w:color w:val="auto"/>
              </w:rPr>
              <w:t>4,278,712</w:t>
            </w:r>
          </w:p>
        </w:tc>
        <w:tc>
          <w:tcPr>
            <w:tcW w:w="0" w:type="dxa"/>
            <w:vAlign w:val="bottom"/>
          </w:tcPr>
          <w:p>
            <w:pPr>
              <w:spacing w:after="0"/>
              <w:rPr>
                <w:sz w:val="1"/>
                <w:szCs w:val="1"/>
                <w:color w:val="auto"/>
              </w:rPr>
            </w:pPr>
          </w:p>
        </w:tc>
      </w:tr>
      <w:tr>
        <w:trPr>
          <w:trHeight w:val="219"/>
        </w:trPr>
        <w:tc>
          <w:tcPr>
            <w:tcW w:w="8160" w:type="dxa"/>
            <w:vAlign w:val="bottom"/>
          </w:tcPr>
          <w:p>
            <w:pPr>
              <w:ind w:left="20"/>
              <w:spacing w:after="0"/>
              <w:rPr>
                <w:sz w:val="20"/>
                <w:szCs w:val="20"/>
                <w:color w:val="auto"/>
              </w:rPr>
            </w:pPr>
            <w:r>
              <w:rPr>
                <w:rFonts w:ascii="Arial" w:cs="Arial" w:eastAsia="Arial" w:hAnsi="Arial"/>
                <w:sz w:val="16"/>
                <w:szCs w:val="16"/>
                <w:color w:val="auto"/>
              </w:rPr>
              <w:t>All Non-Employee Directors as a Group</w:t>
            </w:r>
          </w:p>
        </w:tc>
        <w:tc>
          <w:tcPr>
            <w:tcW w:w="3080" w:type="dxa"/>
            <w:vAlign w:val="bottom"/>
          </w:tcPr>
          <w:p>
            <w:pPr>
              <w:jc w:val="center"/>
              <w:ind w:left="659"/>
              <w:spacing w:after="0"/>
              <w:rPr>
                <w:sz w:val="20"/>
                <w:szCs w:val="20"/>
                <w:color w:val="auto"/>
              </w:rPr>
            </w:pPr>
            <w:r>
              <w:rPr>
                <w:rFonts w:ascii="Arial" w:cs="Arial" w:eastAsia="Arial" w:hAnsi="Arial"/>
                <w:sz w:val="16"/>
                <w:szCs w:val="16"/>
                <w:color w:val="auto"/>
              </w:rPr>
              <w:t>39,384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927"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4911725"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11725" cy="196850"/>
                    </a:xfrm>
                    <a:prstGeom prst="rect">
                      <a:avLst/>
                    </a:prstGeom>
                    <a:noFill/>
                  </pic:spPr>
                </pic:pic>
              </a:graphicData>
            </a:graphic>
          </wp:anchor>
        </w:drawing>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recommends voting “</w:t>
      </w:r>
      <w:r>
        <w:rPr>
          <w:rFonts w:ascii="Arial" w:cs="Arial" w:eastAsia="Arial" w:hAnsi="Arial"/>
          <w:sz w:val="22"/>
          <w:szCs w:val="22"/>
          <w:b w:val="1"/>
          <w:bCs w:val="1"/>
          <w:color w:val="0090DA"/>
        </w:rPr>
        <w:t>FOR</w:t>
      </w:r>
      <w:r>
        <w:rPr>
          <w:rFonts w:ascii="Arial" w:cs="Arial" w:eastAsia="Arial" w:hAnsi="Arial"/>
          <w:sz w:val="22"/>
          <w:szCs w:val="22"/>
          <w:b w:val="1"/>
          <w:bCs w:val="1"/>
          <w:color w:val="auto"/>
        </w:rPr>
        <w:t>” approval of the 2007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69</w:t>
      </w:r>
    </w:p>
    <w:p>
      <w:pPr>
        <w:sectPr>
          <w:pgSz w:w="11900" w:h="16838" w:orient="portrait"/>
          <w:cols w:equalWidth="0" w:num="1">
            <w:col w:w="11240"/>
          </w:cols>
          <w:pgMar w:left="320" w:top="981" w:right="339" w:bottom="1440" w:gutter="0" w:footer="0" w:header="0"/>
        </w:sectPr>
      </w:pPr>
    </w:p>
    <w:bookmarkStart w:id="77" w:name="page78"/>
    <w:bookmarkEnd w:id="77"/>
    <w:p>
      <w:pPr>
        <w:spacing w:after="0"/>
        <w:rPr>
          <w:sz w:val="20"/>
          <w:szCs w:val="20"/>
          <w:color w:val="auto"/>
        </w:rPr>
      </w:pPr>
      <w:r>
        <w:rPr>
          <w:rFonts w:ascii="Arial" w:cs="Arial" w:eastAsia="Arial" w:hAnsi="Arial"/>
          <w:sz w:val="40"/>
          <w:szCs w:val="40"/>
          <w:b w:val="1"/>
          <w:bCs w:val="1"/>
          <w:color w:val="0090DA"/>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FFFFFF"/>
        </w:rPr>
        <w:t>PROPOSAL 4 – RATIFICATION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0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Audit Committee of the Board of Directors has retained PricewaterhouseCoopers LLP (“PwC”) as our Independent Registered Public Accounting Firm to audit our consolidated financial statements for the fiscal year ending September 2, 2021.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11725"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11725" cy="196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b w:val="1"/>
          <w:bCs w:val="1"/>
          <w:color w:val="FFFFFF"/>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recommends voting “</w:t>
      </w:r>
      <w:r>
        <w:rPr>
          <w:rFonts w:ascii="Arial" w:cs="Arial" w:eastAsia="Arial" w:hAnsi="Arial"/>
          <w:sz w:val="22"/>
          <w:szCs w:val="22"/>
          <w:b w:val="1"/>
          <w:bCs w:val="1"/>
          <w:color w:val="0090DA"/>
        </w:rPr>
        <w:t>FOR</w:t>
      </w:r>
      <w:r>
        <w:rPr>
          <w:rFonts w:ascii="Arial" w:cs="Arial" w:eastAsia="Arial" w:hAnsi="Arial"/>
          <w:sz w:val="22"/>
          <w:szCs w:val="22"/>
          <w:b w:val="1"/>
          <w:bCs w:val="1"/>
          <w:color w:val="auto"/>
        </w:rPr>
        <w:t>” the ratification of the appointment of</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PricewaterhouseCoopers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Fees charged for services performed by PwC for fiscal 2020 and 2019 were as follows:</w:t>
      </w:r>
    </w:p>
    <w:p>
      <w:pPr>
        <w:spacing w:after="0" w:line="48" w:lineRule="exact"/>
        <w:rPr>
          <w:sz w:val="20"/>
          <w:szCs w:val="20"/>
          <w:color w:val="auto"/>
        </w:rPr>
      </w:pPr>
    </w:p>
    <w:tbl>
      <w:tblPr>
        <w:tblLayout w:type="fixed"/>
        <w:tblInd w:w="174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0090DA"/>
            </w:tcBorders>
          </w:tcPr>
          <w:p>
            <w:pPr>
              <w:spacing w:after="0"/>
              <w:rPr>
                <w:sz w:val="20"/>
                <w:szCs w:val="20"/>
                <w:color w:val="auto"/>
              </w:rPr>
            </w:pPr>
          </w:p>
        </w:tc>
        <w:tc>
          <w:tcPr>
            <w:tcW w:w="9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0090DA"/>
            </w:tcBorders>
          </w:tcPr>
          <w:p>
            <w:pPr>
              <w:spacing w:after="0"/>
              <w:rPr>
                <w:sz w:val="20"/>
                <w:szCs w:val="20"/>
                <w:color w:val="auto"/>
              </w:rPr>
            </w:pPr>
          </w:p>
        </w:tc>
      </w:tr>
      <w:tr>
        <w:trPr>
          <w:trHeight w:val="223"/>
        </w:trPr>
        <w:tc>
          <w:tcPr>
            <w:tcW w:w="5040" w:type="dxa"/>
            <w:vAlign w:val="bottom"/>
            <w:tcBorders>
              <w:bottom w:val="single" w:sz="8" w:color="0090DA"/>
            </w:tcBorders>
          </w:tcPr>
          <w:p>
            <w:pPr>
              <w:spacing w:after="0"/>
              <w:rPr>
                <w:sz w:val="19"/>
                <w:szCs w:val="19"/>
                <w:color w:val="auto"/>
              </w:rPr>
            </w:pPr>
          </w:p>
        </w:tc>
        <w:tc>
          <w:tcPr>
            <w:tcW w:w="228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rPr>
              <w:t>(amounts in millions)</w:t>
            </w:r>
          </w:p>
        </w:tc>
        <w:tc>
          <w:tcPr>
            <w:tcW w:w="460" w:type="dxa"/>
            <w:vAlign w:val="bottom"/>
            <w:tcBorders>
              <w:bottom w:val="single" w:sz="8" w:color="0090DA"/>
            </w:tcBorders>
          </w:tcPr>
          <w:p>
            <w:pPr>
              <w:spacing w:after="0"/>
              <w:rPr>
                <w:sz w:val="19"/>
                <w:szCs w:val="19"/>
                <w:color w:val="auto"/>
              </w:rPr>
            </w:pPr>
          </w:p>
        </w:tc>
      </w:tr>
      <w:tr>
        <w:trPr>
          <w:trHeight w:val="34"/>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0"/>
        </w:trPr>
        <w:tc>
          <w:tcPr>
            <w:tcW w:w="5040" w:type="dxa"/>
            <w:vAlign w:val="bottom"/>
            <w:shd w:val="clear" w:color="auto" w:fill="CBCBCB"/>
          </w:tcPr>
          <w:p>
            <w:pPr>
              <w:ind w:left="20"/>
              <w:spacing w:after="0"/>
              <w:rPr>
                <w:sz w:val="20"/>
                <w:szCs w:val="20"/>
                <w:color w:val="auto"/>
              </w:rPr>
            </w:pPr>
            <w:r>
              <w:rPr>
                <w:rFonts w:ascii="Arial" w:cs="Arial" w:eastAsia="Arial" w:hAnsi="Arial"/>
                <w:sz w:val="18"/>
                <w:szCs w:val="18"/>
                <w:color w:val="auto"/>
              </w:rPr>
              <w:t>Audit fees(1)</w:t>
            </w:r>
          </w:p>
        </w:tc>
        <w:tc>
          <w:tcPr>
            <w:tcW w:w="900" w:type="dxa"/>
            <w:vAlign w:val="bottom"/>
            <w:shd w:val="clear" w:color="auto" w:fill="CBCBCB"/>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7.7</w:t>
            </w:r>
          </w:p>
        </w:tc>
        <w:tc>
          <w:tcPr>
            <w:tcW w:w="940" w:type="dxa"/>
            <w:vAlign w:val="bottom"/>
            <w:shd w:val="clear" w:color="auto" w:fill="CBCBCB"/>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9.1</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94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30"/>
        </w:trPr>
        <w:tc>
          <w:tcPr>
            <w:tcW w:w="5040" w:type="dxa"/>
            <w:vAlign w:val="bottom"/>
            <w:shd w:val="clear" w:color="auto" w:fill="CBCBCB"/>
          </w:tcPr>
          <w:p>
            <w:pPr>
              <w:ind w:left="20"/>
              <w:spacing w:after="0"/>
              <w:rPr>
                <w:sz w:val="20"/>
                <w:szCs w:val="20"/>
                <w:color w:val="auto"/>
              </w:rPr>
            </w:pPr>
            <w:r>
              <w:rPr>
                <w:rFonts w:ascii="Arial" w:cs="Arial" w:eastAsia="Arial" w:hAnsi="Arial"/>
                <w:sz w:val="18"/>
                <w:szCs w:val="18"/>
                <w:color w:val="auto"/>
              </w:rPr>
              <w:t>Tax fees(3)</w:t>
            </w:r>
          </w:p>
        </w:tc>
        <w:tc>
          <w:tcPr>
            <w:tcW w:w="900" w:type="dxa"/>
            <w:vAlign w:val="bottom"/>
            <w:shd w:val="clear" w:color="auto" w:fill="CBCBCB"/>
          </w:tcPr>
          <w:p>
            <w:pPr>
              <w:spacing w:after="0"/>
              <w:rPr>
                <w:sz w:val="19"/>
                <w:szCs w:val="19"/>
                <w:color w:val="auto"/>
              </w:rPr>
            </w:pPr>
          </w:p>
        </w:tc>
        <w:tc>
          <w:tcPr>
            <w:tcW w:w="4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BCBCB"/>
          </w:tcPr>
          <w:p>
            <w:pPr>
              <w:spacing w:after="0"/>
              <w:rPr>
                <w:sz w:val="19"/>
                <w:szCs w:val="19"/>
                <w:color w:val="auto"/>
              </w:rPr>
            </w:pPr>
          </w:p>
        </w:tc>
        <w:tc>
          <w:tcPr>
            <w:tcW w:w="460" w:type="dxa"/>
            <w:vAlign w:val="bottom"/>
            <w:shd w:val="clear" w:color="auto" w:fill="CBCBCB"/>
          </w:tcPr>
          <w:p>
            <w:pPr>
              <w:jc w:val="right"/>
              <w:ind w:right="10"/>
              <w:spacing w:after="0"/>
              <w:rPr>
                <w:sz w:val="20"/>
                <w:szCs w:val="20"/>
                <w:color w:val="auto"/>
              </w:rPr>
            </w:pPr>
            <w:r>
              <w:rPr>
                <w:rFonts w:ascii="Arial" w:cs="Arial" w:eastAsia="Arial" w:hAnsi="Arial"/>
                <w:sz w:val="18"/>
                <w:szCs w:val="18"/>
                <w:color w:val="auto"/>
              </w:rPr>
              <w:t>5.0</w:t>
            </w:r>
          </w:p>
        </w:tc>
      </w:tr>
      <w:tr>
        <w:trPr>
          <w:trHeight w:val="230"/>
        </w:trPr>
        <w:tc>
          <w:tcPr>
            <w:tcW w:w="5040" w:type="dxa"/>
            <w:vAlign w:val="bottom"/>
            <w:tcBorders>
              <w:bottom w:val="single" w:sz="8" w:color="CBCBCB"/>
            </w:tcBorders>
          </w:tcPr>
          <w:p>
            <w:pPr>
              <w:ind w:left="20"/>
              <w:spacing w:after="0"/>
              <w:rPr>
                <w:sz w:val="20"/>
                <w:szCs w:val="20"/>
                <w:color w:val="auto"/>
              </w:rPr>
            </w:pPr>
            <w:r>
              <w:rPr>
                <w:rFonts w:ascii="Arial" w:cs="Arial" w:eastAsia="Arial" w:hAnsi="Arial"/>
                <w:sz w:val="18"/>
                <w:szCs w:val="18"/>
                <w:color w:val="auto"/>
              </w:rPr>
              <w:t>All other fees(4)</w:t>
            </w: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8"/>
        </w:trPr>
        <w:tc>
          <w:tcPr>
            <w:tcW w:w="5040" w:type="dxa"/>
            <w:vAlign w:val="bottom"/>
            <w:tcBorders>
              <w:bottom w:val="single" w:sz="8" w:color="CBCBCB"/>
            </w:tcBorders>
            <w:shd w:val="clear" w:color="auto" w:fill="CBCBCB"/>
          </w:tcPr>
          <w:p>
            <w:pPr>
              <w:spacing w:after="0"/>
              <w:rPr>
                <w:sz w:val="21"/>
                <w:szCs w:val="21"/>
                <w:color w:val="auto"/>
              </w:rPr>
            </w:pPr>
          </w:p>
        </w:tc>
        <w:tc>
          <w:tcPr>
            <w:tcW w:w="900" w:type="dxa"/>
            <w:vAlign w:val="bottom"/>
            <w:tcBorders>
              <w:bottom w:val="single" w:sz="8" w:color="auto"/>
            </w:tcBorders>
            <w:shd w:val="clear" w:color="auto" w:fill="CBCBCB"/>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BCBCB"/>
          </w:tcPr>
          <w:p>
            <w:pPr>
              <w:jc w:val="right"/>
              <w:spacing w:after="0"/>
              <w:rPr>
                <w:sz w:val="20"/>
                <w:szCs w:val="20"/>
                <w:color w:val="auto"/>
              </w:rPr>
            </w:pPr>
            <w:r>
              <w:rPr>
                <w:rFonts w:ascii="Arial" w:cs="Arial" w:eastAsia="Arial" w:hAnsi="Arial"/>
                <w:sz w:val="18"/>
                <w:szCs w:val="18"/>
                <w:color w:val="auto"/>
              </w:rPr>
              <w:t>10.2</w:t>
            </w:r>
          </w:p>
        </w:tc>
        <w:tc>
          <w:tcPr>
            <w:tcW w:w="940" w:type="dxa"/>
            <w:vAlign w:val="bottom"/>
            <w:tcBorders>
              <w:bottom w:val="single" w:sz="8" w:color="auto"/>
            </w:tcBorders>
            <w:shd w:val="clear" w:color="auto" w:fill="CBCBCB"/>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BCBCB"/>
          </w:tcPr>
          <w:p>
            <w:pPr>
              <w:jc w:val="right"/>
              <w:ind w:right="10"/>
              <w:spacing w:after="0"/>
              <w:rPr>
                <w:sz w:val="20"/>
                <w:szCs w:val="20"/>
                <w:color w:val="auto"/>
              </w:rPr>
            </w:pPr>
            <w:r>
              <w:rPr>
                <w:rFonts w:ascii="Arial" w:cs="Arial" w:eastAsia="Arial" w:hAnsi="Arial"/>
                <w:sz w:val="18"/>
                <w:szCs w:val="18"/>
                <w:color w:val="auto"/>
                <w:w w:val="96"/>
              </w:rPr>
              <w:t>14.2</w:t>
            </w:r>
          </w:p>
        </w:tc>
      </w:tr>
      <w:tr>
        <w:trPr>
          <w:trHeight w:val="20"/>
        </w:trPr>
        <w:tc>
          <w:tcPr>
            <w:tcW w:w="5040" w:type="dxa"/>
            <w:vAlign w:val="bottom"/>
            <w:tcBorders>
              <w:top w:val="single" w:sz="8" w:color="CBCBCB"/>
            </w:tcBorders>
          </w:tcPr>
          <w:p>
            <w:pPr>
              <w:spacing w:after="0" w:line="20" w:lineRule="exact"/>
              <w:rPr>
                <w:sz w:val="1"/>
                <w:szCs w:val="1"/>
                <w:color w:val="auto"/>
              </w:rPr>
            </w:pPr>
          </w:p>
        </w:tc>
        <w:tc>
          <w:tcPr>
            <w:tcW w:w="900" w:type="dxa"/>
            <w:vAlign w:val="bottom"/>
            <w:tcBorders>
              <w:top w:val="single" w:sz="8" w:color="CBCBCB"/>
              <w:bottom w:val="single" w:sz="8" w:color="auto"/>
            </w:tcBorders>
          </w:tcPr>
          <w:p>
            <w:pPr>
              <w:spacing w:after="0" w:line="20" w:lineRule="exact"/>
              <w:rPr>
                <w:sz w:val="1"/>
                <w:szCs w:val="1"/>
                <w:color w:val="auto"/>
              </w:rPr>
            </w:pPr>
          </w:p>
        </w:tc>
        <w:tc>
          <w:tcPr>
            <w:tcW w:w="440" w:type="dxa"/>
            <w:vAlign w:val="bottom"/>
            <w:tcBorders>
              <w:top w:val="single" w:sz="8" w:color="CBCBCB"/>
              <w:bottom w:val="single" w:sz="8" w:color="auto"/>
            </w:tcBorders>
          </w:tcPr>
          <w:p>
            <w:pPr>
              <w:spacing w:after="0" w:line="20" w:lineRule="exact"/>
              <w:rPr>
                <w:sz w:val="1"/>
                <w:szCs w:val="1"/>
                <w:color w:val="auto"/>
              </w:rPr>
            </w:pPr>
          </w:p>
        </w:tc>
        <w:tc>
          <w:tcPr>
            <w:tcW w:w="940" w:type="dxa"/>
            <w:vAlign w:val="bottom"/>
            <w:tcBorders>
              <w:top w:val="single" w:sz="8" w:color="CBCBCB"/>
              <w:bottom w:val="single" w:sz="8" w:color="auto"/>
            </w:tcBorders>
          </w:tcPr>
          <w:p>
            <w:pPr>
              <w:spacing w:after="0" w:line="20" w:lineRule="exact"/>
              <w:rPr>
                <w:sz w:val="1"/>
                <w:szCs w:val="1"/>
                <w:color w:val="auto"/>
              </w:rPr>
            </w:pPr>
          </w:p>
        </w:tc>
        <w:tc>
          <w:tcPr>
            <w:tcW w:w="460" w:type="dxa"/>
            <w:vAlign w:val="bottom"/>
            <w:tcBorders>
              <w:top w:val="single" w:sz="8" w:color="CBCBCB"/>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620" w:right="80" w:hanging="316"/>
        <w:spacing w:after="0" w:line="271" w:lineRule="auto"/>
        <w:tabs>
          <w:tab w:leader="none" w:pos="16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08" w:lineRule="exact"/>
        <w:rPr>
          <w:rFonts w:ascii="Arial" w:cs="Arial" w:eastAsia="Arial" w:hAnsi="Arial"/>
          <w:sz w:val="18"/>
          <w:szCs w:val="18"/>
          <w:color w:val="auto"/>
        </w:rPr>
      </w:pPr>
    </w:p>
    <w:p>
      <w:pPr>
        <w:ind w:left="1620" w:hanging="316"/>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government grant certifications.</w:t>
      </w:r>
    </w:p>
    <w:p>
      <w:pPr>
        <w:spacing w:after="0" w:line="171" w:lineRule="exact"/>
        <w:rPr>
          <w:rFonts w:ascii="Arial" w:cs="Arial" w:eastAsia="Arial" w:hAnsi="Arial"/>
          <w:sz w:val="18"/>
          <w:szCs w:val="18"/>
          <w:color w:val="auto"/>
        </w:rPr>
      </w:pPr>
    </w:p>
    <w:p>
      <w:pPr>
        <w:ind w:left="1620" w:hanging="316"/>
        <w:spacing w:after="0"/>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and tax compliance.</w:t>
      </w:r>
    </w:p>
    <w:p>
      <w:pPr>
        <w:spacing w:after="0" w:line="171" w:lineRule="exact"/>
        <w:rPr>
          <w:rFonts w:ascii="Arial" w:cs="Arial" w:eastAsia="Arial" w:hAnsi="Arial"/>
          <w:sz w:val="18"/>
          <w:szCs w:val="18"/>
          <w:color w:val="auto"/>
        </w:rPr>
      </w:pPr>
    </w:p>
    <w:p>
      <w:pPr>
        <w:ind w:left="1620" w:right="240" w:hanging="316"/>
        <w:spacing w:after="0" w:line="292" w:lineRule="auto"/>
        <w:tabs>
          <w:tab w:leader="none" w:pos="16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fees for services not included in the categories above, including services related to other regulatory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4911725" cy="1974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11725" cy="19748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FFFFFF"/>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In fiscal 2020 and 2019, all audit, non-audit, tax services, and all other fees for services provided by PwC were approved by the Audit Committee in advance of services being provided.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180"/>
          </w:cols>
          <w:pgMar w:left="320" w:top="913" w:right="399" w:bottom="1440" w:gutter="0" w:footer="0" w:header="0"/>
        </w:sectPr>
      </w:pPr>
    </w:p>
    <w:bookmarkStart w:id="78" w:name="page79"/>
    <w:bookmarkEnd w:id="7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620395</wp:posOffset>
            </wp:positionV>
            <wp:extent cx="4911725"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11725" cy="196850"/>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report has been prepared by members of the Audit Committee of the Board of Directors.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9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purpose of the Audit Committee is to assist the Board of Directors in overseeing and monitoring (i) the integrity of our financial statements, (ii) the adequacy of our internal controls and procedures, (iii) the performance of our internal audit function, (iv) the performance of our Independent Registered Public Accounting Firm, (v) the qualifications and independence of our Independent Registered Public Accounting Firm, and (vi) our compliance with legal and regulatory requirements.</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Audit Committee has reviewed and discussed our audited financial statements with our management, which has primary responsibility for such financial statements. PwC, our Independent Registered Public Accounting Firm for fiscal 2020,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the standards of the Public Company Accounting Oversight Board. PwC has provided to the Audit Committee the written disclosures and the letter required by the applicable requirements of the Public Company Accounting Oversight Board. The Audit Committee and PwC also discussed PwC’s independence, including the non-audit services PwC provided to us as described above, and concluded that PwC was independent for fiscal 2020.</w:t>
      </w:r>
    </w:p>
    <w:p>
      <w:pPr>
        <w:spacing w:after="0" w:line="2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include our audited consolidated financial statements in our Annual Report on Form 10-K for fiscal 2020, appointed PwC as our Independent Registered Public Accounting Firm for the fiscal year ending September 2, 2021, and approved and authorized PwC to carry out and perform certain specified non-audit services for us in fiscal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While the Audit Committee has performed the above functions, management, and not the Audit Committee, has the primary responsibility for</w:t>
      </w:r>
    </w:p>
    <w:p>
      <w:pPr>
        <w:spacing w:after="0" w:line="31" w:lineRule="exact"/>
        <w:rPr>
          <w:sz w:val="20"/>
          <w:szCs w:val="20"/>
          <w:color w:val="auto"/>
        </w:rPr>
      </w:pPr>
    </w:p>
    <w:p>
      <w:pPr>
        <w:ind w:right="100" w:firstLine="8"/>
        <w:spacing w:after="0" w:line="255"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2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The Audit Committee</w:t>
      </w:r>
    </w:p>
    <w:p>
      <w:pPr>
        <w:ind w:left="4880"/>
        <w:spacing w:after="0" w:line="203" w:lineRule="auto"/>
        <w:rPr>
          <w:sz w:val="20"/>
          <w:szCs w:val="20"/>
          <w:color w:val="auto"/>
        </w:rPr>
      </w:pPr>
      <w:r>
        <w:rPr>
          <w:rFonts w:ascii="Arial" w:cs="Arial" w:eastAsia="Arial" w:hAnsi="Arial"/>
          <w:sz w:val="18"/>
          <w:szCs w:val="18"/>
          <w:color w:val="auto"/>
        </w:rPr>
        <w:t>Robert L. Bailey</w:t>
      </w:r>
    </w:p>
    <w:p>
      <w:pPr>
        <w:ind w:left="4880"/>
        <w:spacing w:after="0" w:line="203" w:lineRule="auto"/>
        <w:rPr>
          <w:sz w:val="20"/>
          <w:szCs w:val="20"/>
          <w:color w:val="auto"/>
        </w:rPr>
      </w:pPr>
      <w:r>
        <w:rPr>
          <w:rFonts w:ascii="Arial" w:cs="Arial" w:eastAsia="Arial" w:hAnsi="Arial"/>
          <w:sz w:val="18"/>
          <w:szCs w:val="18"/>
          <w:color w:val="auto"/>
        </w:rPr>
        <w:t>Steven J. Gomo</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Mary Pat McCarthy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71</w:t>
      </w:r>
    </w:p>
    <w:p>
      <w:pPr>
        <w:sectPr>
          <w:pgSz w:w="11900" w:h="16838" w:orient="portrait"/>
          <w:cols w:equalWidth="0" w:num="1">
            <w:col w:w="11240"/>
          </w:cols>
          <w:pgMar w:left="320" w:top="981" w:right="339" w:bottom="1440" w:gutter="0" w:footer="0" w:header="0"/>
        </w:sectPr>
      </w:pPr>
    </w:p>
    <w:bookmarkStart w:id="79" w:name="page80"/>
    <w:bookmarkEnd w:id="79"/>
    <w:p>
      <w:pPr>
        <w:spacing w:after="0"/>
        <w:rPr>
          <w:sz w:val="20"/>
          <w:szCs w:val="20"/>
          <w:color w:val="auto"/>
        </w:rPr>
      </w:pPr>
      <w:r>
        <w:rPr>
          <w:rFonts w:ascii="Arial" w:cs="Arial" w:eastAsia="Arial" w:hAnsi="Arial"/>
          <w:sz w:val="40"/>
          <w:szCs w:val="40"/>
          <w:b w:val="1"/>
          <w:bCs w:val="1"/>
          <w:color w:val="auto"/>
        </w:rPr>
        <w:t>PRINCIPAL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Security Ownership of Certain Beneficial Owners and Management</w:t>
      </w:r>
    </w:p>
    <w:p>
      <w:pPr>
        <w:spacing w:after="0" w:line="247"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The following table sets forth security beneficial ownership information of our Common Stock as of the Record Date,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tbl>
      <w:tblPr>
        <w:tblLayout w:type="fixed"/>
        <w:tblInd w:w="4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740" w:type="dxa"/>
            <w:vAlign w:val="bottom"/>
          </w:tcPr>
          <w:p>
            <w:pPr>
              <w:jc w:val="center"/>
              <w:ind w:left="70"/>
              <w:spacing w:after="0" w:line="187" w:lineRule="exact"/>
              <w:rPr>
                <w:sz w:val="20"/>
                <w:szCs w:val="20"/>
                <w:color w:val="auto"/>
              </w:rPr>
            </w:pPr>
            <w:r>
              <w:rPr>
                <w:rFonts w:ascii="Arial" w:cs="Arial" w:eastAsia="Arial" w:hAnsi="Arial"/>
                <w:sz w:val="18"/>
                <w:szCs w:val="18"/>
                <w:b w:val="1"/>
                <w:bCs w:val="1"/>
                <w:color w:val="auto"/>
                <w:w w:val="99"/>
              </w:rPr>
              <w:t>Number of</w:t>
            </w:r>
          </w:p>
        </w:tc>
        <w:tc>
          <w:tcPr>
            <w:tcW w:w="13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Right to</w:t>
            </w:r>
          </w:p>
        </w:tc>
        <w:tc>
          <w:tcPr>
            <w:tcW w:w="1440" w:type="dxa"/>
            <w:vAlign w:val="bottom"/>
          </w:tcPr>
          <w:p>
            <w:pPr>
              <w:jc w:val="center"/>
              <w:ind w:right="110"/>
              <w:spacing w:after="0" w:line="187" w:lineRule="exact"/>
              <w:rPr>
                <w:sz w:val="20"/>
                <w:szCs w:val="20"/>
                <w:color w:val="auto"/>
              </w:rPr>
            </w:pPr>
            <w:r>
              <w:rPr>
                <w:rFonts w:ascii="Arial" w:cs="Arial" w:eastAsia="Arial" w:hAnsi="Arial"/>
                <w:sz w:val="18"/>
                <w:szCs w:val="18"/>
                <w:b w:val="1"/>
                <w:bCs w:val="1"/>
                <w:color w:val="auto"/>
                <w:w w:val="92"/>
              </w:rPr>
              <w:t>Total</w:t>
            </w:r>
          </w:p>
        </w:tc>
        <w:tc>
          <w:tcPr>
            <w:tcW w:w="14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76"/>
        </w:trPr>
        <w:tc>
          <w:tcPr>
            <w:tcW w:w="5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740" w:type="dxa"/>
            <w:vAlign w:val="bottom"/>
          </w:tcPr>
          <w:p>
            <w:pPr>
              <w:jc w:val="center"/>
              <w:ind w:left="90"/>
              <w:spacing w:after="0" w:line="176" w:lineRule="exact"/>
              <w:rPr>
                <w:sz w:val="20"/>
                <w:szCs w:val="20"/>
                <w:color w:val="auto"/>
              </w:rPr>
            </w:pPr>
            <w:r>
              <w:rPr>
                <w:rFonts w:ascii="Arial" w:cs="Arial" w:eastAsia="Arial" w:hAnsi="Arial"/>
                <w:sz w:val="18"/>
                <w:szCs w:val="18"/>
                <w:b w:val="1"/>
                <w:bCs w:val="1"/>
                <w:color w:val="auto"/>
                <w:w w:val="99"/>
              </w:rPr>
              <w:t>Shares</w:t>
            </w:r>
          </w:p>
        </w:tc>
        <w:tc>
          <w:tcPr>
            <w:tcW w:w="1380" w:type="dxa"/>
            <w:vAlign w:val="bottom"/>
            <w:vMerge w:val="continue"/>
          </w:tcPr>
          <w:p>
            <w:pPr>
              <w:spacing w:after="0"/>
              <w:rPr>
                <w:sz w:val="15"/>
                <w:szCs w:val="15"/>
                <w:color w:val="auto"/>
              </w:rPr>
            </w:pPr>
          </w:p>
        </w:tc>
        <w:tc>
          <w:tcPr>
            <w:tcW w:w="14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Beneficial</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0090DA"/>
            </w:tcBorders>
            <w:vMerge w:val="continue"/>
          </w:tcPr>
          <w:p>
            <w:pPr>
              <w:spacing w:after="0"/>
              <w:rPr>
                <w:sz w:val="19"/>
                <w:szCs w:val="19"/>
                <w:color w:val="auto"/>
              </w:rPr>
            </w:pPr>
          </w:p>
        </w:tc>
        <w:tc>
          <w:tcPr>
            <w:tcW w:w="1740" w:type="dxa"/>
            <w:vAlign w:val="bottom"/>
            <w:tcBorders>
              <w:bottom w:val="single" w:sz="8" w:color="0090DA"/>
            </w:tcBorders>
          </w:tcPr>
          <w:p>
            <w:pPr>
              <w:jc w:val="center"/>
              <w:ind w:left="70"/>
              <w:spacing w:after="0"/>
              <w:rPr>
                <w:sz w:val="20"/>
                <w:szCs w:val="20"/>
                <w:color w:val="auto"/>
              </w:rPr>
            </w:pPr>
            <w:r>
              <w:rPr>
                <w:rFonts w:ascii="Arial" w:cs="Arial" w:eastAsia="Arial" w:hAnsi="Arial"/>
                <w:sz w:val="18"/>
                <w:szCs w:val="18"/>
                <w:b w:val="1"/>
                <w:bCs w:val="1"/>
                <w:color w:val="auto"/>
                <w:w w:val="99"/>
              </w:rPr>
              <w:t>Owned(1)</w:t>
            </w:r>
          </w:p>
        </w:tc>
        <w:tc>
          <w:tcPr>
            <w:tcW w:w="138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Acquire(2)</w:t>
            </w:r>
          </w:p>
        </w:tc>
        <w:tc>
          <w:tcPr>
            <w:tcW w:w="144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8"/>
              </w:rPr>
              <w:t>Ownership</w:t>
            </w:r>
          </w:p>
        </w:tc>
        <w:tc>
          <w:tcPr>
            <w:tcW w:w="142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Class(3)</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The Vanguard Group, Inc.(4)</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87,715,923</w:t>
            </w:r>
          </w:p>
        </w:tc>
        <w:tc>
          <w:tcPr>
            <w:tcW w:w="1380" w:type="dxa"/>
            <w:vAlign w:val="bottom"/>
            <w:shd w:val="clear" w:color="auto" w:fill="CBCBCB"/>
          </w:tcPr>
          <w:p>
            <w:pPr>
              <w:spacing w:after="0"/>
              <w:rPr>
                <w:sz w:val="19"/>
                <w:szCs w:val="19"/>
                <w:color w:val="auto"/>
              </w:rPr>
            </w:pP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87,715,923</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BlackRock, Inc.(5)</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79,081,844</w:t>
            </w:r>
          </w:p>
        </w:tc>
        <w:tc>
          <w:tcPr>
            <w:tcW w:w="138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79,081,844</w:t>
            </w:r>
          </w:p>
        </w:tc>
        <w:tc>
          <w:tcPr>
            <w:tcW w:w="142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9"/>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PRIMECAP Management Company(6)</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55,877,289</w:t>
            </w:r>
          </w:p>
        </w:tc>
        <w:tc>
          <w:tcPr>
            <w:tcW w:w="1380" w:type="dxa"/>
            <w:vAlign w:val="bottom"/>
            <w:shd w:val="clear" w:color="auto" w:fill="CBCBCB"/>
          </w:tcPr>
          <w:p>
            <w:pPr>
              <w:spacing w:after="0"/>
              <w:rPr>
                <w:sz w:val="19"/>
                <w:szCs w:val="19"/>
                <w:color w:val="auto"/>
              </w:rPr>
            </w:pP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55,877,289</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Robert L. Bailey</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112,398</w:t>
            </w:r>
          </w:p>
        </w:tc>
        <w:tc>
          <w:tcPr>
            <w:tcW w:w="138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112,398</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Richard M. Beyer</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91,174</w:t>
            </w:r>
          </w:p>
        </w:tc>
        <w:tc>
          <w:tcPr>
            <w:tcW w:w="1380" w:type="dxa"/>
            <w:vAlign w:val="bottom"/>
            <w:shd w:val="clear" w:color="auto" w:fill="CBCBCB"/>
          </w:tcPr>
          <w:p>
            <w:pPr>
              <w:spacing w:after="0"/>
              <w:rPr>
                <w:sz w:val="19"/>
                <w:szCs w:val="19"/>
                <w:color w:val="auto"/>
              </w:rPr>
            </w:pP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91,174</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Manish Bhatia</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272,672</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39,987</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312,659</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Scott J. DeBoer</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161,168</w:t>
            </w:r>
          </w:p>
        </w:tc>
        <w:tc>
          <w:tcPr>
            <w:tcW w:w="138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42,627</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203,795</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5,580</w:t>
            </w:r>
          </w:p>
        </w:tc>
        <w:tc>
          <w:tcPr>
            <w:tcW w:w="138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5,580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Steven J. Gomo</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15,353</w:t>
            </w:r>
          </w:p>
        </w:tc>
        <w:tc>
          <w:tcPr>
            <w:tcW w:w="1380" w:type="dxa"/>
            <w:vAlign w:val="bottom"/>
            <w:shd w:val="clear" w:color="auto" w:fill="CBCBCB"/>
          </w:tcPr>
          <w:p>
            <w:pPr>
              <w:spacing w:after="0"/>
              <w:rPr>
                <w:sz w:val="19"/>
                <w:szCs w:val="19"/>
                <w:color w:val="auto"/>
              </w:rPr>
            </w:pP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15,353</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Mary Pat McCarthy</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15,353</w:t>
            </w:r>
          </w:p>
        </w:tc>
        <w:tc>
          <w:tcPr>
            <w:tcW w:w="138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15,353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Sanjay Mehrotra(7)</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721,901</w:t>
            </w:r>
          </w:p>
        </w:tc>
        <w:tc>
          <w:tcPr>
            <w:tcW w:w="138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534,212</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1,256,113</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Sumit Sadana</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227,115</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85,655</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312,770</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Robert E. Switz</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61,356</w:t>
            </w:r>
          </w:p>
        </w:tc>
        <w:tc>
          <w:tcPr>
            <w:tcW w:w="1380" w:type="dxa"/>
            <w:vAlign w:val="bottom"/>
            <w:shd w:val="clear" w:color="auto" w:fill="CBCBCB"/>
          </w:tcPr>
          <w:p>
            <w:pPr>
              <w:spacing w:after="0"/>
              <w:rPr>
                <w:sz w:val="19"/>
                <w:szCs w:val="19"/>
                <w:color w:val="auto"/>
              </w:rPr>
            </w:pP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61,356</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MaryAnn Wright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11,262</w:t>
            </w:r>
          </w:p>
        </w:tc>
        <w:tc>
          <w:tcPr>
            <w:tcW w:w="138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11,262</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BCBCB"/>
          </w:tcPr>
          <w:p>
            <w:pPr>
              <w:ind w:left="20"/>
              <w:spacing w:after="0"/>
              <w:rPr>
                <w:sz w:val="20"/>
                <w:szCs w:val="20"/>
                <w:color w:val="auto"/>
              </w:rPr>
            </w:pPr>
            <w:r>
              <w:rPr>
                <w:rFonts w:ascii="Arial" w:cs="Arial" w:eastAsia="Arial" w:hAnsi="Arial"/>
                <w:sz w:val="18"/>
                <w:szCs w:val="18"/>
                <w:color w:val="auto"/>
              </w:rPr>
              <w:t>David A. Zinsner(8)</w:t>
            </w:r>
          </w:p>
        </w:tc>
        <w:tc>
          <w:tcPr>
            <w:tcW w:w="174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162,384</w:t>
            </w:r>
          </w:p>
        </w:tc>
        <w:tc>
          <w:tcPr>
            <w:tcW w:w="1380" w:type="dxa"/>
            <w:vAlign w:val="bottom"/>
            <w:shd w:val="clear" w:color="auto" w:fill="CBCBCB"/>
          </w:tcPr>
          <w:p>
            <w:pPr>
              <w:jc w:val="right"/>
              <w:ind w:right="70"/>
              <w:spacing w:after="0"/>
              <w:rPr>
                <w:sz w:val="20"/>
                <w:szCs w:val="20"/>
                <w:color w:val="auto"/>
              </w:rPr>
            </w:pPr>
            <w:r>
              <w:rPr>
                <w:rFonts w:ascii="Arial" w:cs="Arial" w:eastAsia="Arial" w:hAnsi="Arial"/>
                <w:sz w:val="18"/>
                <w:szCs w:val="18"/>
                <w:color w:val="auto"/>
              </w:rPr>
              <w:t>54,334</w:t>
            </w:r>
          </w:p>
        </w:tc>
        <w:tc>
          <w:tcPr>
            <w:tcW w:w="1440" w:type="dxa"/>
            <w:vAlign w:val="bottom"/>
            <w:shd w:val="clear" w:color="auto" w:fill="CBCBCB"/>
          </w:tcPr>
          <w:p>
            <w:pPr>
              <w:jc w:val="right"/>
              <w:ind w:right="110"/>
              <w:spacing w:after="0"/>
              <w:rPr>
                <w:sz w:val="20"/>
                <w:szCs w:val="20"/>
                <w:color w:val="auto"/>
              </w:rPr>
            </w:pPr>
            <w:r>
              <w:rPr>
                <w:rFonts w:ascii="Arial" w:cs="Arial" w:eastAsia="Arial" w:hAnsi="Arial"/>
                <w:sz w:val="18"/>
                <w:szCs w:val="18"/>
                <w:color w:val="auto"/>
              </w:rPr>
              <w:t>216,718</w:t>
            </w:r>
          </w:p>
        </w:tc>
        <w:tc>
          <w:tcPr>
            <w:tcW w:w="14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All directors and executive officers as a group (16 persons)</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2,377,991</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930,093</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3,308,084</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80" w:hanging="272"/>
        <w:spacing w:after="0"/>
        <w:tabs>
          <w:tab w:leader="none" w:pos="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less than 1% of shares outstanding</w:t>
      </w:r>
    </w:p>
    <w:p>
      <w:pPr>
        <w:spacing w:after="0" w:line="171" w:lineRule="exact"/>
        <w:rPr>
          <w:sz w:val="20"/>
          <w:szCs w:val="20"/>
          <w:color w:val="auto"/>
        </w:rPr>
      </w:pPr>
    </w:p>
    <w:p>
      <w:pPr>
        <w:ind w:left="340" w:right="640" w:hanging="332"/>
        <w:spacing w:after="0" w:line="292"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unvested shares of restricted stock and excludes shares that may be acquired through the exercise of outstanding stock options.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144" w:lineRule="exact"/>
        <w:rPr>
          <w:rFonts w:ascii="Arial" w:cs="Arial" w:eastAsia="Arial" w:hAnsi="Arial"/>
          <w:sz w:val="18"/>
          <w:szCs w:val="18"/>
          <w:color w:val="auto"/>
        </w:rPr>
      </w:pPr>
    </w:p>
    <w:p>
      <w:pPr>
        <w:ind w:left="340" w:right="220" w:hanging="332"/>
        <w:spacing w:after="0" w:line="292"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76" w:lineRule="exact"/>
        <w:rPr>
          <w:rFonts w:ascii="Arial" w:cs="Arial" w:eastAsia="Arial" w:hAnsi="Arial"/>
          <w:sz w:val="18"/>
          <w:szCs w:val="18"/>
          <w:color w:val="auto"/>
        </w:rPr>
      </w:pPr>
    </w:p>
    <w:p>
      <w:pPr>
        <w:ind w:left="340" w:right="220" w:hanging="332"/>
        <w:spacing w:after="0" w:line="264"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2019, The Vanguard Group, Inc. (“Vanguard”) had sole voting power as to 1,654,047 shares, sole dispositive power as to 85,875,658 shares, shared voting power as to 297,528 shares, and shared dispositive power as to 1,840,265 shares. This information was taken from Schedule 13G filed on February 12, 2020. Vanguard’s business address is 100 Vanguard Blvd., Malvern, PA 19355.</w:t>
      </w:r>
    </w:p>
    <w:p>
      <w:pPr>
        <w:spacing w:after="0" w:line="101" w:lineRule="exact"/>
        <w:rPr>
          <w:rFonts w:ascii="Arial" w:cs="Arial" w:eastAsia="Arial" w:hAnsi="Arial"/>
          <w:sz w:val="18"/>
          <w:szCs w:val="18"/>
          <w:color w:val="auto"/>
        </w:rPr>
      </w:pPr>
    </w:p>
    <w:p>
      <w:pPr>
        <w:ind w:left="340" w:right="180" w:hanging="332"/>
        <w:spacing w:after="0" w:line="271"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2019, BlackRock, Inc. had sole voting power as to 67,751,362 shares and sole dispositive power as to 79,081,844 shares. This information was taken from Schedule 13G filed on February 10, 2020. BlackRock’s business address is 55 East 52nd Street, New York, NY 10055.</w:t>
      </w:r>
    </w:p>
    <w:p>
      <w:pPr>
        <w:spacing w:after="0" w:line="81" w:lineRule="exact"/>
        <w:rPr>
          <w:rFonts w:ascii="Arial" w:cs="Arial" w:eastAsia="Arial" w:hAnsi="Arial"/>
          <w:sz w:val="18"/>
          <w:szCs w:val="18"/>
          <w:color w:val="auto"/>
        </w:rPr>
      </w:pPr>
    </w:p>
    <w:p>
      <w:pPr>
        <w:ind w:left="340" w:right="280" w:hanging="332"/>
        <w:spacing w:after="0" w:line="271" w:lineRule="auto"/>
        <w:tabs>
          <w:tab w:leader="none" w:pos="33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2019, PRIMECAP Management Company had sole voting power as to 54,740,478 shares and sole dispositive power as to 55,877,289 shares. This information was taken from Schedule 13G filed on February 12, 2020. PRIMECAP Management Company’s business address is 177 E. Colorado Blvd., 11th Floor, Pasadena, CA 91105.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913" w:right="359" w:bottom="1440" w:gutter="0" w:footer="0" w:header="0"/>
        </w:sectPr>
      </w:pPr>
    </w:p>
    <w:bookmarkStart w:id="80" w:name="page81"/>
    <w:bookmarkEnd w:id="80"/>
    <w:p>
      <w:pPr>
        <w:ind w:left="340" w:right="680" w:hanging="332"/>
        <w:spacing w:after="0" w:line="292" w:lineRule="auto"/>
        <w:tabs>
          <w:tab w:leader="none" w:pos="3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40,682 shares held by the Sangeeta Mehrotra 2018 Grantor Retained Annuity Trust (Micron), 22,312 shares held by the Mehrotra Family Trust, and 10,079 shares held by the 2012 Mehrotra Family Trust.</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33,170 shares held by the DZHS Community Property Trust.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ELECTRONIC AVAILABILITY OF PROXY MATERIALS</w:t>
      </w:r>
    </w:p>
    <w:p>
      <w:pPr>
        <w:spacing w:after="0" w:line="247"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14, 2021. The Proxy Statement and Annual Report on Form 10-K are available at www.proxyvote.com.</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 BY REFERENCE OF CERTAIN FINANCIAL INFORMATION</w:t>
      </w: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We incorporate by reference in this Proxy Statement the “Equity Plans” note to our Consolidated Financial Statements included in our Annual Report on Form 10-K for fiscal 2020. The Annual Report on Form 10-K for fiscal 2020 accompanies this Proxy Statement. Copies of the Annual Report on Form 10-K for fiscal 2020 may be obtained by sending a written request to: Micron Technology, Inc., Attn.: Corporate Secretary, 8000 South Federal Way, Boise, Idaho 83716-9632. Our Annual Report on Form 10-K also is available in the “Investor Relations” section of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STATEMENTS AND ANNUAL REPORTS</w:t>
      </w:r>
    </w:p>
    <w:p>
      <w:pPr>
        <w:spacing w:after="0" w:line="24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2020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you share an address with other registered shareholders and your household receives one copy of the Notice of Internet availability or of this Proxy Statement and 2020 Annual Report on Form 10-K and you decide you want a separate copy of this Proxy Statement and 2020 Annual Report on Form 10-K through the date of the Annual Meeting, we will promptly deliver your separate copy if you contact us at Micron Technology, Inc., Attn.: Corporate Secretary, 8000 South Federal Way, Boise, Idaho 83716-9632 or corporatesecretary@micron.com or</w:t>
      </w:r>
    </w:p>
    <w:p>
      <w:pPr>
        <w:spacing w:after="0" w:line="3" w:lineRule="exact"/>
        <w:rPr>
          <w:sz w:val="20"/>
          <w:szCs w:val="20"/>
          <w:color w:val="auto"/>
        </w:rPr>
      </w:pPr>
    </w:p>
    <w:p>
      <w:pPr>
        <w:ind w:right="60" w:firstLine="8"/>
        <w:spacing w:after="0" w:line="253" w:lineRule="auto"/>
        <w:tabs>
          <w:tab w:leader="none" w:pos="4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368-4000. Additionally, to resume the mailing of individual copies of future annual reports, proxy statements, proxy statements combined with a prospectus, and information statements to a particular shareholder, you may contact EQ Shareowner Services, Attn.: Householding, P.O. Box 64854, St. Paul, Minnesota 55164-0874 and your request will be effective within 30 days after receipt. After the Annual Meeting, you may request householding of these documents by providing EQ Shareowner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208"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73</w:t>
      </w:r>
    </w:p>
    <w:p>
      <w:pPr>
        <w:sectPr>
          <w:pgSz w:w="11900" w:h="16838" w:orient="portrait"/>
          <w:cols w:equalWidth="0" w:num="1">
            <w:col w:w="11240"/>
          </w:cols>
          <w:pgMar w:left="320" w:top="927" w:right="339" w:bottom="1440" w:gutter="0" w:footer="0" w:header="0"/>
        </w:sectPr>
      </w:pPr>
    </w:p>
    <w:bookmarkStart w:id="81" w:name="page82"/>
    <w:bookmarkEnd w:id="81"/>
    <w:p>
      <w:pPr>
        <w:ind w:right="540"/>
        <w:spacing w:after="0" w:line="292" w:lineRule="auto"/>
        <w:rPr>
          <w:sz w:val="20"/>
          <w:szCs w:val="20"/>
          <w:color w:val="auto"/>
        </w:rPr>
      </w:pPr>
      <w:r>
        <w:rPr>
          <w:rFonts w:ascii="Arial" w:cs="Arial" w:eastAsia="Arial" w:hAnsi="Arial"/>
          <w:sz w:val="18"/>
          <w:szCs w:val="18"/>
          <w:color w:val="auto"/>
        </w:rPr>
        <w:t>this case, you may request an individual copy of this Proxy Statement and 2020 Annual Report on Form 10-K by contacting your bank, broker, or other nominee.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ON FORWARD LOOKING STATEMENTS</w:t>
      </w:r>
    </w:p>
    <w:p>
      <w:pPr>
        <w:spacing w:after="0" w:line="247"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This Proxy Statement contains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Specific forward-looking statements include, but are not limited to, statements such as those made regarding our expected capital expenditures; our DEI commitments; our Sustainability commitments, goals, and expected improvements; the outlook for the memory and storage market; expected timing of, and cost reductions from, new technology nodes; and estimated payments to our Named Executive Officers upon termination or change in control. Actual events or results could differ materially from those contained in the forward-looking statements. Please refer to the documents we file from time to time with the SEC, specifically our most recent Annual Report on Form 10-K and any subsequent Quarterly Reports on Form 10-Q. These documents contain and identify important factors that could cause our actual results to differ materially from those contained in the forward-looking statements (see the “Risk Factors” section in our Form 10-K and any subsequent Form 10-Q). The forward-looking statements are based on information available to us as of the date hereof and are based on management’s current views and assumptions and should not be relied upon as representing our views as of any subsequent date. Although we believe that the expectations reflected in the forward-looking statements are reasonable, we cannot guarantee future results, levels of activity, performance or achievements. We do not undertake any obligation to release publicly any revisions to these forward-looking statements to reflect events or circumstances after the date hereof or to reflect the occurrence of unanticipated events, unless applicable law requires us to do so.</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SHAREHOLDER PROPOSALS FOR FISCAL 2021 ANNUAL MEETING</w:t>
      </w:r>
    </w:p>
    <w:p>
      <w:pPr>
        <w:spacing w:after="0" w:line="2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Proposals by our shareholders which are intended to be presented at our fiscal 2021 Annual Meeting of Shareholders, including proposals for director nominees, must be received by us at our principal executive offices located at 8000 South Federal Way, Boise, Idaho 83716-9632, Attn.: Corporate Secretary, no later than August 3, 2021, and must also be in compliance with our Restated Certificate of Incorporation, our Amended and Restated Bylaws, and applicable laws and regulations in order to be included in the proxy statement and proxy card relating to that meeting. Proposals which are received after August 3, 2021, will be untimely and will not be considered at the meeting.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1, 2020</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927" w:right="359" w:bottom="1440" w:gutter="0" w:footer="0" w:header="0"/>
        </w:sectPr>
      </w:pPr>
    </w:p>
    <w:bookmarkStart w:id="82" w:name="page83"/>
    <w:bookmarkEnd w:id="82"/>
    <w:p>
      <w:pPr>
        <w:ind w:left="9920"/>
        <w:spacing w:after="0"/>
        <w:rPr>
          <w:sz w:val="20"/>
          <w:szCs w:val="20"/>
          <w:color w:val="auto"/>
        </w:rPr>
      </w:pPr>
      <w:r>
        <w:rPr>
          <w:rFonts w:ascii="Arial" w:cs="Arial" w:eastAsia="Arial" w:hAnsi="Arial"/>
          <w:sz w:val="21"/>
          <w:szCs w:val="21"/>
          <w:b w:val="1"/>
          <w:bCs w:val="1"/>
          <w:color w:val="auto"/>
        </w:rPr>
        <w:t>APPENDIX A</w:t>
      </w: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6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AMENDED AND RESTATED 2007 EQUITY INCENTIVE PLAN</w:t>
      </w:r>
    </w:p>
    <w:p>
      <w:pPr>
        <w:spacing w:after="0" w:line="19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(January 14, 2021 Amendment and Restatement)</w:t>
      </w:r>
    </w:p>
    <w:p>
      <w:pPr>
        <w:spacing w:after="0" w:line="33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1.</w:t>
      </w:r>
    </w:p>
    <w:p>
      <w:pPr>
        <w:spacing w:after="0" w:line="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PURPOSE</w:t>
      </w:r>
    </w:p>
    <w:p>
      <w:pPr>
        <w:spacing w:after="0" w:line="203"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i w:val="1"/>
          <w:iCs w:val="1"/>
          <w:color w:val="auto"/>
        </w:rPr>
        <w:t>GENERAL</w:t>
      </w:r>
      <w:r>
        <w:rPr>
          <w:rFonts w:ascii="Arial" w:cs="Arial" w:eastAsia="Arial" w:hAnsi="Arial"/>
          <w:sz w:val="17"/>
          <w:szCs w:val="17"/>
          <w:color w:val="auto"/>
        </w:rPr>
        <w:t>. The purpose of the Micron Technology, Inc. Amended and Restated 2007 Equity Incentive Plan (the “Plan”) is to promote the success, and enhance the value, of Micron Technology, Inc. (the “Company”), by linking the personal interests of employees, officers, non-employee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non-employee directors and consultants upon whose judgment, interest, and special effort the successful conduct of the Company’s operation is largely dependent. Accordingly, the Plan permits the grant of incentive awards from time to time to selected employees, officers, non-employee directors and consultants of the Company and its Affiliates.</w:t>
      </w:r>
    </w:p>
    <w:p>
      <w:pPr>
        <w:spacing w:after="0" w:line="27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2.</w:t>
      </w:r>
    </w:p>
    <w:p>
      <w:pPr>
        <w:spacing w:after="0" w:line="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DEFINITIONS</w:t>
      </w:r>
    </w:p>
    <w:p>
      <w:pPr>
        <w:spacing w:after="0" w:line="203"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63" w:lineRule="exact"/>
        <w:rPr>
          <w:sz w:val="20"/>
          <w:szCs w:val="20"/>
          <w:color w:val="auto"/>
        </w:rPr>
      </w:pPr>
    </w:p>
    <w:p>
      <w:pPr>
        <w:ind w:right="500" w:firstLine="1304"/>
        <w:spacing w:after="0" w:line="292" w:lineRule="auto"/>
        <w:tabs>
          <w:tab w:leader="none" w:pos="19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44" w:lineRule="exact"/>
        <w:rPr>
          <w:rFonts w:ascii="Arial" w:cs="Arial" w:eastAsia="Arial" w:hAnsi="Arial"/>
          <w:sz w:val="18"/>
          <w:szCs w:val="18"/>
          <w:color w:val="auto"/>
        </w:rPr>
      </w:pPr>
    </w:p>
    <w:p>
      <w:pPr>
        <w:ind w:right="60" w:firstLine="1304"/>
        <w:spacing w:after="0" w:line="271" w:lineRule="auto"/>
        <w:tabs>
          <w:tab w:leader="none" w:pos="19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Award, Restricted Stock Unit Award, Deferred Stock Unit Award, Performance Share, Other Stock-Based Award, or any other right or interest relating to Stock or cash, granted to a Participant under the Plan.</w:t>
      </w:r>
    </w:p>
    <w:p>
      <w:pPr>
        <w:spacing w:after="0" w:line="162" w:lineRule="exact"/>
        <w:rPr>
          <w:rFonts w:ascii="Arial" w:cs="Arial" w:eastAsia="Arial" w:hAnsi="Arial"/>
          <w:sz w:val="18"/>
          <w:szCs w:val="18"/>
          <w:color w:val="auto"/>
        </w:rPr>
      </w:pPr>
    </w:p>
    <w:p>
      <w:pPr>
        <w:ind w:right="20" w:firstLine="1304"/>
        <w:spacing w:after="0" w:line="260" w:lineRule="auto"/>
        <w:tabs>
          <w:tab w:leader="none" w:pos="193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74" w:lineRule="exact"/>
        <w:rPr>
          <w:rFonts w:ascii="Arial" w:cs="Arial" w:eastAsia="Arial" w:hAnsi="Arial"/>
          <w:sz w:val="18"/>
          <w:szCs w:val="18"/>
          <w:color w:val="auto"/>
        </w:rPr>
      </w:pPr>
    </w:p>
    <w:p>
      <w:pPr>
        <w:ind w:left="1940" w:hanging="636"/>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right="60" w:firstLine="1304"/>
        <w:spacing w:after="0" w:line="258" w:lineRule="auto"/>
        <w:tabs>
          <w:tab w:leader="none" w:pos="19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“Cause”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Certificate, “Cause” shall mean any of the following acts by the Participant, as determined by the Committee: (i) the commission by the Participant of, or the Participant’s pleading guilty or nolo contendere to, a felony or a crime involving moral turpitude (including pleading guilty or nolo contendere to a felony or lesser charge</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75</w:t>
      </w:r>
    </w:p>
    <w:p>
      <w:pPr>
        <w:sectPr>
          <w:pgSz w:w="11900" w:h="16838" w:orient="portrait"/>
          <w:cols w:equalWidth="0" w:num="1">
            <w:col w:w="11240"/>
          </w:cols>
          <w:pgMar w:left="320" w:top="927" w:right="339" w:bottom="1440" w:gutter="0" w:footer="0" w:header="0"/>
        </w:sectPr>
      </w:pPr>
    </w:p>
    <w:bookmarkStart w:id="83" w:name="page84"/>
    <w:bookmarkEnd w:id="83"/>
    <w:p>
      <w:pPr>
        <w:ind w:right="40"/>
        <w:spacing w:after="0" w:line="255" w:lineRule="auto"/>
        <w:rPr>
          <w:sz w:val="20"/>
          <w:szCs w:val="20"/>
          <w:color w:val="auto"/>
        </w:rPr>
      </w:pPr>
      <w:r>
        <w:rPr>
          <w:rFonts w:ascii="Arial" w:cs="Arial" w:eastAsia="Arial" w:hAnsi="Arial"/>
          <w:sz w:val="18"/>
          <w:szCs w:val="18"/>
          <w:color w:val="auto"/>
        </w:rPr>
        <w:t>which results from plea bargaining), whether or not such felony, crime or lesser offense is connected with the business of the Company or any of its Affiliates; (ii) the Participant’s engaging in any other act of dishonesty, fraud, intentional misrepresentation, moral turpitude, illegality or harassment, whether or not such act was committed in connection with the business of the Company or any of its Affiliates; (iii) the willful and repeated failure by the Participant to follow the lawful directives of the Board or the Participant’s supervisor; (iv) any material violation of the Company’s written policies; (v) any intentional misconduct by the Participant in connection with the Company and any of its Affiliate’s business or relating to the Participant’s duties, or any willful violation of any laws, rules or regulations; or (vi) the Participant’s material breach of any employment, severance, non-competition, non-solicitation, confidential information, or restrictive covenant agreement, or similar agreement, with the Company or an Affiliate. The determination of the Committee as to the existence of “Cause” shall be conclusive on the Participant and the Company.</w:t>
      </w:r>
    </w:p>
    <w:p>
      <w:pPr>
        <w:spacing w:after="0" w:line="181" w:lineRule="exact"/>
        <w:rPr>
          <w:sz w:val="20"/>
          <w:szCs w:val="20"/>
          <w:color w:val="auto"/>
        </w:rPr>
      </w:pPr>
    </w:p>
    <w:p>
      <w:pPr>
        <w:ind w:left="1940" w:hanging="636"/>
        <w:spacing w:after="0"/>
        <w:tabs>
          <w:tab w:leader="none" w:pos="1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660" w:right="160" w:firstLine="1292"/>
        <w:spacing w:after="0" w:line="256" w:lineRule="auto"/>
        <w:tabs>
          <w:tab w:leader="none" w:pos="2602"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7" w:lineRule="exact"/>
        <w:rPr>
          <w:rFonts w:ascii="Arial" w:cs="Arial" w:eastAsia="Arial" w:hAnsi="Arial"/>
          <w:sz w:val="18"/>
          <w:szCs w:val="18"/>
          <w:color w:val="auto"/>
        </w:rPr>
      </w:pPr>
    </w:p>
    <w:p>
      <w:pPr>
        <w:ind w:left="660" w:firstLine="1292"/>
        <w:spacing w:after="0" w:line="278" w:lineRule="auto"/>
        <w:tabs>
          <w:tab w:leader="none" w:pos="2601" w:val="left"/>
        </w:tabs>
        <w:numPr>
          <w:ilvl w:val="2"/>
          <w:numId w:val="83"/>
        </w:numPr>
        <w:rPr>
          <w:rFonts w:ascii="Arial" w:cs="Arial" w:eastAsia="Arial" w:hAnsi="Arial"/>
          <w:sz w:val="17"/>
          <w:szCs w:val="17"/>
          <w:color w:val="auto"/>
        </w:rPr>
      </w:pPr>
      <w:r>
        <w:rPr>
          <w:rFonts w:ascii="Arial" w:cs="Arial" w:eastAsia="Arial" w:hAnsi="Arial"/>
          <w:sz w:val="17"/>
          <w:szCs w:val="17"/>
          <w:color w:val="auto"/>
        </w:rPr>
        <w:t>any person is or becomes a “beneficial owner” (as defined in Rule 13d-3 under the 1934 Act), directly or indirectly, of either (A) 35% or more of the then-outstanding shares of common stock of the Company (“Company Common Stock”) or</w:t>
      </w:r>
    </w:p>
    <w:p>
      <w:pPr>
        <w:spacing w:after="0" w:line="1" w:lineRule="exact"/>
        <w:rPr>
          <w:rFonts w:ascii="Arial" w:cs="Arial" w:eastAsia="Arial" w:hAnsi="Arial"/>
          <w:sz w:val="17"/>
          <w:szCs w:val="17"/>
          <w:color w:val="auto"/>
        </w:rPr>
      </w:pPr>
    </w:p>
    <w:p>
      <w:pPr>
        <w:ind w:left="660" w:hanging="4"/>
        <w:spacing w:after="0" w:line="272" w:lineRule="auto"/>
        <w:tabs>
          <w:tab w:leader="none" w:pos="95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securities of the Company representing 35% or more of the combined voting power of the Company’s then outstanding securities eligible to vote for the election of directors (the “Company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of this subsection (ii), the following acquisitions shall not constitute a Change in Control: (w) an acquisition directly from the Company, (x) an acquisition by the Company or a Subsidiary, (y) an acquisition by any employee benefit plan (or related trust) sponsored or maintained by the Company or any Subsidiary, or (z) an acquisition pursuant to a Non-Qualifying Transaction (as defined in subsection (iii) below); or</w:t>
      </w:r>
    </w:p>
    <w:p>
      <w:pPr>
        <w:spacing w:after="0" w:line="166" w:lineRule="exact"/>
        <w:rPr>
          <w:rFonts w:ascii="Arial" w:cs="Arial" w:eastAsia="Arial" w:hAnsi="Arial"/>
          <w:sz w:val="17"/>
          <w:szCs w:val="17"/>
          <w:color w:val="auto"/>
        </w:rPr>
      </w:pPr>
    </w:p>
    <w:p>
      <w:pPr>
        <w:ind w:left="660" w:right="20" w:firstLine="1292"/>
        <w:spacing w:after="0" w:line="253" w:lineRule="auto"/>
        <w:tabs>
          <w:tab w:leader="none" w:pos="2601"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143" w:right="339" w:bottom="1440" w:gutter="0" w:footer="0" w:header="0"/>
        </w:sectPr>
      </w:pPr>
    </w:p>
    <w:bookmarkStart w:id="84" w:name="page85"/>
    <w:bookmarkEnd w:id="84"/>
    <w:p>
      <w:pPr>
        <w:ind w:left="660" w:right="220"/>
        <w:spacing w:after="0" w:line="292" w:lineRule="auto"/>
        <w:rPr>
          <w:sz w:val="20"/>
          <w:szCs w:val="20"/>
          <w:color w:val="auto"/>
        </w:rPr>
      </w:pPr>
      <w:r>
        <w:rPr>
          <w:rFonts w:ascii="Arial" w:cs="Arial" w:eastAsia="Arial" w:hAnsi="Arial"/>
          <w:sz w:val="18"/>
          <w:szCs w:val="18"/>
          <w:color w:val="auto"/>
        </w:rPr>
        <w:t>agreement providing for such Reorganization, Sale or Acquisition (any Reorganization, Sale or Acquisition which satisfies all of the criteria specified in (A), (B) and (C) above shall be deemed to be a “Non-Qualifying Transaction”); or</w:t>
      </w:r>
    </w:p>
    <w:p>
      <w:pPr>
        <w:spacing w:after="0" w:line="144" w:lineRule="exact"/>
        <w:rPr>
          <w:sz w:val="20"/>
          <w:szCs w:val="20"/>
          <w:color w:val="auto"/>
        </w:rPr>
      </w:pPr>
    </w:p>
    <w:p>
      <w:pPr>
        <w:ind w:left="2600" w:hanging="648"/>
        <w:spacing w:after="0"/>
        <w:tabs>
          <w:tab w:leader="none" w:pos="26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right="40" w:firstLine="1304"/>
        <w:spacing w:after="0" w:line="271" w:lineRule="auto"/>
        <w:tabs>
          <w:tab w:leader="none" w:pos="19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62" w:lineRule="exact"/>
        <w:rPr>
          <w:rFonts w:ascii="Arial" w:cs="Arial" w:eastAsia="Arial" w:hAnsi="Arial"/>
          <w:sz w:val="18"/>
          <w:szCs w:val="18"/>
          <w:color w:val="auto"/>
        </w:rPr>
      </w:pPr>
    </w:p>
    <w:p>
      <w:pPr>
        <w:ind w:left="1940" w:hanging="636"/>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40" w:firstLine="1304"/>
        <w:spacing w:after="0" w:line="255"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6" w:lineRule="exact"/>
        <w:rPr>
          <w:rFonts w:ascii="Arial" w:cs="Arial" w:eastAsia="Arial" w:hAnsi="Arial"/>
          <w:sz w:val="18"/>
          <w:szCs w:val="18"/>
          <w:color w:val="auto"/>
        </w:rPr>
      </w:pPr>
    </w:p>
    <w:p>
      <w:pPr>
        <w:ind w:right="60" w:firstLine="1304"/>
        <w:spacing w:after="0" w:line="264" w:lineRule="auto"/>
        <w:tabs>
          <w:tab w:leader="none" w:pos="1988"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“Disability” or “Disabled” means the applicable authorized party under the long-term disability plan (the “LTD Plan”) maintained by the Participant’s employer (either the Company or an Affiliate) has provided written notification that the Participant qualifies for disability benefits under the LTD Plan (a “Disability Notice”). If the Participant is not eligible for disability benefits under any applicable LTD Plan, then the Participant shall not qualify as Disabled under this Plan.</w:t>
      </w:r>
    </w:p>
    <w:p>
      <w:pPr>
        <w:spacing w:after="0" w:line="169" w:lineRule="exact"/>
        <w:rPr>
          <w:rFonts w:ascii="Arial" w:cs="Arial" w:eastAsia="Arial" w:hAnsi="Arial"/>
          <w:sz w:val="18"/>
          <w:szCs w:val="18"/>
          <w:color w:val="auto"/>
        </w:rPr>
      </w:pPr>
    </w:p>
    <w:p>
      <w:pPr>
        <w:ind w:left="1940" w:hanging="636"/>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“Dividend Equivalent” means a right granted with respect to an Award, as provided in Article 12.</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“Eligible Participant” means an employee, officer, non-employee director or consultant of the Company or any</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Affiliate.</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“Exchange” means any national securities exchange or national market system on which the Stock may from time to</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be listed or traded.</w:t>
      </w:r>
    </w:p>
    <w:p>
      <w:pPr>
        <w:spacing w:after="0" w:line="203" w:lineRule="exact"/>
        <w:rPr>
          <w:rFonts w:ascii="Arial" w:cs="Arial" w:eastAsia="Arial" w:hAnsi="Arial"/>
          <w:sz w:val="18"/>
          <w:szCs w:val="18"/>
          <w:color w:val="auto"/>
        </w:rPr>
      </w:pPr>
    </w:p>
    <w:p>
      <w:pPr>
        <w:ind w:right="60" w:firstLine="1304"/>
        <w:spacing w:after="0" w:line="257" w:lineRule="auto"/>
        <w:tabs>
          <w:tab w:leader="none" w:pos="1934"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Bloomberg L.P.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Bloomberg L.P. or such other source as the Committee deems reliable, or (iii) in the absence of an established</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77</w:t>
      </w:r>
    </w:p>
    <w:p>
      <w:pPr>
        <w:sectPr>
          <w:pgSz w:w="11900" w:h="16838" w:orient="portrait"/>
          <w:cols w:equalWidth="0" w:num="1">
            <w:col w:w="11240"/>
          </w:cols>
          <w:pgMar w:left="320" w:top="1143" w:right="339" w:bottom="1440" w:gutter="0" w:footer="0" w:header="0"/>
        </w:sectPr>
      </w:pPr>
    </w:p>
    <w:bookmarkStart w:id="85" w:name="page86"/>
    <w:bookmarkEnd w:id="85"/>
    <w:p>
      <w:pPr>
        <w:ind w:right="540"/>
        <w:spacing w:after="0" w:line="292" w:lineRule="auto"/>
        <w:rPr>
          <w:sz w:val="20"/>
          <w:szCs w:val="20"/>
          <w:color w:val="auto"/>
        </w:rPr>
      </w:pPr>
      <w:r>
        <w:rPr>
          <w:rFonts w:ascii="Arial" w:cs="Arial" w:eastAsia="Arial" w:hAnsi="Arial"/>
          <w:sz w:val="18"/>
          <w:szCs w:val="18"/>
          <w:color w:val="auto"/>
        </w:rPr>
        <w:t>market for the Stock, the Fair Market Value shall be determined by such other method as the Committee determines in good faith to be reasonable and in compliance with Code Section 409A.</w:t>
      </w:r>
    </w:p>
    <w:p>
      <w:pPr>
        <w:spacing w:after="0" w:line="144" w:lineRule="exact"/>
        <w:rPr>
          <w:sz w:val="20"/>
          <w:szCs w:val="20"/>
          <w:color w:val="auto"/>
        </w:rPr>
      </w:pPr>
    </w:p>
    <w:p>
      <w:pPr>
        <w:ind w:right="40" w:firstLine="1304"/>
        <w:spacing w:after="0" w:line="292" w:lineRule="auto"/>
        <w:tabs>
          <w:tab w:leader="none" w:pos="19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“Full Value Award” means an Award other than in the form of an Option or SAR, and which is settled by the issuance of Stock (or at the discretion of the Committee, settled in cash valued by reference to Stock value).</w:t>
      </w:r>
    </w:p>
    <w:p>
      <w:pPr>
        <w:spacing w:after="0" w:line="144" w:lineRule="exact"/>
        <w:rPr>
          <w:rFonts w:ascii="Arial" w:cs="Arial" w:eastAsia="Arial" w:hAnsi="Arial"/>
          <w:sz w:val="18"/>
          <w:szCs w:val="18"/>
          <w:color w:val="auto"/>
        </w:rPr>
      </w:pPr>
    </w:p>
    <w:p>
      <w:pPr>
        <w:ind w:right="120" w:firstLine="1304"/>
        <w:spacing w:after="0" w:line="292" w:lineRule="auto"/>
        <w:tabs>
          <w:tab w:leader="none" w:pos="19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“Good Reason” shall have the meaning, if any, given such term in the applicable Award Certificate. If not defined in the applicable Award Certificate, the term “Good Reason” as used herein shall not apply to a particular Award.</w:t>
      </w:r>
    </w:p>
    <w:p>
      <w:pPr>
        <w:spacing w:after="0" w:line="144" w:lineRule="exact"/>
        <w:rPr>
          <w:rFonts w:ascii="Arial" w:cs="Arial" w:eastAsia="Arial" w:hAnsi="Arial"/>
          <w:sz w:val="18"/>
          <w:szCs w:val="18"/>
          <w:color w:val="auto"/>
        </w:rPr>
      </w:pPr>
    </w:p>
    <w:p>
      <w:pPr>
        <w:ind w:right="100" w:firstLine="1304"/>
        <w:spacing w:after="0" w:line="271" w:lineRule="auto"/>
        <w:tabs>
          <w:tab w:leader="none" w:pos="19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62" w:lineRule="exact"/>
        <w:rPr>
          <w:rFonts w:ascii="Arial" w:cs="Arial" w:eastAsia="Arial" w:hAnsi="Arial"/>
          <w:sz w:val="18"/>
          <w:szCs w:val="18"/>
          <w:color w:val="auto"/>
        </w:rPr>
      </w:pPr>
    </w:p>
    <w:p>
      <w:pPr>
        <w:ind w:right="1020" w:firstLine="1304"/>
        <w:spacing w:after="0" w:line="292" w:lineRule="auto"/>
        <w:tabs>
          <w:tab w:leader="none" w:pos="19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 Affiliate.</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right="440" w:firstLine="1304"/>
        <w:spacing w:after="0" w:line="292" w:lineRule="auto"/>
        <w:tabs>
          <w:tab w:leader="none" w:pos="19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44" w:lineRule="exact"/>
        <w:rPr>
          <w:rFonts w:ascii="Arial" w:cs="Arial" w:eastAsia="Arial" w:hAnsi="Arial"/>
          <w:sz w:val="18"/>
          <w:szCs w:val="18"/>
          <w:color w:val="auto"/>
        </w:rPr>
      </w:pPr>
    </w:p>
    <w:p>
      <w:pPr>
        <w:ind w:right="340" w:firstLine="1304"/>
        <w:spacing w:after="0" w:line="292" w:lineRule="auto"/>
        <w:tabs>
          <w:tab w:leader="none" w:pos="19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44" w:lineRule="exact"/>
        <w:rPr>
          <w:rFonts w:ascii="Arial" w:cs="Arial" w:eastAsia="Arial" w:hAnsi="Arial"/>
          <w:sz w:val="18"/>
          <w:szCs w:val="18"/>
          <w:color w:val="auto"/>
        </w:rPr>
      </w:pPr>
    </w:p>
    <w:p>
      <w:pPr>
        <w:ind w:right="80" w:firstLine="1304"/>
        <w:spacing w:after="0" w:line="271" w:lineRule="auto"/>
        <w:tabs>
          <w:tab w:leader="none" w:pos="19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63" w:lineRule="exact"/>
        <w:rPr>
          <w:sz w:val="20"/>
          <w:szCs w:val="20"/>
          <w:color w:val="auto"/>
        </w:rPr>
      </w:pPr>
    </w:p>
    <w:p>
      <w:pPr>
        <w:jc w:val="both"/>
        <w:ind w:firstLine="1304"/>
        <w:spacing w:after="0" w:line="264" w:lineRule="auto"/>
        <w:tabs>
          <w:tab w:leader="none" w:pos="19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69" w:lineRule="exact"/>
        <w:rPr>
          <w:rFonts w:ascii="Arial" w:cs="Arial" w:eastAsia="Arial" w:hAnsi="Arial"/>
          <w:sz w:val="18"/>
          <w:szCs w:val="18"/>
          <w:color w:val="auto"/>
        </w:rPr>
      </w:pPr>
    </w:p>
    <w:p>
      <w:pPr>
        <w:ind w:right="160" w:firstLine="1304"/>
        <w:spacing w:after="0" w:line="271" w:lineRule="auto"/>
        <w:tabs>
          <w:tab w:leader="none" w:pos="18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62" w:lineRule="exact"/>
        <w:rPr>
          <w:rFonts w:ascii="Arial" w:cs="Arial" w:eastAsia="Arial" w:hAnsi="Arial"/>
          <w:sz w:val="18"/>
          <w:szCs w:val="18"/>
          <w:color w:val="auto"/>
        </w:rPr>
      </w:pPr>
    </w:p>
    <w:p>
      <w:pPr>
        <w:ind w:right="240" w:firstLine="1304"/>
        <w:spacing w:after="0" w:line="292" w:lineRule="auto"/>
        <w:tabs>
          <w:tab w:leader="none" w:pos="17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 means any individual, entity or group, within the meaning of Section 3(a)(9) of the 1934 Act and as used in Section 13(d)(3) or 14(d)(2) of the 1934 Act.</w:t>
      </w:r>
    </w:p>
    <w:p>
      <w:pPr>
        <w:spacing w:after="0" w:line="144" w:lineRule="exact"/>
        <w:rPr>
          <w:rFonts w:ascii="Arial" w:cs="Arial" w:eastAsia="Arial" w:hAnsi="Arial"/>
          <w:sz w:val="18"/>
          <w:szCs w:val="18"/>
          <w:color w:val="auto"/>
        </w:rPr>
      </w:pPr>
    </w:p>
    <w:p>
      <w:pPr>
        <w:ind w:left="1820" w:hanging="516"/>
        <w:spacing w:after="0"/>
        <w:tabs>
          <w:tab w:leader="none" w:pos="1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“Plan” means the Micron Technology, Inc. Amended and Restated 2007 Equity Incentive Plan, as amended from time</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 time.</w:t>
      </w:r>
    </w:p>
    <w:p>
      <w:pPr>
        <w:spacing w:after="0" w:line="203" w:lineRule="exact"/>
        <w:rPr>
          <w:rFonts w:ascii="Arial" w:cs="Arial" w:eastAsia="Arial" w:hAnsi="Arial"/>
          <w:sz w:val="18"/>
          <w:szCs w:val="18"/>
          <w:color w:val="auto"/>
        </w:rPr>
      </w:pPr>
    </w:p>
    <w:p>
      <w:pPr>
        <w:ind w:right="260" w:firstLine="1304"/>
        <w:spacing w:after="0" w:line="292" w:lineRule="auto"/>
        <w:tabs>
          <w:tab w:leader="none" w:pos="18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Stock Award” means Stock granted to a Participant under Article 10 that is subject to certain restrictions and to risk of forfeiture.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143" w:right="339" w:bottom="1440" w:gutter="0" w:footer="0" w:header="0"/>
        </w:sectPr>
      </w:pPr>
    </w:p>
    <w:bookmarkStart w:id="86" w:name="page87"/>
    <w:bookmarkEnd w:id="86"/>
    <w:p>
      <w:pPr>
        <w:jc w:val="both"/>
        <w:ind w:right="220" w:firstLine="1304"/>
        <w:spacing w:after="0" w:line="271" w:lineRule="auto"/>
        <w:tabs>
          <w:tab w:leader="none" w:pos="17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62" w:lineRule="exact"/>
        <w:rPr>
          <w:rFonts w:ascii="Arial" w:cs="Arial" w:eastAsia="Arial" w:hAnsi="Arial"/>
          <w:sz w:val="18"/>
          <w:szCs w:val="18"/>
          <w:color w:val="auto"/>
        </w:rPr>
      </w:pPr>
    </w:p>
    <w:p>
      <w:pPr>
        <w:ind w:right="200" w:firstLine="1304"/>
        <w:spacing w:after="0" w:line="271" w:lineRule="auto"/>
        <w:tabs>
          <w:tab w:leader="none" w:pos="18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62" w:lineRule="exact"/>
        <w:rPr>
          <w:rFonts w:ascii="Arial" w:cs="Arial" w:eastAsia="Arial" w:hAnsi="Arial"/>
          <w:sz w:val="18"/>
          <w:szCs w:val="18"/>
          <w:color w:val="auto"/>
        </w:rPr>
      </w:pPr>
    </w:p>
    <w:p>
      <w:pPr>
        <w:ind w:right="240" w:firstLine="1304"/>
        <w:spacing w:after="0" w:line="292" w:lineRule="auto"/>
        <w:tabs>
          <w:tab w:leader="none" w:pos="1816"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44" w:lineRule="exact"/>
        <w:rPr>
          <w:rFonts w:ascii="Arial" w:cs="Arial" w:eastAsia="Arial" w:hAnsi="Arial"/>
          <w:sz w:val="18"/>
          <w:szCs w:val="18"/>
          <w:color w:val="auto"/>
        </w:rPr>
      </w:pPr>
    </w:p>
    <w:p>
      <w:pPr>
        <w:ind w:right="20" w:firstLine="1304"/>
        <w:spacing w:after="0" w:line="271" w:lineRule="auto"/>
        <w:tabs>
          <w:tab w:leader="none" w:pos="16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62" w:lineRule="exact"/>
        <w:rPr>
          <w:rFonts w:ascii="Arial" w:cs="Arial" w:eastAsia="Arial" w:hAnsi="Arial"/>
          <w:sz w:val="18"/>
          <w:szCs w:val="18"/>
          <w:color w:val="auto"/>
        </w:rPr>
      </w:pPr>
    </w:p>
    <w:p>
      <w:pPr>
        <w:ind w:right="100" w:firstLine="1304"/>
        <w:spacing w:after="0" w:line="271" w:lineRule="auto"/>
        <w:tabs>
          <w:tab w:leader="none" w:pos="16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62" w:lineRule="exact"/>
        <w:rPr>
          <w:rFonts w:ascii="Arial" w:cs="Arial" w:eastAsia="Arial" w:hAnsi="Arial"/>
          <w:sz w:val="18"/>
          <w:szCs w:val="18"/>
          <w:color w:val="auto"/>
        </w:rPr>
      </w:pPr>
    </w:p>
    <w:p>
      <w:pPr>
        <w:ind w:left="1800" w:hanging="496"/>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33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3.</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EFFECTIVE TERM OF PLAN</w:t>
      </w:r>
    </w:p>
    <w:p>
      <w:pPr>
        <w:spacing w:after="0" w:line="20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originally was adopted by the Board effective as of October 9, 2007 (the “Effective Date”), and last was amended and restated effective as of January 18, 2017. This amended and restated version of the Plan is effective as of January 14, 2021.</w:t>
      </w:r>
    </w:p>
    <w:p>
      <w:pPr>
        <w:spacing w:after="0" w:line="163"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28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4.</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ADMINISTRATION</w:t>
      </w:r>
    </w:p>
    <w:p>
      <w:pPr>
        <w:spacing w:after="0" w:line="20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w:t>
      </w:r>
      <w:r>
        <w:rPr>
          <w:rFonts w:ascii="Arial" w:cs="Arial" w:eastAsia="Arial" w:hAnsi="Arial"/>
          <w:sz w:val="18"/>
          <w:szCs w:val="18"/>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that any such members of the Committee who do not so qualify shall abstain from participating in any decision to make or administer Awards that are made to Eligible Participants who at the time of consideration for such Award are persons subject to the short-swing profit rules of Section 16 of the 1934 Act.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9980"/>
        <w:spacing w:after="0"/>
        <w:rPr>
          <w:sz w:val="20"/>
          <w:szCs w:val="20"/>
          <w:color w:val="auto"/>
        </w:rPr>
      </w:pPr>
      <w:r>
        <w:rPr>
          <w:sz w:val="1"/>
          <w:szCs w:val="1"/>
          <w:color w:val="auto"/>
        </w:rPr>
        <w:drawing>
          <wp:inline distT="0" distB="0" distL="0" distR="0">
            <wp:extent cx="643255" cy="18034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79</w:t>
      </w:r>
    </w:p>
    <w:p>
      <w:pPr>
        <w:sectPr>
          <w:pgSz w:w="11900" w:h="16838" w:orient="portrait"/>
          <w:cols w:equalWidth="0" w:num="1">
            <w:col w:w="11240"/>
          </w:cols>
          <w:pgMar w:left="320" w:top="1143" w:right="339" w:bottom="1440" w:gutter="0" w:footer="0" w:header="0"/>
          <w:type w:val="continuous"/>
        </w:sectPr>
      </w:pPr>
    </w:p>
    <w:bookmarkStart w:id="87" w:name="page88"/>
    <w:bookmarkEnd w:id="87"/>
    <w:p>
      <w:pPr>
        <w:jc w:val="both"/>
        <w:ind w:right="240"/>
        <w:spacing w:after="0" w:line="271" w:lineRule="auto"/>
        <w:rPr>
          <w:sz w:val="20"/>
          <w:szCs w:val="20"/>
          <w:color w:val="auto"/>
        </w:rPr>
      </w:pPr>
      <w:r>
        <w:rPr>
          <w:rFonts w:ascii="Arial" w:cs="Arial" w:eastAsia="Arial" w:hAnsi="Arial"/>
          <w:sz w:val="18"/>
          <w:szCs w:val="18"/>
          <w:color w:val="auto"/>
        </w:rPr>
        <w:t>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6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ACTION AND INTERPRETATIONS BY THE COMMITTEE</w:t>
      </w:r>
      <w:r>
        <w:rPr>
          <w:rFonts w:ascii="Arial" w:cs="Arial" w:eastAsia="Arial" w:hAnsi="Arial"/>
          <w:sz w:val="18"/>
          <w:szCs w:val="18"/>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i w:val="1"/>
          <w:iCs w:val="1"/>
          <w:color w:val="auto"/>
        </w:rPr>
        <w:t>AUTHORITY OF COMMITTEE</w:t>
      </w:r>
      <w:r>
        <w:rPr>
          <w:rFonts w:ascii="Arial" w:cs="Arial" w:eastAsia="Arial" w:hAnsi="Arial"/>
          <w:sz w:val="17"/>
          <w:szCs w:val="17"/>
          <w:color w:val="auto"/>
        </w:rPr>
        <w:t>. Except as provided below, the Committee has the exclusive power, authority and discretion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3" w:lineRule="exact"/>
        <w:rPr>
          <w:sz w:val="20"/>
          <w:szCs w:val="20"/>
          <w:color w:val="auto"/>
        </w:rPr>
      </w:pPr>
    </w:p>
    <w:p>
      <w:pPr>
        <w:ind w:left="1940" w:hanging="636"/>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relate;</w:t>
      </w:r>
    </w:p>
    <w:p>
      <w:pPr>
        <w:spacing w:after="0" w:line="203" w:lineRule="exact"/>
        <w:rPr>
          <w:sz w:val="20"/>
          <w:szCs w:val="20"/>
          <w:color w:val="auto"/>
        </w:rPr>
      </w:pPr>
    </w:p>
    <w:p>
      <w:pPr>
        <w:ind w:firstLine="1304"/>
        <w:spacing w:after="0" w:line="264" w:lineRule="auto"/>
        <w:tabs>
          <w:tab w:leader="none" w:pos="193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69" w:lineRule="exact"/>
        <w:rPr>
          <w:rFonts w:ascii="Arial" w:cs="Arial" w:eastAsia="Arial" w:hAnsi="Arial"/>
          <w:sz w:val="18"/>
          <w:szCs w:val="18"/>
          <w:color w:val="auto"/>
        </w:rPr>
      </w:pPr>
    </w:p>
    <w:p>
      <w:pPr>
        <w:ind w:right="20" w:firstLine="1304"/>
        <w:spacing w:after="0" w:line="292" w:lineRule="auto"/>
        <w:tabs>
          <w:tab w:leader="none" w:pos="19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44" w:lineRule="exact"/>
        <w:rPr>
          <w:rFonts w:ascii="Arial" w:cs="Arial" w:eastAsia="Arial" w:hAnsi="Arial"/>
          <w:sz w:val="18"/>
          <w:szCs w:val="18"/>
          <w:color w:val="auto"/>
        </w:rPr>
      </w:pPr>
    </w:p>
    <w:p>
      <w:pPr>
        <w:ind w:right="40" w:firstLine="1304"/>
        <w:spacing w:after="0" w:line="292" w:lineRule="auto"/>
        <w:tabs>
          <w:tab w:leader="none" w:pos="193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Establish, adopt or revise any rules, regulations, guidelines or procedures as it may deem necessary or advisable to</w:t>
      </w:r>
    </w:p>
    <w:p>
      <w:pPr>
        <w:spacing w:after="0" w:line="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administer the Plan;</w:t>
      </w:r>
    </w:p>
    <w:p>
      <w:pPr>
        <w:spacing w:after="0" w:line="203" w:lineRule="exact"/>
        <w:rPr>
          <w:rFonts w:ascii="Arial" w:cs="Arial" w:eastAsia="Arial" w:hAnsi="Arial"/>
          <w:sz w:val="18"/>
          <w:szCs w:val="18"/>
          <w:color w:val="auto"/>
        </w:rPr>
      </w:pPr>
    </w:p>
    <w:p>
      <w:pPr>
        <w:ind w:right="560" w:firstLine="1304"/>
        <w:spacing w:after="0" w:line="292" w:lineRule="auto"/>
        <w:tabs>
          <w:tab w:leader="none" w:pos="19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jc w:val="both"/>
        <w:ind w:right="80" w:firstLine="1304"/>
        <w:spacing w:after="0" w:line="271" w:lineRule="auto"/>
        <w:tabs>
          <w:tab w:leader="none" w:pos="19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143" w:right="379" w:bottom="1440" w:gutter="0" w:footer="0" w:header="0"/>
        </w:sectPr>
      </w:pPr>
    </w:p>
    <w:bookmarkStart w:id="88" w:name="page89"/>
    <w:bookmarkEnd w:id="88"/>
    <w:p>
      <w:pPr>
        <w:ind w:right="40" w:firstLine="648"/>
        <w:spacing w:after="0" w:line="271"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63"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Notwithstanding the above, the Board may, by resolution, expressly delegate to a special committee, consisting of one or more directors who may but need not be officers of the Company, the authority, within specified parameters as to the number and terms of Awards, to (i) designate officers, employees and/or consultants of the Company or any of its Affiliates to be recipients of Awards under the Plan, and</w:t>
      </w:r>
    </w:p>
    <w:p>
      <w:pPr>
        <w:spacing w:after="0" w:line="1" w:lineRule="exact"/>
        <w:rPr>
          <w:sz w:val="20"/>
          <w:szCs w:val="20"/>
          <w:color w:val="auto"/>
        </w:rPr>
      </w:pPr>
    </w:p>
    <w:p>
      <w:pPr>
        <w:ind w:right="200" w:firstLine="8"/>
        <w:spacing w:after="0" w:line="254" w:lineRule="auto"/>
        <w:tabs>
          <w:tab w:leader="none" w:pos="2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determine the number of such Awards to be received by any such Participants; provided, however, that such delegation of duties and responsibilities to an officer of the Company may not be made with respect to the grant of Awards to eligible participants who are subject to Section 16(a) of the 1934 Act at the Grant Date. The acts of such delegates shall be treated hereunder as acts of the Board and such delegates shall report regularly to the Board and the Committee regarding the delegated duties and responsibilities and any Awards so granted.</w:t>
      </w:r>
    </w:p>
    <w:p>
      <w:pPr>
        <w:spacing w:after="0" w:line="179" w:lineRule="exact"/>
        <w:rPr>
          <w:sz w:val="20"/>
          <w:szCs w:val="20"/>
          <w:color w:val="auto"/>
        </w:rPr>
      </w:pPr>
    </w:p>
    <w:p>
      <w:pPr>
        <w:ind w:right="40" w:firstLine="648"/>
        <w:spacing w:after="0" w:line="29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25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5.</w:t>
      </w:r>
    </w:p>
    <w:p>
      <w:pPr>
        <w:spacing w:after="0" w:line="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SHARES SUBJECT TO THE PLAN</w:t>
      </w:r>
    </w:p>
    <w:p>
      <w:pPr>
        <w:spacing w:after="0" w:line="20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200,000,000;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69" w:lineRule="exact"/>
        <w:rPr>
          <w:sz w:val="20"/>
          <w:szCs w:val="20"/>
          <w:color w:val="auto"/>
        </w:rPr>
      </w:pPr>
    </w:p>
    <w:p>
      <w:pPr>
        <w:ind w:right="220" w:firstLine="648"/>
        <w:spacing w:after="0" w:line="29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SHARE COUNTING</w:t>
      </w:r>
      <w:r>
        <w:rPr>
          <w:rFonts w:ascii="Arial" w:cs="Arial" w:eastAsia="Arial" w:hAnsi="Arial"/>
          <w:sz w:val="18"/>
          <w:szCs w:val="18"/>
          <w:color w:val="auto"/>
        </w:rPr>
        <w:t>. Shares covered by an Award shall be subtracted from the Plan share reserve as of the date of grant, but shall be added back to the Plan share reserve in accordance with this Section 5.2.</w:t>
      </w:r>
    </w:p>
    <w:p>
      <w:pPr>
        <w:spacing w:after="0" w:line="144" w:lineRule="exact"/>
        <w:rPr>
          <w:sz w:val="20"/>
          <w:szCs w:val="20"/>
          <w:color w:val="auto"/>
        </w:rPr>
      </w:pPr>
    </w:p>
    <w:p>
      <w:pPr>
        <w:ind w:right="120" w:firstLine="1304"/>
        <w:spacing w:after="0" w:line="271" w:lineRule="auto"/>
        <w:tabs>
          <w:tab w:leader="none" w:pos="19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62" w:lineRule="exact"/>
        <w:rPr>
          <w:rFonts w:ascii="Arial" w:cs="Arial" w:eastAsia="Arial" w:hAnsi="Arial"/>
          <w:sz w:val="18"/>
          <w:szCs w:val="18"/>
          <w:color w:val="auto"/>
        </w:rPr>
      </w:pPr>
    </w:p>
    <w:p>
      <w:pPr>
        <w:ind w:right="360" w:firstLine="1304"/>
        <w:spacing w:after="0" w:line="292" w:lineRule="auto"/>
        <w:tabs>
          <w:tab w:leader="none" w:pos="19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subject to Awards settled in cash will be added back to the Plan share reserve and again be available for issuance pursuant to Awards granted under the Plan.</w:t>
      </w:r>
    </w:p>
    <w:p>
      <w:pPr>
        <w:spacing w:after="0" w:line="144" w:lineRule="exact"/>
        <w:rPr>
          <w:rFonts w:ascii="Arial" w:cs="Arial" w:eastAsia="Arial" w:hAnsi="Arial"/>
          <w:sz w:val="18"/>
          <w:szCs w:val="18"/>
          <w:color w:val="auto"/>
        </w:rPr>
      </w:pPr>
    </w:p>
    <w:p>
      <w:pPr>
        <w:ind w:right="600" w:firstLine="1304"/>
        <w:spacing w:after="0" w:line="292" w:lineRule="auto"/>
        <w:tabs>
          <w:tab w:leader="none" w:pos="19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Substitute Awards granted pursuant to Section 14.13 of the Plan shall not count against the Shares otherwise available for issuance under the Plan under Section 5.1.</w:t>
      </w:r>
    </w:p>
    <w:p>
      <w:pPr>
        <w:spacing w:after="0" w:line="144" w:lineRule="exact"/>
        <w:rPr>
          <w:rFonts w:ascii="Arial" w:cs="Arial" w:eastAsia="Arial" w:hAnsi="Arial"/>
          <w:sz w:val="18"/>
          <w:szCs w:val="18"/>
          <w:color w:val="auto"/>
        </w:rPr>
      </w:pPr>
    </w:p>
    <w:p>
      <w:pPr>
        <w:jc w:val="both"/>
        <w:ind w:right="20" w:firstLine="1304"/>
        <w:spacing w:after="0" w:line="264" w:lineRule="auto"/>
        <w:tabs>
          <w:tab w:leader="none" w:pos="19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69" w:lineRule="exact"/>
        <w:rPr>
          <w:sz w:val="20"/>
          <w:szCs w:val="20"/>
          <w:color w:val="auto"/>
        </w:rPr>
      </w:pPr>
    </w:p>
    <w:p>
      <w:pPr>
        <w:ind w:right="520" w:firstLine="648"/>
        <w:spacing w:after="0" w:line="29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i w:val="1"/>
          <w:iCs w:val="1"/>
          <w:color w:val="auto"/>
        </w:rPr>
        <w:t>LIMITATION ON AWARDS</w:t>
      </w:r>
      <w:r>
        <w:rPr>
          <w:rFonts w:ascii="Arial" w:cs="Arial" w:eastAsia="Arial" w:hAnsi="Arial"/>
          <w:sz w:val="17"/>
          <w:szCs w:val="17"/>
          <w:color w:val="auto"/>
        </w:rPr>
        <w:t>.</w:t>
      </w:r>
    </w:p>
    <w:p>
      <w:pPr>
        <w:spacing w:after="0" w:line="225" w:lineRule="exact"/>
        <w:rPr>
          <w:sz w:val="20"/>
          <w:szCs w:val="20"/>
          <w:color w:val="auto"/>
        </w:rPr>
      </w:pPr>
    </w:p>
    <w:p>
      <w:pPr>
        <w:ind w:right="60" w:firstLine="1304"/>
        <w:spacing w:after="0" w:line="260" w:lineRule="auto"/>
        <w:tabs>
          <w:tab w:leader="none" w:pos="19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Stock-Based Awards (other than Options or SARs) granted in any one calendar year to any one Participant shall be 5,000,000.</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81</w:t>
      </w:r>
    </w:p>
    <w:p>
      <w:pPr>
        <w:sectPr>
          <w:pgSz w:w="11900" w:h="16838" w:orient="portrait"/>
          <w:cols w:equalWidth="0" w:num="1">
            <w:col w:w="11240"/>
          </w:cols>
          <w:pgMar w:left="320" w:top="1143" w:right="339" w:bottom="1440" w:gutter="0" w:footer="0" w:header="0"/>
        </w:sectPr>
      </w:pPr>
    </w:p>
    <w:bookmarkStart w:id="89" w:name="page90"/>
    <w:bookmarkEnd w:id="89"/>
    <w:p>
      <w:pPr>
        <w:ind w:right="420" w:firstLine="1304"/>
        <w:spacing w:after="0" w:line="294" w:lineRule="auto"/>
        <w:tabs>
          <w:tab w:leader="none" w:pos="193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maximum number of Shares subject to Awards granted during a single fiscal year to any Non-Employee Director, taken together with any cash fees paid to such Non-Employee Director during the fiscal year, shall not exceed $750,000 in total value (calculating the value of any such Awards based on the grant date fair value of such Awards for financial reporting purposes).</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14.13,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 and (iii) this Section 5.5 shall not apply to Awards granted to Non-Employee Directors.</w:t>
      </w:r>
    </w:p>
    <w:p>
      <w:pPr>
        <w:spacing w:after="0" w:line="28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6.</w:t>
      </w:r>
    </w:p>
    <w:p>
      <w:pPr>
        <w:spacing w:after="0" w:line="3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ELIGIBILITY</w:t>
      </w:r>
    </w:p>
    <w:p>
      <w:pPr>
        <w:spacing w:after="0" w:line="20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7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7.</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STOCK OPTIONS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i w:val="1"/>
          <w:iCs w:val="1"/>
          <w:color w:val="auto"/>
        </w:rPr>
        <w:t>GENERAL</w:t>
      </w:r>
      <w:r>
        <w:rPr>
          <w:rFonts w:ascii="Arial" w:cs="Arial" w:eastAsia="Arial" w:hAnsi="Arial"/>
          <w:sz w:val="17"/>
          <w:szCs w:val="17"/>
          <w:color w:val="auto"/>
        </w:rPr>
        <w:t>. The Committee is authorized to grant Options to Participants on the following terms and conditions:</w:t>
      </w:r>
    </w:p>
    <w:p>
      <w:pPr>
        <w:spacing w:after="0" w:line="225" w:lineRule="exact"/>
        <w:rPr>
          <w:sz w:val="20"/>
          <w:szCs w:val="20"/>
          <w:color w:val="auto"/>
        </w:rPr>
      </w:pPr>
    </w:p>
    <w:p>
      <w:pPr>
        <w:ind w:firstLine="1304"/>
        <w:spacing w:after="0" w:line="271" w:lineRule="auto"/>
        <w:tabs>
          <w:tab w:leader="none" w:pos="1934"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EXERCISE PRICE. The exercise price per Share under an Option shall be determined by the Committee; provided that the exercise price for any Option (other than an Option issued as a substitute Award pursuant to Section 14.13) shall not be less than the Fair Market Value as of the Grant Date.</w:t>
      </w:r>
    </w:p>
    <w:p>
      <w:pPr>
        <w:spacing w:after="0" w:line="162" w:lineRule="exact"/>
        <w:rPr>
          <w:rFonts w:ascii="Arial" w:cs="Arial" w:eastAsia="Arial" w:hAnsi="Arial"/>
          <w:sz w:val="18"/>
          <w:szCs w:val="18"/>
          <w:color w:val="auto"/>
        </w:rPr>
      </w:pPr>
    </w:p>
    <w:p>
      <w:pPr>
        <w:ind w:right="260" w:firstLine="1304"/>
        <w:spacing w:after="0" w:line="260" w:lineRule="auto"/>
        <w:tabs>
          <w:tab w:leader="none" w:pos="1934"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shareholders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74" w:lineRule="exact"/>
        <w:rPr>
          <w:rFonts w:ascii="Arial" w:cs="Arial" w:eastAsia="Arial" w:hAnsi="Arial"/>
          <w:sz w:val="18"/>
          <w:szCs w:val="18"/>
          <w:color w:val="auto"/>
        </w:rPr>
      </w:pPr>
    </w:p>
    <w:p>
      <w:pPr>
        <w:ind w:right="80" w:firstLine="1304"/>
        <w:spacing w:after="0" w:line="271" w:lineRule="auto"/>
        <w:tabs>
          <w:tab w:leader="none" w:pos="19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62" w:lineRule="exact"/>
        <w:rPr>
          <w:rFonts w:ascii="Arial" w:cs="Arial" w:eastAsia="Arial" w:hAnsi="Arial"/>
          <w:sz w:val="18"/>
          <w:szCs w:val="18"/>
          <w:color w:val="auto"/>
        </w:rPr>
      </w:pPr>
    </w:p>
    <w:p>
      <w:pPr>
        <w:ind w:right="180" w:firstLine="1304"/>
        <w:spacing w:after="0" w:line="260" w:lineRule="auto"/>
        <w:tabs>
          <w:tab w:leader="none" w:pos="1934"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143"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Shares on the date the Option is exercised, (iv) broker-assisted market sales, or (v) any other “cashless exercise” arrangement.</w:t>
      </w:r>
    </w:p>
    <w:p>
      <w:pPr>
        <w:spacing w:after="0" w:line="225" w:lineRule="exact"/>
        <w:rPr>
          <w:sz w:val="20"/>
          <w:szCs w:val="20"/>
          <w:color w:val="auto"/>
        </w:rPr>
      </w:pPr>
    </w:p>
    <w:p>
      <w:pPr>
        <w:ind w:left="1940" w:hanging="636"/>
        <w:spacing w:after="0"/>
        <w:tabs>
          <w:tab w:leader="none" w:pos="19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EXERCISE TERM. No option granted under the Plan shall be exercisable for more than eight (8) years from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3" w:lineRule="exact"/>
        <w:rPr>
          <w:sz w:val="20"/>
          <w:szCs w:val="20"/>
          <w:color w:val="auto"/>
        </w:rPr>
      </w:pPr>
    </w:p>
    <w:p>
      <w:pPr>
        <w:ind w:right="200" w:firstLine="1304"/>
        <w:spacing w:after="0" w:line="292" w:lineRule="auto"/>
        <w:tabs>
          <w:tab w:leader="none" w:pos="19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DEFERRAL FEATURE. No Option shall provide for any feature for the deferral of compensation other than the deferral of recognition of income until the exercise or disposition of the Option.</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DIVIDEND EQUIVALENTS. No Option shall provide for Dividend Equivalents.</w:t>
      </w:r>
    </w:p>
    <w:p>
      <w:pPr>
        <w:spacing w:after="0" w:line="225" w:lineRule="exact"/>
        <w:rPr>
          <w:rFonts w:ascii="Arial" w:cs="Arial" w:eastAsia="Arial" w:hAnsi="Arial"/>
          <w:sz w:val="18"/>
          <w:szCs w:val="18"/>
          <w:color w:val="auto"/>
        </w:rPr>
      </w:pPr>
    </w:p>
    <w:p>
      <w:pPr>
        <w:ind w:firstLine="1304"/>
        <w:spacing w:after="0" w:line="271" w:lineRule="auto"/>
        <w:tabs>
          <w:tab w:leader="none" w:pos="1934"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63" w:lineRule="exact"/>
        <w:rPr>
          <w:sz w:val="20"/>
          <w:szCs w:val="20"/>
          <w:color w:val="auto"/>
        </w:rPr>
      </w:pPr>
    </w:p>
    <w:p>
      <w:pPr>
        <w:jc w:val="both"/>
        <w:ind w:right="380" w:firstLine="648"/>
        <w:spacing w:after="0" w:line="27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ARTICLE 8.</w:t>
      </w:r>
    </w:p>
    <w:p>
      <w:pPr>
        <w:spacing w:after="0" w:line="3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STOCK APPRECIATION RIGHTS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i w:val="1"/>
          <w:iCs w:val="1"/>
          <w:color w:val="auto"/>
        </w:rPr>
        <w:t>GRANT OF STOCK APPRECIATION RIGHTS</w:t>
      </w:r>
      <w:r>
        <w:rPr>
          <w:rFonts w:ascii="Arial" w:cs="Arial" w:eastAsia="Arial" w:hAnsi="Arial"/>
          <w:sz w:val="17"/>
          <w:szCs w:val="17"/>
          <w:color w:val="auto"/>
        </w:rPr>
        <w:t>. The Committee is authorized to grant Stock Appreciation Rights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Participants on the following terms and conditions:</w:t>
      </w:r>
    </w:p>
    <w:p>
      <w:pPr>
        <w:spacing w:after="0" w:line="203" w:lineRule="exact"/>
        <w:rPr>
          <w:sz w:val="20"/>
          <w:szCs w:val="20"/>
          <w:color w:val="auto"/>
        </w:rPr>
      </w:pPr>
    </w:p>
    <w:p>
      <w:pPr>
        <w:ind w:right="40" w:firstLine="1304"/>
        <w:spacing w:after="0" w:line="292" w:lineRule="auto"/>
        <w:tabs>
          <w:tab w:leader="none" w:pos="1934" w:val="left"/>
        </w:tabs>
        <w:numPr>
          <w:ilvl w:val="1"/>
          <w:numId w:val="99"/>
        </w:numPr>
        <w:rPr>
          <w:rFonts w:ascii="Arial" w:cs="Arial" w:eastAsia="Arial" w:hAnsi="Arial"/>
          <w:sz w:val="18"/>
          <w:szCs w:val="18"/>
          <w:color w:val="auto"/>
        </w:rPr>
      </w:pPr>
      <w:r>
        <w:rPr>
          <w:rFonts w:ascii="Arial" w:cs="Arial" w:eastAsia="Arial" w:hAnsi="Arial"/>
          <w:sz w:val="18"/>
          <w:szCs w:val="18"/>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44" w:lineRule="exact"/>
        <w:rPr>
          <w:rFonts w:ascii="Arial" w:cs="Arial" w:eastAsia="Arial" w:hAnsi="Arial"/>
          <w:sz w:val="18"/>
          <w:szCs w:val="18"/>
          <w:color w:val="auto"/>
        </w:rPr>
      </w:pPr>
    </w:p>
    <w:p>
      <w:pPr>
        <w:ind w:left="2600" w:hanging="648"/>
        <w:spacing w:after="0"/>
        <w:tabs>
          <w:tab w:leader="none" w:pos="26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right="380" w:firstLine="1952"/>
        <w:spacing w:after="0" w:line="292" w:lineRule="auto"/>
        <w:tabs>
          <w:tab w:leader="none" w:pos="2582"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44" w:lineRule="exact"/>
        <w:rPr>
          <w:rFonts w:ascii="Arial" w:cs="Arial" w:eastAsia="Arial" w:hAnsi="Arial"/>
          <w:sz w:val="18"/>
          <w:szCs w:val="18"/>
          <w:color w:val="auto"/>
        </w:rPr>
      </w:pPr>
    </w:p>
    <w:p>
      <w:pPr>
        <w:ind w:right="100" w:firstLine="1304"/>
        <w:spacing w:after="0" w:line="274" w:lineRule="auto"/>
        <w:tabs>
          <w:tab w:leader="none" w:pos="1934" w:val="left"/>
        </w:tabs>
        <w:numPr>
          <w:ilvl w:val="1"/>
          <w:numId w:val="99"/>
        </w:numPr>
        <w:rPr>
          <w:rFonts w:ascii="Arial" w:cs="Arial" w:eastAsia="Arial" w:hAnsi="Arial"/>
          <w:sz w:val="17"/>
          <w:szCs w:val="17"/>
          <w:color w:val="auto"/>
        </w:rPr>
      </w:pPr>
      <w:r>
        <w:rPr>
          <w:rFonts w:ascii="Arial" w:cs="Arial" w:eastAsia="Arial" w:hAnsi="Arial"/>
          <w:sz w:val="17"/>
          <w:szCs w:val="17"/>
          <w:color w:val="auto"/>
        </w:rPr>
        <w:t>PROHIBITION ON REPRICING. Except as otherwise provided in Article 15, without the prior approval of shareholders of the Company: (i) the base price of a SAR may not be reduced, directly or indirectly, (ii) a SAR may not be cancelled in exchange for cash, other Awards, or Options or SARs with an exercise or base price that is less than the base price of the original SAR, and</w:t>
      </w:r>
    </w:p>
    <w:p>
      <w:pPr>
        <w:ind w:right="60" w:firstLine="8"/>
        <w:spacing w:after="0" w:line="266" w:lineRule="auto"/>
        <w:tabs>
          <w:tab w:leader="none" w:pos="2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may not repurchase a SAR for value (in cash or otherwise) from a Participant if the current Fair Market Value of the Shares underlying the SAR is lower than the base price per share of the SAR.</w:t>
      </w:r>
    </w:p>
    <w:p>
      <w:pPr>
        <w:spacing w:after="0" w:line="167" w:lineRule="exact"/>
        <w:rPr>
          <w:rFonts w:ascii="Arial" w:cs="Arial" w:eastAsia="Arial" w:hAnsi="Arial"/>
          <w:sz w:val="18"/>
          <w:szCs w:val="18"/>
          <w:color w:val="auto"/>
        </w:rPr>
      </w:pPr>
    </w:p>
    <w:p>
      <w:pPr>
        <w:ind w:right="100" w:firstLine="1304"/>
        <w:spacing w:after="0" w:line="292" w:lineRule="auto"/>
        <w:tabs>
          <w:tab w:leader="none" w:pos="193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144" w:lineRule="exact"/>
        <w:rPr>
          <w:rFonts w:ascii="Arial" w:cs="Arial" w:eastAsia="Arial" w:hAnsi="Arial"/>
          <w:sz w:val="18"/>
          <w:szCs w:val="18"/>
          <w:color w:val="auto"/>
        </w:rPr>
      </w:pPr>
    </w:p>
    <w:p>
      <w:pPr>
        <w:ind w:right="380" w:firstLine="1304"/>
        <w:spacing w:after="0" w:line="292" w:lineRule="auto"/>
        <w:tabs>
          <w:tab w:leader="none" w:pos="193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DEFERRAL FEATURE. No SAR shall provide for any feature for the deferral of compensation other than the deferral of recognition of income until the exercise or disposition of the SAR.</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DIVIDEND EQUIVALENTS. No SAR shall provide for Dividend Equivalents.</w:t>
      </w:r>
    </w:p>
    <w:p>
      <w:pPr>
        <w:spacing w:after="0" w:line="225" w:lineRule="exact"/>
        <w:rPr>
          <w:rFonts w:ascii="Arial" w:cs="Arial" w:eastAsia="Arial" w:hAnsi="Arial"/>
          <w:sz w:val="18"/>
          <w:szCs w:val="18"/>
          <w:color w:val="auto"/>
        </w:rPr>
      </w:pPr>
    </w:p>
    <w:p>
      <w:pPr>
        <w:jc w:val="both"/>
        <w:ind w:firstLine="1304"/>
        <w:spacing w:after="0" w:line="264" w:lineRule="auto"/>
        <w:tabs>
          <w:tab w:leader="none" w:pos="193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83</w:t>
      </w:r>
    </w:p>
    <w:p>
      <w:pPr>
        <w:sectPr>
          <w:pgSz w:w="11900" w:h="16838" w:orient="portrait"/>
          <w:cols w:equalWidth="0" w:num="1">
            <w:col w:w="11240"/>
          </w:cols>
          <w:pgMar w:left="320" w:top="1143" w:right="339" w:bottom="1440" w:gutter="0" w:footer="0" w:header="0"/>
        </w:sectPr>
      </w:pPr>
    </w:p>
    <w:bookmarkStart w:id="91" w:name="page92"/>
    <w:bookmarkEnd w:id="91"/>
    <w:p>
      <w:pPr>
        <w:ind w:left="5300"/>
        <w:spacing w:after="0"/>
        <w:rPr>
          <w:sz w:val="20"/>
          <w:szCs w:val="20"/>
          <w:color w:val="auto"/>
        </w:rPr>
      </w:pPr>
      <w:r>
        <w:rPr>
          <w:rFonts w:ascii="Arial" w:cs="Arial" w:eastAsia="Arial" w:hAnsi="Arial"/>
          <w:sz w:val="18"/>
          <w:szCs w:val="18"/>
          <w:b w:val="1"/>
          <w:bCs w:val="1"/>
          <w:color w:val="auto"/>
        </w:rPr>
        <w:t>ARTICLE 9.</w:t>
      </w:r>
    </w:p>
    <w:p>
      <w:pPr>
        <w:spacing w:after="0" w:line="3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PERFORMANCE SHARES</w:t>
      </w:r>
    </w:p>
    <w:p>
      <w:pPr>
        <w:spacing w:after="0" w:line="203"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PERFORMANCE SHARES</w:t>
      </w:r>
      <w:r>
        <w:rPr>
          <w:rFonts w:ascii="Arial" w:cs="Arial" w:eastAsia="Arial" w:hAnsi="Arial"/>
          <w:sz w:val="18"/>
          <w:szCs w:val="18"/>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RIGHT TO PAYMENT</w:t>
      </w:r>
      <w:r>
        <w:rPr>
          <w:rFonts w:ascii="Arial" w:cs="Arial" w:eastAsia="Arial" w:hAnsi="Arial"/>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75" w:lineRule="exact"/>
        <w:rPr>
          <w:sz w:val="20"/>
          <w:szCs w:val="20"/>
          <w:color w:val="auto"/>
        </w:rPr>
      </w:pPr>
    </w:p>
    <w:p>
      <w:pPr>
        <w:ind w:right="360" w:firstLine="648"/>
        <w:spacing w:after="0" w:line="29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25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10.</w:t>
      </w:r>
    </w:p>
    <w:p>
      <w:pPr>
        <w:spacing w:after="0" w:line="3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0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RESTRICTED STOCK AND RESTRICTED STOCK UNITS</w:t>
      </w:r>
      <w:r>
        <w:rPr>
          <w:rFonts w:ascii="Arial" w:cs="Arial" w:eastAsia="Arial" w:hAnsi="Arial"/>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6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00"/>
          </w:cols>
          <w:pgMar w:left="320" w:top="1249" w:right="379" w:bottom="1440" w:gutter="0" w:footer="0" w:header="0"/>
        </w:sectPr>
      </w:pPr>
    </w:p>
    <w:bookmarkStart w:id="92" w:name="page93"/>
    <w:bookmarkEnd w:id="92"/>
    <w:p>
      <w:pPr>
        <w:ind w:right="140"/>
        <w:spacing w:after="0" w:line="264" w:lineRule="auto"/>
        <w:rPr>
          <w:sz w:val="20"/>
          <w:szCs w:val="20"/>
          <w:color w:val="auto"/>
        </w:rPr>
      </w:pPr>
      <w:r>
        <w:rPr>
          <w:rFonts w:ascii="Arial" w:cs="Arial" w:eastAsia="Arial" w:hAnsi="Arial"/>
          <w:sz w:val="18"/>
          <w:szCs w:val="18"/>
          <w:color w:val="auto"/>
        </w:rPr>
        <w:t>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69"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29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11.</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DEFERRED STOCK UNITS</w:t>
      </w:r>
    </w:p>
    <w:p>
      <w:pPr>
        <w:spacing w:after="0" w:line="203"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12.</w:t>
      </w:r>
    </w:p>
    <w:p>
      <w:pPr>
        <w:spacing w:after="0" w:line="3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DIVIDEND EQUIVALENTS</w:t>
      </w:r>
    </w:p>
    <w:p>
      <w:pPr>
        <w:spacing w:after="0" w:line="20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85</w:t>
      </w:r>
    </w:p>
    <w:p>
      <w:pPr>
        <w:sectPr>
          <w:pgSz w:w="11900" w:h="16838" w:orient="portrait"/>
          <w:cols w:equalWidth="0" w:num="1">
            <w:col w:w="11240"/>
          </w:cols>
          <w:pgMar w:left="320" w:top="1143" w:right="339" w:bottom="1440" w:gutter="0" w:footer="0" w:header="0"/>
        </w:sectPr>
      </w:pPr>
    </w:p>
    <w:bookmarkStart w:id="93" w:name="page94"/>
    <w:bookmarkEnd w:id="93"/>
    <w:p>
      <w:pPr>
        <w:ind w:right="260"/>
        <w:spacing w:after="0" w:line="264" w:lineRule="auto"/>
        <w:rPr>
          <w:sz w:val="20"/>
          <w:szCs w:val="20"/>
          <w:color w:val="auto"/>
        </w:rPr>
      </w:pPr>
      <w:r>
        <w:rPr>
          <w:rFonts w:ascii="Arial" w:cs="Arial" w:eastAsia="Arial" w:hAnsi="Arial"/>
          <w:sz w:val="18"/>
          <w:szCs w:val="18"/>
          <w:color w:val="auto"/>
        </w:rPr>
        <w:t>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13.</w:t>
      </w:r>
    </w:p>
    <w:p>
      <w:pPr>
        <w:spacing w:after="0" w:line="3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STOCK OR OTHER STOCK-BASED AWARDS</w:t>
      </w:r>
    </w:p>
    <w:p>
      <w:pPr>
        <w:spacing w:after="0" w:line="20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14.</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PROVISIONS APPLICABLE TO AWARDS</w:t>
      </w:r>
    </w:p>
    <w:p>
      <w:pPr>
        <w:spacing w:after="0" w:line="20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eight years from its Grant Date.</w:t>
      </w:r>
    </w:p>
    <w:p>
      <w:pPr>
        <w:spacing w:after="0" w:line="163" w:lineRule="exact"/>
        <w:rPr>
          <w:sz w:val="20"/>
          <w:szCs w:val="20"/>
          <w:color w:val="auto"/>
        </w:rPr>
      </w:pPr>
    </w:p>
    <w:p>
      <w:pPr>
        <w:ind w:right="320" w:firstLine="648"/>
        <w:spacing w:after="0" w:line="260"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FORM OF PAYMENT FOR AWARDS</w:t>
      </w:r>
      <w:r>
        <w:rPr>
          <w:rFonts w:ascii="Arial" w:cs="Arial" w:eastAsia="Arial" w:hAnsi="Arial"/>
          <w:sz w:val="18"/>
          <w:szCs w:val="18"/>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i w:val="1"/>
          <w:iCs w:val="1"/>
          <w:color w:val="auto"/>
        </w:rPr>
        <w:t>BENEFICIARIES</w:t>
      </w:r>
      <w:r>
        <w:rPr>
          <w:rFonts w:ascii="Arial" w:cs="Arial" w:eastAsia="Arial" w:hAnsi="Arial"/>
          <w:sz w:val="18"/>
          <w:szCs w:val="18"/>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143" w:right="359" w:bottom="1440" w:gutter="0" w:footer="0" w:header="0"/>
        </w:sectPr>
      </w:pPr>
    </w:p>
    <w:bookmarkStart w:id="94" w:name="page95"/>
    <w:bookmarkEnd w:id="94"/>
    <w:p>
      <w:pPr>
        <w:ind w:right="600"/>
        <w:spacing w:after="0" w:line="292" w:lineRule="auto"/>
        <w:rPr>
          <w:sz w:val="20"/>
          <w:szCs w:val="20"/>
          <w:color w:val="auto"/>
        </w:rPr>
      </w:pPr>
      <w:r>
        <w:rPr>
          <w:rFonts w:ascii="Arial" w:cs="Arial" w:eastAsia="Arial" w:hAnsi="Arial"/>
          <w:sz w:val="18"/>
          <w:szCs w:val="18"/>
          <w:color w:val="auto"/>
        </w:rPr>
        <w:t>estate. Subject to the foregoing, a beneficiary designation may be changed or revoked by a Participant, in the manner provided by the Company, at any time provided the change or revocation is filed with the Committee.</w:t>
      </w:r>
    </w:p>
    <w:p>
      <w:pPr>
        <w:spacing w:after="0" w:line="14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69"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EFFECT OF A CHANGE IN CONTROL</w:t>
      </w:r>
      <w:r>
        <w:rPr>
          <w:rFonts w:ascii="Arial" w:cs="Arial" w:eastAsia="Arial" w:hAnsi="Arial"/>
          <w:sz w:val="18"/>
          <w:szCs w:val="18"/>
          <w:color w:val="auto"/>
        </w:rPr>
        <w:t>. The provisions of this Section 14.7 shall apply in the case of a Change in Control, unless otherwise provided in the Award Certificate or any special Plan document or separate agreement with a Participant governing an Award.</w:t>
      </w:r>
    </w:p>
    <w:p>
      <w:pPr>
        <w:spacing w:after="0" w:line="163" w:lineRule="exact"/>
        <w:rPr>
          <w:sz w:val="20"/>
          <w:szCs w:val="20"/>
          <w:color w:val="auto"/>
        </w:rPr>
      </w:pPr>
    </w:p>
    <w:p>
      <w:pPr>
        <w:ind w:right="120" w:firstLine="1304"/>
        <w:spacing w:after="0" w:line="264" w:lineRule="auto"/>
        <w:tabs>
          <w:tab w:leader="none" w:pos="193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AWARDS ASSUMED OR SUBSTITUTED BY SURVIVING CORPORATION. With respect to Awards assumed by the Surviving Corporation or otherwise equitably converted or substituted in connection with a Change in Control: if within one year after the effective date of the Change in Control, a Participant’s employment is terminated without Cause or the Participant resigns for Good Reason, then:</w:t>
      </w:r>
    </w:p>
    <w:p>
      <w:pPr>
        <w:spacing w:after="0" w:line="169" w:lineRule="exact"/>
        <w:rPr>
          <w:rFonts w:ascii="Arial" w:cs="Arial" w:eastAsia="Arial" w:hAnsi="Arial"/>
          <w:sz w:val="18"/>
          <w:szCs w:val="18"/>
          <w:color w:val="auto"/>
        </w:rPr>
      </w:pPr>
    </w:p>
    <w:p>
      <w:pPr>
        <w:ind w:left="660" w:right="220" w:firstLine="1292"/>
        <w:spacing w:after="0" w:line="271" w:lineRule="auto"/>
        <w:tabs>
          <w:tab w:leader="none" w:pos="260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62" w:lineRule="exact"/>
        <w:rPr>
          <w:rFonts w:ascii="Arial" w:cs="Arial" w:eastAsia="Arial" w:hAnsi="Arial"/>
          <w:sz w:val="18"/>
          <w:szCs w:val="18"/>
          <w:color w:val="auto"/>
        </w:rPr>
      </w:pPr>
    </w:p>
    <w:p>
      <w:pPr>
        <w:ind w:left="660" w:right="240" w:firstLine="1292"/>
        <w:spacing w:after="0" w:line="292" w:lineRule="auto"/>
        <w:tabs>
          <w:tab w:leader="none" w:pos="26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of that Participant’s outstanding Awards other than Options and SARs that are subject to time-based vesting restrictions shall become vested and such restrictions shall lapse as of the date of termination; and</w:t>
      </w:r>
    </w:p>
    <w:p>
      <w:pPr>
        <w:spacing w:after="0" w:line="144" w:lineRule="exact"/>
        <w:rPr>
          <w:rFonts w:ascii="Arial" w:cs="Arial" w:eastAsia="Arial" w:hAnsi="Arial"/>
          <w:sz w:val="18"/>
          <w:szCs w:val="18"/>
          <w:color w:val="auto"/>
        </w:rPr>
      </w:pPr>
    </w:p>
    <w:p>
      <w:pPr>
        <w:ind w:left="660" w:right="40" w:firstLine="1292"/>
        <w:spacing w:after="0" w:line="260" w:lineRule="auto"/>
        <w:tabs>
          <w:tab w:leader="none" w:pos="26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17.3 hereof), based upon the length of time within the performance period that has elapsed prior to the date of termination of employment.</w:t>
      </w:r>
    </w:p>
    <w:p>
      <w:pPr>
        <w:spacing w:after="0" w:line="175"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With regard to each Award, a Participant shall not be considered to have resigned for Good Reason unless the Award Certificate includes such provision. To the extent that this provision causes Incentive Stock Options to exceed the dollar limitation set forth in Code Section 422(d), the excess Options shall be deemed to be Nonstatutory Stock Options.</w:t>
      </w:r>
    </w:p>
    <w:p>
      <w:pPr>
        <w:spacing w:after="0" w:line="163" w:lineRule="exact"/>
        <w:rPr>
          <w:sz w:val="20"/>
          <w:szCs w:val="20"/>
          <w:color w:val="auto"/>
        </w:rPr>
      </w:pPr>
    </w:p>
    <w:p>
      <w:pPr>
        <w:ind w:right="20" w:firstLine="1304"/>
        <w:spacing w:after="0" w:line="271" w:lineRule="auto"/>
        <w:tabs>
          <w:tab w:leader="none" w:pos="193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AWARDS NOT ASSUMED OR SUBSTITUTED BY SURVIVING CORPORATION. Upon the occurrence of a Change in Control, and except with respect to any Awards assumed by the Surviving Corporation or otherwise equitably converted or substituted in connection with the Change in Control in a manner approved by the Committee or the Board:</w:t>
      </w:r>
    </w:p>
    <w:p>
      <w:pPr>
        <w:spacing w:after="0" w:line="162" w:lineRule="exact"/>
        <w:rPr>
          <w:rFonts w:ascii="Arial" w:cs="Arial" w:eastAsia="Arial" w:hAnsi="Arial"/>
          <w:sz w:val="18"/>
          <w:szCs w:val="18"/>
          <w:color w:val="auto"/>
        </w:rPr>
      </w:pPr>
    </w:p>
    <w:p>
      <w:pPr>
        <w:jc w:val="both"/>
        <w:ind w:left="660" w:right="540" w:firstLine="1292"/>
        <w:spacing w:after="0" w:line="271" w:lineRule="auto"/>
        <w:tabs>
          <w:tab w:leader="none" w:pos="260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outstanding Options, SARs, and other Awards in the nature of rights that may be exercised that are subject to time-based vesting requirements shall become vested and fully exercisable as of the effective date of the Change in Control;</w:t>
      </w:r>
    </w:p>
    <w:p>
      <w:pPr>
        <w:spacing w:after="0" w:line="162" w:lineRule="exact"/>
        <w:rPr>
          <w:rFonts w:ascii="Arial" w:cs="Arial" w:eastAsia="Arial" w:hAnsi="Arial"/>
          <w:sz w:val="18"/>
          <w:szCs w:val="18"/>
          <w:color w:val="auto"/>
        </w:rPr>
      </w:pPr>
    </w:p>
    <w:p>
      <w:pPr>
        <w:ind w:left="660" w:right="60" w:firstLine="1292"/>
        <w:spacing w:after="0" w:line="292" w:lineRule="auto"/>
        <w:tabs>
          <w:tab w:leader="none" w:pos="260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outstanding Awards other than Options and SARs that are subject to time-based vesting restrictions shall become vested and such restrictions shall lapse as of the effective date of the Change in Control, and</w:t>
      </w:r>
    </w:p>
    <w:p>
      <w:pPr>
        <w:spacing w:after="0" w:line="144" w:lineRule="exact"/>
        <w:rPr>
          <w:rFonts w:ascii="Arial" w:cs="Arial" w:eastAsia="Arial" w:hAnsi="Arial"/>
          <w:sz w:val="18"/>
          <w:szCs w:val="18"/>
          <w:color w:val="auto"/>
        </w:rPr>
      </w:pPr>
    </w:p>
    <w:p>
      <w:pPr>
        <w:ind w:left="660" w:right="120" w:firstLine="1292"/>
        <w:spacing w:after="0" w:line="260" w:lineRule="auto"/>
        <w:tabs>
          <w:tab w:leader="none" w:pos="260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17.3 hereof), based upon the length of time within the performance period that has elapsed prior to the Change in Control.</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87</w:t>
      </w:r>
    </w:p>
    <w:p>
      <w:pPr>
        <w:sectPr>
          <w:pgSz w:w="11900" w:h="16838" w:orient="portrait"/>
          <w:cols w:equalWidth="0" w:num="1">
            <w:col w:w="11240"/>
          </w:cols>
          <w:pgMar w:left="320" w:top="1143" w:right="339" w:bottom="1440" w:gutter="0" w:footer="0" w:header="0"/>
        </w:sectPr>
      </w:pPr>
    </w:p>
    <w:bookmarkStart w:id="95" w:name="page96"/>
    <w:bookmarkEnd w:id="95"/>
    <w:p>
      <w:pPr>
        <w:ind w:right="220" w:firstLine="648"/>
        <w:spacing w:after="0" w:line="292" w:lineRule="auto"/>
        <w:rPr>
          <w:sz w:val="20"/>
          <w:szCs w:val="20"/>
          <w:color w:val="auto"/>
        </w:rPr>
      </w:pPr>
      <w:r>
        <w:rPr>
          <w:rFonts w:ascii="Arial" w:cs="Arial" w:eastAsia="Arial" w:hAnsi="Arial"/>
          <w:sz w:val="18"/>
          <w:szCs w:val="18"/>
          <w:color w:val="auto"/>
        </w:rPr>
        <w:t>To the extent that this provision causes Incentive Stock Options to exceed the dollar limitation set forth in Code Section 422(d), the excess Options shall be deemed to be Nonstatutory Stock Options.</w:t>
      </w:r>
    </w:p>
    <w:p>
      <w:pPr>
        <w:spacing w:after="0" w:line="144"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Except as otherwise provided in the Award Certificate or any special Plan document governing an Award, upon the termination of a Participant’s Continuous Status as a Participant by reason of his or her death or Disability:</w:t>
      </w:r>
    </w:p>
    <w:p>
      <w:pPr>
        <w:spacing w:after="0" w:line="163" w:lineRule="exact"/>
        <w:rPr>
          <w:sz w:val="20"/>
          <w:szCs w:val="20"/>
          <w:color w:val="auto"/>
        </w:rPr>
      </w:pPr>
    </w:p>
    <w:p>
      <w:pPr>
        <w:ind w:left="660" w:right="160" w:firstLine="1292"/>
        <w:spacing w:after="0" w:line="258" w:lineRule="auto"/>
        <w:tabs>
          <w:tab w:leader="none" w:pos="260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such Participant’s outstanding Options, SARs, and other Awards in the nature of rights that may be exercised that are solely subject to time-based vesting requirements shall become vested and fully exercisable as of the date of termination of Continuous Status as a Participant, and shall thereafter remain exercisable for a period of twelve (12) months or until the earlier expiration of the original term of the Option, SAR or other Award; provided, however, the to the extent that an Incentive Stock Option is exercised more than three (3) months after a Participant’s Continuous Status as a Participant terminates by reason of his or her Disability, the Option shall be deemed to be Nonstatutory Stock Option,</w:t>
      </w:r>
    </w:p>
    <w:p>
      <w:pPr>
        <w:spacing w:after="0" w:line="176" w:lineRule="exact"/>
        <w:rPr>
          <w:rFonts w:ascii="Arial" w:cs="Arial" w:eastAsia="Arial" w:hAnsi="Arial"/>
          <w:sz w:val="18"/>
          <w:szCs w:val="18"/>
          <w:color w:val="auto"/>
        </w:rPr>
      </w:pPr>
    </w:p>
    <w:p>
      <w:pPr>
        <w:ind w:left="660" w:right="540" w:firstLine="1292"/>
        <w:spacing w:after="0" w:line="292" w:lineRule="auto"/>
        <w:tabs>
          <w:tab w:leader="none" w:pos="26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time-based vesting restrictions on the Participant’s outstanding Awards shall lapse as of the date of termination of Continuous Status as a Participant, and</w:t>
      </w:r>
    </w:p>
    <w:p>
      <w:pPr>
        <w:spacing w:after="0" w:line="144" w:lineRule="exact"/>
        <w:rPr>
          <w:rFonts w:ascii="Arial" w:cs="Arial" w:eastAsia="Arial" w:hAnsi="Arial"/>
          <w:sz w:val="18"/>
          <w:szCs w:val="18"/>
          <w:color w:val="auto"/>
        </w:rPr>
      </w:pPr>
    </w:p>
    <w:p>
      <w:pPr>
        <w:ind w:left="660" w:right="20" w:firstLine="1292"/>
        <w:spacing w:after="0" w:line="258" w:lineRule="auto"/>
        <w:tabs>
          <w:tab w:leader="none" w:pos="26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target payout opportunities attainable under all of such Participant’s outstanding performance-based Awards shall be deemed to have been fully earned as of the date of termination of Continuous Status as a Participant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of Continuous Status as a Participant.</w:t>
      </w:r>
    </w:p>
    <w:p>
      <w:pPr>
        <w:spacing w:after="0" w:line="177"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Except as otherwise provided in this Section 14.8, any Awards shall thereafter continue or lapse in accordance with the other provisions of the Plan and the Awards Certificate. Notwithstanding the foregoing, in the case of a Participant’s termination of Continuous Status as a Participant by reason of Disability, this Section 14.8 shall apply to such Participant only if the designated person in the Participant’s employer’s Human Resources Department has received a copy of the Disability Notice before processing the Participant’s termination. To the extent that this provision causes Incentive Stock Options to exceed the dollar limitation set forth in Code Section 422(d), the excess Options shall be deemed to be Nonstatutory Stock Options.</w:t>
      </w:r>
    </w:p>
    <w:p>
      <w:pPr>
        <w:spacing w:after="0" w:line="17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Regardless of whether an event has occurred as described in Section 14.7 or 14.8 above, and subject to Section 5.5 as to Full-Value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i w:val="1"/>
          <w:iCs w:val="1"/>
          <w:color w:val="auto"/>
        </w:rPr>
        <w:t>EFFECT OF ACCELERATION</w:t>
      </w:r>
      <w:r>
        <w:rPr>
          <w:rFonts w:ascii="Arial" w:cs="Arial" w:eastAsia="Arial" w:hAnsi="Arial"/>
          <w:sz w:val="18"/>
          <w:szCs w:val="18"/>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143" w:right="339" w:bottom="1440" w:gutter="0" w:footer="0" w:header="0"/>
        </w:sectPr>
      </w:pPr>
    </w:p>
    <w:bookmarkStart w:id="96" w:name="page97"/>
    <w:bookmarkEnd w:id="96"/>
    <w:p>
      <w:pPr>
        <w:ind w:firstLine="648"/>
        <w:spacing w:after="0" w:line="256"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FORFEITURE EVENTS</w:t>
      </w:r>
      <w:r>
        <w:rPr>
          <w:rFonts w:ascii="Arial" w:cs="Arial" w:eastAsia="Arial" w:hAnsi="Arial"/>
          <w:sz w:val="18"/>
          <w:szCs w:val="18"/>
          <w:color w:val="auto"/>
        </w:rPr>
        <w:t>.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1"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SUBSTITUTE AWARDS</w:t>
      </w:r>
      <w:r>
        <w:rPr>
          <w:rFonts w:ascii="Arial" w:cs="Arial" w:eastAsia="Arial" w:hAnsi="Arial"/>
          <w:sz w:val="18"/>
          <w:szCs w:val="18"/>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15.</w:t>
      </w:r>
    </w:p>
    <w:p>
      <w:pPr>
        <w:spacing w:after="0" w:line="3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CHANGES IN CAPITAL STRUCTURE</w:t>
      </w:r>
    </w:p>
    <w:p>
      <w:pPr>
        <w:spacing w:after="0" w:line="20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MANDATORY ADJUSTMENTS</w:t>
      </w:r>
      <w:r>
        <w:rPr>
          <w:rFonts w:ascii="Arial" w:cs="Arial" w:eastAsia="Arial" w:hAnsi="Arial"/>
          <w:sz w:val="18"/>
          <w:szCs w:val="18"/>
          <w:color w:val="auto"/>
        </w:rPr>
        <w:t>.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w:t>
      </w:r>
    </w:p>
    <w:p>
      <w:pPr>
        <w:spacing w:after="0" w:line="2" w:lineRule="exact"/>
        <w:rPr>
          <w:sz w:val="20"/>
          <w:szCs w:val="20"/>
          <w:color w:val="auto"/>
        </w:rPr>
      </w:pPr>
    </w:p>
    <w:p>
      <w:pPr>
        <w:ind w:right="40" w:firstLine="8"/>
        <w:spacing w:after="0" w:line="254" w:lineRule="auto"/>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179" w:lineRule="exact"/>
        <w:rPr>
          <w:sz w:val="20"/>
          <w:szCs w:val="20"/>
          <w:color w:val="auto"/>
        </w:rPr>
      </w:pPr>
    </w:p>
    <w:p>
      <w:pPr>
        <w:ind w:right="220" w:firstLine="648"/>
        <w:spacing w:after="0" w:line="260"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89</w:t>
      </w:r>
    </w:p>
    <w:p>
      <w:pPr>
        <w:sectPr>
          <w:pgSz w:w="11900" w:h="16838" w:orient="portrait"/>
          <w:cols w:equalWidth="0" w:num="1">
            <w:col w:w="11240"/>
          </w:cols>
          <w:pgMar w:left="320" w:top="1143" w:right="339" w:bottom="1440" w:gutter="0" w:footer="0" w:header="0"/>
        </w:sectPr>
      </w:pPr>
    </w:p>
    <w:bookmarkStart w:id="97" w:name="page98"/>
    <w:bookmarkEnd w:id="97"/>
    <w:p>
      <w:pPr>
        <w:ind w:right="80"/>
        <w:spacing w:after="0" w:line="258" w:lineRule="auto"/>
        <w:rPr>
          <w:sz w:val="20"/>
          <w:szCs w:val="20"/>
          <w:color w:val="auto"/>
        </w:rPr>
      </w:pPr>
      <w:r>
        <w:rPr>
          <w:rFonts w:ascii="Arial" w:cs="Arial" w:eastAsia="Arial" w:hAnsi="Arial"/>
          <w:sz w:val="18"/>
          <w:szCs w:val="18"/>
          <w:color w:val="auto"/>
        </w:rPr>
        <w:t>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or (vi) any combination of the foregoing. The Committee’s determination need not be uniform and may be different for different Participants whether or not such Participants are similarly situated.</w:t>
      </w:r>
    </w:p>
    <w:p>
      <w:pPr>
        <w:spacing w:after="0" w:line="177"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GENERAL</w:t>
      </w:r>
      <w:r>
        <w:rPr>
          <w:rFonts w:ascii="Arial" w:cs="Arial" w:eastAsia="Arial" w:hAnsi="Arial"/>
          <w:sz w:val="18"/>
          <w:szCs w:val="18"/>
          <w:color w:val="auto"/>
        </w:rPr>
        <w:t>.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16.</w:t>
      </w:r>
    </w:p>
    <w:p>
      <w:pPr>
        <w:spacing w:after="0" w:line="3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0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shareholders of the Company for any reason, including by reason of such approval being necessary or deemed advisable to (i) 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85" w:lineRule="exact"/>
        <w:rPr>
          <w:sz w:val="20"/>
          <w:szCs w:val="20"/>
          <w:color w:val="auto"/>
        </w:rPr>
      </w:pPr>
    </w:p>
    <w:p>
      <w:pPr>
        <w:ind w:right="60" w:firstLine="648"/>
        <w:spacing w:after="0" w:line="292"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144" w:lineRule="exact"/>
        <w:rPr>
          <w:sz w:val="20"/>
          <w:szCs w:val="20"/>
          <w:color w:val="auto"/>
        </w:rPr>
      </w:pPr>
    </w:p>
    <w:p>
      <w:pPr>
        <w:ind w:firstLine="1304"/>
        <w:spacing w:after="0" w:line="260" w:lineRule="auto"/>
        <w:tabs>
          <w:tab w:leader="none" w:pos="19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74" w:lineRule="exact"/>
        <w:rPr>
          <w:rFonts w:ascii="Arial" w:cs="Arial" w:eastAsia="Arial" w:hAnsi="Arial"/>
          <w:sz w:val="18"/>
          <w:szCs w:val="18"/>
          <w:color w:val="auto"/>
        </w:rPr>
      </w:pPr>
    </w:p>
    <w:p>
      <w:pPr>
        <w:ind w:right="380" w:firstLine="1304"/>
        <w:spacing w:after="0" w:line="292" w:lineRule="auto"/>
        <w:tabs>
          <w:tab w:leader="none" w:pos="19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original term of an Option or Stock Appreciation Right may not be extended without the prior approval of the shareholders of the Company;</w:t>
      </w:r>
    </w:p>
    <w:p>
      <w:pPr>
        <w:spacing w:after="0" w:line="144" w:lineRule="exact"/>
        <w:rPr>
          <w:rFonts w:ascii="Arial" w:cs="Arial" w:eastAsia="Arial" w:hAnsi="Arial"/>
          <w:sz w:val="18"/>
          <w:szCs w:val="18"/>
          <w:color w:val="auto"/>
        </w:rPr>
      </w:pPr>
    </w:p>
    <w:p>
      <w:pPr>
        <w:ind w:right="100" w:firstLine="1304"/>
        <w:spacing w:after="0" w:line="258" w:lineRule="auto"/>
        <w:tabs>
          <w:tab w:leader="none" w:pos="19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76" w:lineRule="exact"/>
        <w:rPr>
          <w:rFonts w:ascii="Arial" w:cs="Arial" w:eastAsia="Arial" w:hAnsi="Arial"/>
          <w:sz w:val="18"/>
          <w:szCs w:val="18"/>
          <w:color w:val="auto"/>
        </w:rPr>
      </w:pPr>
    </w:p>
    <w:p>
      <w:pPr>
        <w:ind w:right="240" w:firstLine="1304"/>
        <w:spacing w:after="0" w:line="292" w:lineRule="auto"/>
        <w:tabs>
          <w:tab w:leader="none" w:pos="19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termination, amendment, or modification of the Plan shall adversely affect any Award previously granted under the Plan, without the written consent of the Participant affected thereby. An outstanding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90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143" w:right="339" w:bottom="1440" w:gutter="0" w:footer="0" w:header="0"/>
        </w:sectPr>
      </w:pPr>
    </w:p>
    <w:bookmarkStart w:id="98" w:name="page99"/>
    <w:bookmarkEnd w:id="98"/>
    <w:p>
      <w:pPr>
        <w:ind w:right="60"/>
        <w:spacing w:after="0" w:line="264" w:lineRule="auto"/>
        <w:rPr>
          <w:sz w:val="20"/>
          <w:szCs w:val="20"/>
          <w:color w:val="auto"/>
        </w:rPr>
      </w:pPr>
      <w:r>
        <w:rPr>
          <w:rFonts w:ascii="Arial" w:cs="Arial" w:eastAsia="Arial" w:hAnsi="Arial"/>
          <w:sz w:val="18"/>
          <w:szCs w:val="18"/>
          <w:color w:val="auto"/>
        </w:rPr>
        <w:t>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69"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COMPLIANCE AMENDMENTS</w:t>
      </w:r>
      <w:r>
        <w:rPr>
          <w:rFonts w:ascii="Arial" w:cs="Arial" w:eastAsia="Arial" w:hAnsi="Arial"/>
          <w:sz w:val="18"/>
          <w:szCs w:val="18"/>
          <w:color w:val="auto"/>
        </w:rPr>
        <w:t>.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17.</w:t>
      </w:r>
    </w:p>
    <w:p>
      <w:pPr>
        <w:spacing w:after="0" w:line="3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GENERAL PROVISIONS</w:t>
      </w:r>
    </w:p>
    <w:p>
      <w:pPr>
        <w:spacing w:after="0" w:line="20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69" w:lineRule="exact"/>
        <w:rPr>
          <w:sz w:val="20"/>
          <w:szCs w:val="20"/>
          <w:color w:val="auto"/>
        </w:rPr>
      </w:pPr>
    </w:p>
    <w:p>
      <w:pPr>
        <w:ind w:right="220" w:firstLine="648"/>
        <w:spacing w:after="0" w:line="292"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i w:val="1"/>
          <w:iCs w:val="1"/>
          <w:color w:val="auto"/>
        </w:rPr>
        <w:t>SPECIAL PROVISIONS RELATED TO SECTION 409A OF THE CODE</w:t>
      </w:r>
      <w:r>
        <w:rPr>
          <w:rFonts w:ascii="Arial" w:cs="Arial" w:eastAsia="Arial" w:hAnsi="Arial"/>
          <w:sz w:val="17"/>
          <w:szCs w:val="17"/>
          <w:color w:val="auto"/>
        </w:rPr>
        <w:t>.</w:t>
      </w:r>
    </w:p>
    <w:p>
      <w:pPr>
        <w:spacing w:after="0" w:line="225" w:lineRule="exact"/>
        <w:rPr>
          <w:sz w:val="20"/>
          <w:szCs w:val="20"/>
          <w:color w:val="auto"/>
        </w:rPr>
      </w:pPr>
    </w:p>
    <w:p>
      <w:pPr>
        <w:ind w:right="20" w:firstLine="1304"/>
        <w:spacing w:after="0" w:line="258" w:lineRule="auto"/>
        <w:tabs>
          <w:tab w:leader="none" w:pos="19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76" w:lineRule="exact"/>
        <w:rPr>
          <w:rFonts w:ascii="Arial" w:cs="Arial" w:eastAsia="Arial" w:hAnsi="Arial"/>
          <w:sz w:val="18"/>
          <w:szCs w:val="18"/>
          <w:color w:val="auto"/>
        </w:rPr>
      </w:pPr>
    </w:p>
    <w:p>
      <w:pPr>
        <w:ind w:right="20" w:firstLine="1304"/>
        <w:spacing w:after="0" w:line="254" w:lineRule="auto"/>
        <w:tabs>
          <w:tab w:leader="none" w:pos="193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to the extent that any amount or benefit that would constitute non-exempt “deferred compensation” for purposes of Section 409A of the Code (“</w:t>
      </w:r>
      <w:r>
        <w:rPr>
          <w:rFonts w:ascii="Arial" w:cs="Arial" w:eastAsia="Arial" w:hAnsi="Arial"/>
          <w:sz w:val="18"/>
          <w:szCs w:val="18"/>
          <w:u w:val="single" w:color="auto"/>
          <w:color w:val="auto"/>
        </w:rPr>
        <w:t>Non-Exempt Deferred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Arial" w:cs="Arial" w:eastAsia="Arial" w:hAnsi="Arial"/>
          <w:sz w:val="18"/>
          <w:szCs w:val="18"/>
          <w:i w:val="1"/>
          <w:iCs w:val="1"/>
          <w:color w:val="auto"/>
        </w:rPr>
        <w:t>vesting</w:t>
      </w:r>
      <w:r>
        <w:rPr>
          <w:rFonts w:ascii="Arial" w:cs="Arial" w:eastAsia="Arial" w:hAnsi="Arial"/>
          <w:sz w:val="18"/>
          <w:szCs w:val="18"/>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79" w:lineRule="exact"/>
        <w:rPr>
          <w:rFonts w:ascii="Arial" w:cs="Arial" w:eastAsia="Arial" w:hAnsi="Arial"/>
          <w:sz w:val="18"/>
          <w:szCs w:val="18"/>
          <w:color w:val="auto"/>
        </w:rPr>
      </w:pPr>
    </w:p>
    <w:p>
      <w:pPr>
        <w:jc w:val="both"/>
        <w:ind w:right="260" w:firstLine="1304"/>
        <w:spacing w:after="0" w:line="264" w:lineRule="auto"/>
        <w:tabs>
          <w:tab w:leader="none" w:pos="19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91</w:t>
      </w:r>
    </w:p>
    <w:p>
      <w:pPr>
        <w:sectPr>
          <w:pgSz w:w="11900" w:h="16838" w:orient="portrait"/>
          <w:cols w:equalWidth="0" w:num="1">
            <w:col w:w="11240"/>
          </w:cols>
          <w:pgMar w:left="320" w:top="1143" w:right="339" w:bottom="1440" w:gutter="0" w:footer="0" w:header="0"/>
        </w:sectPr>
      </w:pPr>
    </w:p>
    <w:bookmarkStart w:id="99" w:name="page100"/>
    <w:bookmarkEnd w:id="99"/>
    <w:p>
      <w:pPr>
        <w:ind w:right="80" w:firstLine="1304"/>
        <w:spacing w:after="0" w:line="260" w:lineRule="auto"/>
        <w:tabs>
          <w:tab w:leader="none" w:pos="19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74" w:lineRule="exact"/>
        <w:rPr>
          <w:rFonts w:ascii="Arial" w:cs="Arial" w:eastAsia="Arial" w:hAnsi="Arial"/>
          <w:sz w:val="18"/>
          <w:szCs w:val="18"/>
          <w:color w:val="auto"/>
        </w:rPr>
      </w:pPr>
    </w:p>
    <w:p>
      <w:pPr>
        <w:ind w:left="660" w:right="180" w:firstLine="1292"/>
        <w:spacing w:after="0" w:line="271" w:lineRule="auto"/>
        <w:tabs>
          <w:tab w:leader="none" w:pos="26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62" w:lineRule="exact"/>
        <w:rPr>
          <w:rFonts w:ascii="Arial" w:cs="Arial" w:eastAsia="Arial" w:hAnsi="Arial"/>
          <w:sz w:val="18"/>
          <w:szCs w:val="18"/>
          <w:color w:val="auto"/>
        </w:rPr>
      </w:pPr>
    </w:p>
    <w:p>
      <w:pPr>
        <w:ind w:left="660" w:right="80" w:firstLine="1292"/>
        <w:spacing w:after="0" w:line="258" w:lineRule="auto"/>
        <w:tabs>
          <w:tab w:leader="none" w:pos="26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7" w:lineRule="exact"/>
        <w:rPr>
          <w:sz w:val="20"/>
          <w:szCs w:val="20"/>
          <w:color w:val="auto"/>
        </w:rPr>
      </w:pPr>
    </w:p>
    <w:p>
      <w:pPr>
        <w:ind w:right="180" w:firstLine="648"/>
        <w:spacing w:after="0" w:line="260" w:lineRule="auto"/>
        <w:rPr>
          <w:sz w:val="20"/>
          <w:szCs w:val="20"/>
          <w:color w:val="auto"/>
        </w:rPr>
      </w:pPr>
      <w:r>
        <w:rPr>
          <w:rFonts w:ascii="Arial" w:cs="Arial" w:eastAsia="Arial" w:hAnsi="Arial"/>
          <w:sz w:val="18"/>
          <w:szCs w:val="18"/>
          <w:color w:val="auto"/>
        </w:rPr>
        <w:t xml:space="preserve">For purposes of this Plan, the term “Specified Employee” has the meaning given such term in Code Section 409A and the final regulations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75" w:lineRule="exact"/>
        <w:rPr>
          <w:sz w:val="20"/>
          <w:szCs w:val="20"/>
          <w:color w:val="auto"/>
        </w:rPr>
      </w:pPr>
    </w:p>
    <w:p>
      <w:pPr>
        <w:ind w:right="140" w:firstLine="1304"/>
        <w:spacing w:after="0" w:line="264" w:lineRule="auto"/>
        <w:tabs>
          <w:tab w:leader="none" w:pos="193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69" w:lineRule="exact"/>
        <w:rPr>
          <w:rFonts w:ascii="Arial" w:cs="Arial" w:eastAsia="Arial" w:hAnsi="Arial"/>
          <w:sz w:val="18"/>
          <w:szCs w:val="18"/>
          <w:color w:val="auto"/>
        </w:rPr>
      </w:pPr>
    </w:p>
    <w:p>
      <w:pPr>
        <w:ind w:right="180" w:firstLine="1304"/>
        <w:spacing w:after="0" w:line="271" w:lineRule="auto"/>
        <w:tabs>
          <w:tab w:leader="none" w:pos="19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62" w:lineRule="exact"/>
        <w:rPr>
          <w:rFonts w:ascii="Arial" w:cs="Arial" w:eastAsia="Arial" w:hAnsi="Arial"/>
          <w:sz w:val="18"/>
          <w:szCs w:val="18"/>
          <w:color w:val="auto"/>
        </w:rPr>
      </w:pPr>
    </w:p>
    <w:p>
      <w:pPr>
        <w:ind w:right="60" w:firstLine="1304"/>
        <w:spacing w:after="0" w:line="255" w:lineRule="auto"/>
        <w:tabs>
          <w:tab w:leader="none" w:pos="193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i w:val="1"/>
          <w:iCs w:val="1"/>
          <w:color w:val="auto"/>
        </w:rPr>
        <w:t>WITHHOLDING</w:t>
      </w:r>
      <w:r>
        <w:rPr>
          <w:rFonts w:ascii="Arial" w:cs="Arial" w:eastAsia="Arial" w:hAnsi="Arial"/>
          <w:sz w:val="18"/>
          <w:szCs w:val="18"/>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20"/>
          </w:cols>
          <w:pgMar w:left="320" w:top="1143"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such elections shall be subject to any restrictions or limitations that the Committee, in its sole discretion, deems appropriate.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7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i w:val="1"/>
          <w:iCs w:val="1"/>
          <w:color w:val="auto"/>
        </w:rPr>
        <w:t>UNFUNDED STATUS OF AWARDS</w:t>
      </w:r>
      <w:r>
        <w:rPr>
          <w:rFonts w:ascii="Arial" w:cs="Arial" w:eastAsia="Arial" w:hAnsi="Arial"/>
          <w:sz w:val="18"/>
          <w:szCs w:val="18"/>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69"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i w:val="1"/>
          <w:iCs w:val="1"/>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i w:val="1"/>
          <w:iCs w:val="1"/>
          <w:color w:val="auto"/>
        </w:rPr>
        <w:t>EXPENSES</w:t>
      </w:r>
      <w:r>
        <w:rPr>
          <w:rFonts w:ascii="Arial" w:cs="Arial" w:eastAsia="Arial" w:hAnsi="Arial"/>
          <w:sz w:val="18"/>
          <w:szCs w:val="18"/>
          <w:color w:val="auto"/>
        </w:rPr>
        <w:t>. The expenses of administering the Plan shall be borne by the Company and its Affiliates.</w:t>
      </w:r>
    </w:p>
    <w:p>
      <w:pPr>
        <w:spacing w:after="0" w:line="225" w:lineRule="exact"/>
        <w:rPr>
          <w:sz w:val="20"/>
          <w:szCs w:val="20"/>
          <w:color w:val="auto"/>
        </w:rPr>
      </w:pPr>
    </w:p>
    <w:p>
      <w:pPr>
        <w:ind w:right="200" w:firstLine="648"/>
        <w:spacing w:after="0" w:line="292"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44" w:lineRule="exact"/>
        <w:rPr>
          <w:sz w:val="20"/>
          <w:szCs w:val="20"/>
          <w:color w:val="auto"/>
        </w:rPr>
      </w:pPr>
    </w:p>
    <w:p>
      <w:pPr>
        <w:ind w:right="520" w:firstLine="648"/>
        <w:spacing w:after="0" w:line="292"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44" w:lineRule="exact"/>
        <w:rPr>
          <w:sz w:val="20"/>
          <w:szCs w:val="20"/>
          <w:color w:val="auto"/>
        </w:rPr>
      </w:pPr>
    </w:p>
    <w:p>
      <w:pPr>
        <w:ind w:right="180" w:firstLine="648"/>
        <w:spacing w:after="0" w:line="292"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7"/>
          <w:szCs w:val="17"/>
          <w:i w:val="1"/>
          <w:iCs w:val="1"/>
          <w:color w:val="auto"/>
        </w:rPr>
        <w:t>GOVERNMENT AND OTHER REGULATIONS</w:t>
      </w:r>
      <w:r>
        <w:rPr>
          <w:rFonts w:ascii="Arial" w:cs="Arial" w:eastAsia="Arial" w:hAnsi="Arial"/>
          <w:sz w:val="17"/>
          <w:szCs w:val="17"/>
          <w:color w:val="auto"/>
        </w:rPr>
        <w:t>.</w:t>
      </w:r>
    </w:p>
    <w:p>
      <w:pPr>
        <w:spacing w:after="0" w:line="225" w:lineRule="exact"/>
        <w:rPr>
          <w:sz w:val="20"/>
          <w:szCs w:val="20"/>
          <w:color w:val="auto"/>
        </w:rPr>
      </w:pPr>
    </w:p>
    <w:p>
      <w:pPr>
        <w:ind w:right="40" w:firstLine="1304"/>
        <w:spacing w:after="0" w:line="260" w:lineRule="auto"/>
        <w:tabs>
          <w:tab w:leader="none" w:pos="19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74" w:lineRule="exact"/>
        <w:rPr>
          <w:rFonts w:ascii="Arial" w:cs="Arial" w:eastAsia="Arial" w:hAnsi="Arial"/>
          <w:sz w:val="18"/>
          <w:szCs w:val="18"/>
          <w:color w:val="auto"/>
        </w:rPr>
      </w:pPr>
    </w:p>
    <w:p>
      <w:pPr>
        <w:ind w:right="100" w:firstLine="1304"/>
        <w:spacing w:after="0" w:line="255" w:lineRule="auto"/>
        <w:tabs>
          <w:tab w:leader="none" w:pos="193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b w:val="1"/>
          <w:bCs w:val="1"/>
          <w:color w:val="auto"/>
        </w:rPr>
        <w:t xml:space="preserve"> 93</w:t>
      </w:r>
    </w:p>
    <w:p>
      <w:pPr>
        <w:sectPr>
          <w:pgSz w:w="11900" w:h="16838" w:orient="portrait"/>
          <w:cols w:equalWidth="0" w:num="1">
            <w:col w:w="11240"/>
          </w:cols>
          <w:pgMar w:left="320" w:top="1143" w:right="339" w:bottom="1440" w:gutter="0" w:footer="0" w:header="0"/>
        </w:sectPr>
      </w:pPr>
    </w:p>
    <w:bookmarkStart w:id="101" w:name="page102"/>
    <w:bookmarkEnd w:id="101"/>
    <w:p>
      <w:pPr>
        <w:ind w:right="240"/>
        <w:spacing w:after="0" w:line="292" w:lineRule="auto"/>
        <w:rPr>
          <w:sz w:val="20"/>
          <w:szCs w:val="20"/>
          <w:color w:val="auto"/>
        </w:rPr>
      </w:pPr>
      <w:r>
        <w:rPr>
          <w:rFonts w:ascii="Arial" w:cs="Arial" w:eastAsia="Arial" w:hAnsi="Arial"/>
          <w:sz w:val="18"/>
          <w:szCs w:val="18"/>
          <w:color w:val="auto"/>
        </w:rPr>
        <w:t>register any securities pursuant to the 1933 Act or applicable state or foreign law or to take any other action in order to cause the issuance and delivery of such certificates to comply with any such law, regulation or requirement.</w:t>
      </w:r>
    </w:p>
    <w:p>
      <w:pPr>
        <w:spacing w:after="0" w:line="144" w:lineRule="exact"/>
        <w:rPr>
          <w:sz w:val="20"/>
          <w:szCs w:val="20"/>
          <w:color w:val="auto"/>
        </w:rPr>
      </w:pPr>
    </w:p>
    <w:p>
      <w:pPr>
        <w:ind w:right="480" w:firstLine="648"/>
        <w:spacing w:after="0" w:line="292"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GOVERNING LAW</w:t>
      </w:r>
      <w:r>
        <w:rPr>
          <w:rFonts w:ascii="Arial" w:cs="Arial" w:eastAsia="Arial" w:hAnsi="Arial"/>
          <w:sz w:val="18"/>
          <w:szCs w:val="18"/>
          <w:color w:val="auto"/>
        </w:rPr>
        <w:t>. To the extent not governed by federal law, the Plan and all Award Certificates shall be construed in accordance with and governed by the laws of the State of Delaware.</w:t>
      </w:r>
    </w:p>
    <w:p>
      <w:pPr>
        <w:spacing w:after="0" w:line="144" w:lineRule="exact"/>
        <w:rPr>
          <w:sz w:val="20"/>
          <w:szCs w:val="20"/>
          <w:color w:val="auto"/>
        </w:rPr>
      </w:pPr>
    </w:p>
    <w:p>
      <w:pPr>
        <w:ind w:right="300" w:firstLine="648"/>
        <w:spacing w:after="0" w:line="292"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14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i w:val="1"/>
          <w:iCs w:val="1"/>
          <w:color w:val="auto"/>
        </w:rPr>
        <w:t>NO LIMITATIONS ON RIGHTS OF COMPANY</w:t>
      </w:r>
      <w:r>
        <w:rPr>
          <w:rFonts w:ascii="Arial" w:cs="Arial" w:eastAsia="Arial" w:hAnsi="Arial"/>
          <w:sz w:val="18"/>
          <w:szCs w:val="18"/>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i w:val="1"/>
          <w:iCs w:val="1"/>
          <w:color w:val="auto"/>
        </w:rPr>
        <w:t>INDEMNIFICATION</w:t>
      </w:r>
      <w:r>
        <w:rPr>
          <w:rFonts w:ascii="Arial" w:cs="Arial" w:eastAsia="Arial" w:hAnsi="Arial"/>
          <w:sz w:val="18"/>
          <w:szCs w:val="18"/>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i w:val="1"/>
          <w:iCs w:val="1"/>
          <w:color w:val="auto"/>
        </w:rPr>
        <w:t>SEVERABILITY</w:t>
      </w:r>
      <w:r>
        <w:rPr>
          <w:rFonts w:ascii="Arial" w:cs="Arial" w:eastAsia="Arial" w:hAnsi="Arial"/>
          <w:sz w:val="18"/>
          <w:szCs w:val="18"/>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21"/>
          <w:szCs w:val="21"/>
          <w:b w:val="1"/>
          <w:bCs w:val="1"/>
          <w:color w:val="0090DA"/>
        </w:rPr>
        <w:t>|</w:t>
      </w:r>
      <w:r>
        <w:rPr>
          <w:rFonts w:ascii="Arial" w:cs="Arial" w:eastAsia="Arial" w:hAnsi="Arial"/>
          <w:sz w:val="18"/>
          <w:szCs w:val="18"/>
          <w:b w:val="1"/>
          <w:bCs w:val="1"/>
          <w:color w:val="auto"/>
        </w:rPr>
        <w:t xml:space="preserve"> 2020 Proxy Statement</w:t>
      </w:r>
    </w:p>
    <w:p>
      <w:pPr>
        <w:sectPr>
          <w:pgSz w:w="11900" w:h="16838" w:orient="portrait"/>
          <w:cols w:equalWidth="0" w:num="1">
            <w:col w:w="11240"/>
          </w:cols>
          <w:pgMar w:left="320" w:top="1143" w:right="339" w:bottom="1440"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12155" cy="7517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12155" cy="7517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812155" cy="7517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243205</wp:posOffset>
            </wp:positionV>
            <wp:extent cx="6746240" cy="8786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8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243205</wp:posOffset>
            </wp:positionV>
            <wp:extent cx="6746240" cy="8786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746240" cy="8786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lvl w:ilvl="1">
      <w:lvlJc w:val="left"/>
      <w:lvlText w:val="(%2)"/>
      <w:numFmt w:val="decimal"/>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amp;"/>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42C296BD"/>
    <w:multiLevelType w:val="hybridMultilevel"/>
    <w:lvl w:ilvl="0">
      <w:lvlJc w:val="left"/>
      <w:lvlText w:val="▪"/>
      <w:numFmt w:val="bullet"/>
      <w:start w:val="1"/>
    </w:lvl>
    <w:lvl w:ilvl="1">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5DC79EA8"/>
    <w:multiLevelType w:val="hybridMultilevel"/>
    <w:lvl w:ilvl="0">
      <w:lvlJc w:val="left"/>
      <w:lvlText w:val="\endash "/>
      <w:numFmt w:val="bullet"/>
      <w:start w:val="1"/>
    </w:lvl>
  </w:abstractNum>
  <w:abstractNum w:abstractNumId="39">
    <w:nsid w:val="540A471C"/>
    <w:multiLevelType w:val="hybridMultilevel"/>
    <w:lvl w:ilvl="0">
      <w:lvlJc w:val="left"/>
      <w:lvlText w:val=" "/>
      <w:numFmt w:val="bullet"/>
      <w:start w:val="1"/>
    </w:lvl>
  </w:abstractNum>
  <w:abstractNum w:abstractNumId="40">
    <w:nsid w:val="7BD3EE7B"/>
    <w:multiLevelType w:val="hybridMultilevel"/>
    <w:lvl w:ilvl="0">
      <w:lvlJc w:val="left"/>
      <w:lvlText w:val="û"/>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3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decimal"/>
      <w:start w:val="3"/>
    </w:lvl>
    <w:lvl w:ilvl="1">
      <w:lvlJc w:val="left"/>
      <w:lvlText w:val="•"/>
      <w:numFmt w:val="bullet"/>
      <w:start w:val="1"/>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1)"/>
      <w:numFmt w:val="decimal"/>
      <w:start w:val="1"/>
    </w:lvl>
  </w:abstractNum>
  <w:abstractNum w:abstractNumId="58">
    <w:nsid w:val="100F59DC"/>
    <w:multiLevelType w:val="hybridMultilevel"/>
    <w:lvl w:ilvl="0">
      <w:lvlJc w:val="left"/>
      <w:lvlText w:val="(%1)"/>
      <w:numFmt w:val="decimal"/>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1)"/>
      <w:numFmt w:val="decimal"/>
      <w:start w:val="1"/>
    </w:lvl>
  </w:abstractNum>
  <w:abstractNum w:abstractNumId="62">
    <w:nsid w:val="94211F2"/>
    <w:multiLevelType w:val="hybridMultilevel"/>
    <w:lvl w:ilvl="0">
      <w:lvlJc w:val="left"/>
      <w:lvlText w:val="(%1)"/>
      <w:numFmt w:val="decimal"/>
      <w:start w:val="4"/>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decimal"/>
      <w:start w:val="1"/>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1)"/>
      <w:numFmt w:val="decimal"/>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lowerRoman"/>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1)"/>
      <w:numFmt w:val="decimal"/>
      <w:start w:val="1"/>
    </w:lvl>
  </w:abstractNum>
  <w:abstractNum w:abstractNumId="79">
    <w:nsid w:val="26F324BA"/>
    <w:multiLevelType w:val="hybridMultilevel"/>
    <w:lvl w:ilvl="0">
      <w:lvlJc w:val="left"/>
      <w:lvlText w:val="(%1)"/>
      <w:numFmt w:val="decimal"/>
      <w:start w:val="7"/>
    </w:lvl>
  </w:abstractNum>
  <w:abstractNum w:abstractNumId="80">
    <w:nsid w:val="7F01579B"/>
    <w:multiLevelType w:val="hybridMultilevel"/>
    <w:lvl w:ilvl="0">
      <w:lvlJc w:val="left"/>
      <w:lvlText w:val="(%1)"/>
      <w:numFmt w:val="decimal"/>
      <w:start w:val="208"/>
    </w:lvl>
  </w:abstractNum>
  <w:abstractNum w:abstractNumId="81">
    <w:nsid w:val="49DA307D"/>
    <w:multiLevelType w:val="hybridMultilevel"/>
    <w:lvl w:ilvl="0">
      <w:lvlJc w:val="left"/>
      <w:lvlText w:val="(%1)"/>
      <w:numFmt w:val="lowerLetter"/>
      <w:start w:val="1"/>
    </w:lvl>
  </w:abstractNum>
  <w:abstractNum w:abstractNumId="82">
    <w:nsid w:val="7055A5F5"/>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83">
    <w:nsid w:val="5FB8370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4">
    <w:nsid w:val="50801EE1"/>
    <w:multiLevelType w:val="hybridMultilevel"/>
    <w:lvl w:ilvl="0">
      <w:lvlJc w:val="left"/>
      <w:lvlText w:val="%1"/>
      <w:numFmt w:val="lowerLetter"/>
      <w:start w:val="1"/>
    </w:lvl>
    <w:lvl w:ilvl="1">
      <w:lvlJc w:val="left"/>
      <w:lvlText w:val="(%2)"/>
      <w:numFmt w:val="lowerRoman"/>
      <w:start w:val="4"/>
    </w:lvl>
  </w:abstractNum>
  <w:abstractNum w:abstractNumId="85">
    <w:nsid w:val="488AC1A"/>
    <w:multiLevelType w:val="hybridMultilevel"/>
    <w:lvl w:ilvl="0">
      <w:lvlJc w:val="left"/>
      <w:lvlText w:val="(%1)"/>
      <w:numFmt w:val="lowerLetter"/>
      <w:start w:val="7"/>
    </w:lvl>
    <w:lvl w:ilvl="1">
      <w:lvlJc w:val="left"/>
      <w:lvlText w:val="%2"/>
      <w:numFmt w:val="lowerRoman"/>
      <w:start w:val="1"/>
    </w:lvl>
  </w:abstractNum>
  <w:abstractNum w:abstractNumId="86">
    <w:nsid w:val="5FB8011C"/>
    <w:multiLevelType w:val="hybridMultilevel"/>
    <w:lvl w:ilvl="0">
      <w:lvlJc w:val="left"/>
      <w:lvlText w:val="(%1)"/>
      <w:numFmt w:val="lowerLetter"/>
      <w:start w:val="18"/>
    </w:lvl>
  </w:abstractNum>
  <w:abstractNum w:abstractNumId="87">
    <w:nsid w:val="6AA78F7F"/>
    <w:multiLevelType w:val="hybridMultilevel"/>
    <w:lvl w:ilvl="0">
      <w:lvlJc w:val="left"/>
      <w:lvlText w:val="(%1)"/>
      <w:numFmt w:val="lowerLetter"/>
      <w:start w:val="27"/>
    </w:lvl>
  </w:abstractNum>
  <w:abstractNum w:abstractNumId="88">
    <w:nsid w:val="7672BD23"/>
    <w:multiLevelType w:val="hybridMultilevel"/>
    <w:lvl w:ilvl="0">
      <w:lvlJc w:val="left"/>
      <w:lvlText w:val="(%1)"/>
      <w:numFmt w:val="lowerLetter"/>
      <w:start w:val="32"/>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5"/>
    </w:lvl>
  </w:abstractNum>
  <w:abstractNum w:abstractNumId="91">
    <w:nsid w:val="7D5E18F8"/>
    <w:multiLevelType w:val="hybridMultilevel"/>
    <w:lvl w:ilvl="0">
      <w:lvlJc w:val="left"/>
      <w:lvlText w:val="(%1)"/>
      <w:numFmt w:val="lowerRoman"/>
      <w:start w:val="2"/>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lowerLetter"/>
      <w:start w:val="1"/>
    </w:lvl>
  </w:abstractNum>
  <w:abstractNum w:abstractNumId="94">
    <w:nsid w:val="7DE67713"/>
    <w:multiLevelType w:val="hybridMultilevel"/>
    <w:lvl w:ilvl="0">
      <w:lvlJc w:val="left"/>
      <w:lvlText w:val="(%1)"/>
      <w:numFmt w:val="lowerLetter"/>
      <w:start w:val="2"/>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5"/>
    </w:lvl>
  </w:abstractNum>
  <w:abstractNum w:abstractNumId="97">
    <w:nsid w:val="14FCE74E"/>
    <w:multiLevelType w:val="hybridMultilevel"/>
    <w:lvl w:ilvl="0">
      <w:lvlJc w:val="left"/>
      <w:lvlText w:val="(%1)"/>
      <w:numFmt w:val="lowerLetter"/>
      <w:start w:val="6"/>
    </w:lvl>
  </w:abstractNum>
  <w:abstractNum w:abstractNumId="98">
    <w:nsid w:val="6A3DD3E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99">
    <w:nsid w:val="71C91298"/>
    <w:multiLevelType w:val="hybridMultilevel"/>
    <w:lvl w:ilvl="0">
      <w:lvlJc w:val="left"/>
      <w:lvlText w:val="(%1)"/>
      <w:numFmt w:val="lowerLetter"/>
      <w:start w:val="61"/>
    </w:lvl>
    <w:lvl w:ilvl="1">
      <w:lvlJc w:val="left"/>
      <w:lvlText w:val="(%2)"/>
      <w:numFmt w:val="lowerLetter"/>
      <w:start w:val="3"/>
    </w:lvl>
    <w:lvl w:ilvl="2">
      <w:lvlJc w:val="left"/>
      <w:lvlText w:val="%3"/>
      <w:numFmt w:val="decimal"/>
      <w:start w:val="1"/>
    </w:lvl>
  </w:abstractNum>
  <w:abstractNum w:abstractNumId="100">
    <w:nsid w:val="9DAF632"/>
    <w:multiLevelType w:val="hybridMultilevel"/>
    <w:lvl w:ilvl="0">
      <w:lvlJc w:val="left"/>
      <w:lvlText w:val="(%1)"/>
      <w:numFmt w:val="lowerLetter"/>
      <w:start w:val="1"/>
    </w:lvl>
    <w:lvl w:ilvl="1">
      <w:lvlJc w:val="left"/>
      <w:lvlText w:val="(%2)"/>
      <w:numFmt w:val="lowerRoman"/>
      <w:start w:val="1"/>
    </w:lvl>
  </w:abstractNum>
  <w:abstractNum w:abstractNumId="101">
    <w:nsid w:val="53299938"/>
    <w:multiLevelType w:val="hybridMultilevel"/>
    <w:lvl w:ilvl="0">
      <w:lvlJc w:val="left"/>
      <w:lvlText w:val="(%1)"/>
      <w:numFmt w:val="lowerLetter"/>
      <w:start w:val="2"/>
    </w:lvl>
    <w:lvl w:ilvl="1">
      <w:lvlJc w:val="left"/>
      <w:lvlText w:val="(%2)"/>
      <w:numFmt w:val="lowerRoman"/>
      <w:start w:val="1"/>
    </w:lvl>
  </w:abstractNum>
  <w:abstractNum w:abstractNumId="102">
    <w:nsid w:val="1FBFE8E0"/>
    <w:multiLevelType w:val="hybridMultilevel"/>
    <w:lvl w:ilvl="0">
      <w:lvlJc w:val="left"/>
      <w:lvlText w:val="(%1)"/>
      <w:numFmt w:val="lowerRoman"/>
      <w:start w:val="1"/>
    </w:lvl>
  </w:abstractNum>
  <w:abstractNum w:abstractNumId="103">
    <w:nsid w:val="5092CA79"/>
    <w:multiLevelType w:val="hybridMultilevel"/>
    <w:lvl w:ilvl="0">
      <w:lvlJc w:val="left"/>
      <w:lvlText w:val="(%1)"/>
      <w:numFmt w:val="lowerRoman"/>
      <w:start w:val="5"/>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Letter"/>
      <w:start w:val="1"/>
    </w:lvl>
  </w:abstractNum>
  <w:abstractNum w:abstractNumId="106">
    <w:nsid w:val="288F1A34"/>
    <w:multiLevelType w:val="hybridMultilevel"/>
    <w:lvl w:ilvl="0">
      <w:lvlJc w:val="left"/>
      <w:lvlText w:val="(%1)"/>
      <w:numFmt w:val="lowerLetter"/>
      <w:start w:val="4"/>
    </w:lvl>
    <w:lvl w:ilvl="1">
      <w:lvlJc w:val="left"/>
      <w:lvlText w:val="(%2)"/>
      <w:numFmt w:val="lowerRoman"/>
      <w:start w:val="1"/>
    </w:lvl>
  </w:abstractNum>
  <w:abstractNum w:abstractNumId="107">
    <w:nsid w:val="2A155DBC"/>
    <w:multiLevelType w:val="hybridMultilevel"/>
    <w:lvl w:ilvl="0">
      <w:lvlJc w:val="left"/>
      <w:lvlText w:val="(%1)"/>
      <w:numFmt w:val="lowerLetter"/>
      <w:start w:val="5"/>
    </w:lvl>
  </w:abstractNum>
  <w:abstractNum w:abstractNumId="108">
    <w:nsid w:val="1D9F6E5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2020-12-01T07:47:13Z</dcterms:created>
  <dcterms:modified xsi:type="dcterms:W3CDTF">2020-12-01T07:47:13Z</dcterms:modified>
</cp:coreProperties>
</file>