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23" w:lineRule="exact"/>
        <w:rPr>
          <w:sz w:val="24"/>
          <w:szCs w:val="24"/>
          <w:color w:val="auto"/>
        </w:rPr>
      </w:pPr>
    </w:p>
    <w:p>
      <w:pPr>
        <w:jc w:val="center"/>
        <w:ind w:right="2099"/>
        <w:spacing w:after="0"/>
        <w:rPr>
          <w:sz w:val="20"/>
          <w:szCs w:val="20"/>
          <w:color w:val="auto"/>
        </w:rPr>
      </w:pPr>
      <w:r>
        <w:rPr>
          <w:rFonts w:ascii="Courier New" w:cs="Courier New" w:eastAsia="Courier New" w:hAnsi="Courier New"/>
          <w:sz w:val="18"/>
          <w:szCs w:val="18"/>
          <w:color w:val="auto"/>
        </w:rPr>
        <w:t>UNITED STATES</w:t>
      </w:r>
    </w:p>
    <w:p>
      <w:pPr>
        <w:jc w:val="center"/>
        <w:ind w:right="199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spacing w:after="0" w:line="202" w:lineRule="exact"/>
        <w:rPr>
          <w:sz w:val="24"/>
          <w:szCs w:val="24"/>
          <w:color w:val="auto"/>
        </w:rPr>
      </w:pPr>
    </w:p>
    <w:p>
      <w:pPr>
        <w:jc w:val="center"/>
        <w:ind w:right="2099"/>
        <w:spacing w:after="0"/>
        <w:tabs>
          <w:tab w:leader="none" w:pos="180" w:val="left"/>
        </w:tabs>
        <w:rPr>
          <w:sz w:val="20"/>
          <w:szCs w:val="20"/>
          <w:color w:val="auto"/>
        </w:rPr>
      </w:pPr>
      <w:r>
        <w:rPr>
          <w:rFonts w:ascii="Courier New" w:cs="Courier New" w:eastAsia="Courier New" w:hAnsi="Courier New"/>
          <w:sz w:val="18"/>
          <w:szCs w:val="18"/>
          <w:color w:val="auto"/>
        </w:rPr>
        <w:t>Washington, D.C.</w:t>
        <w:tab/>
        <w:t>20549</w:t>
      </w:r>
    </w:p>
    <w:p>
      <w:pPr>
        <w:spacing w:after="0" w:line="201"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FORM 10-Q</w:t>
      </w:r>
    </w:p>
    <w:p>
      <w:pPr>
        <w:spacing w:after="0" w:line="200" w:lineRule="exact"/>
        <w:rPr>
          <w:sz w:val="24"/>
          <w:szCs w:val="24"/>
          <w:color w:val="auto"/>
        </w:rPr>
      </w:pPr>
    </w:p>
    <w:p>
      <w:pPr>
        <w:spacing w:after="0" w:line="209" w:lineRule="exact"/>
        <w:rPr>
          <w:sz w:val="24"/>
          <w:szCs w:val="24"/>
          <w:color w:val="auto"/>
        </w:rPr>
      </w:pPr>
    </w:p>
    <w:p>
      <w:pPr>
        <w:ind w:left="1360" w:hanging="527"/>
        <w:spacing w:after="0"/>
        <w:tabs>
          <w:tab w:leader="none" w:pos="136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QUARTERLY REPORT PURSUANT TO SECTION 13 OR 15 (d)</w:t>
      </w:r>
    </w:p>
    <w:p>
      <w:pPr>
        <w:spacing w:after="0" w:line="16" w:lineRule="exact"/>
        <w:rPr>
          <w:rFonts w:ascii="Courier New" w:cs="Courier New" w:eastAsia="Courier New" w:hAnsi="Courier New"/>
          <w:sz w:val="16"/>
          <w:szCs w:val="16"/>
          <w:color w:val="auto"/>
        </w:rPr>
      </w:pPr>
    </w:p>
    <w:p>
      <w:pPr>
        <w:ind w:left="12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OF THE SECURITIES EXCHANGE ACT OF 1934</w:t>
      </w:r>
    </w:p>
    <w:p>
      <w:pPr>
        <w:sectPr>
          <w:pgSz w:w="11900" w:h="16838" w:orient="portrait"/>
          <w:cols w:equalWidth="0" w:num="1">
            <w:col w:w="9359"/>
          </w:cols>
          <w:pgMar w:left="1100" w:top="1440" w:right="1440" w:bottom="0" w:gutter="0" w:footer="0" w:header="0"/>
        </w:sectPr>
      </w:pPr>
    </w:p>
    <w:p>
      <w:pPr>
        <w:spacing w:after="0" w:line="207" w:lineRule="exact"/>
        <w:rPr>
          <w:sz w:val="24"/>
          <w:szCs w:val="24"/>
          <w:color w:val="auto"/>
        </w:rPr>
      </w:pPr>
    </w:p>
    <w:p>
      <w:pPr>
        <w:ind w:left="840"/>
        <w:spacing w:after="0"/>
        <w:rPr>
          <w:sz w:val="20"/>
          <w:szCs w:val="20"/>
          <w:color w:val="auto"/>
        </w:rPr>
      </w:pPr>
      <w:r>
        <w:rPr>
          <w:rFonts w:ascii="Courier New" w:cs="Courier New" w:eastAsia="Courier New" w:hAnsi="Courier New"/>
          <w:sz w:val="16"/>
          <w:szCs w:val="16"/>
          <w:color w:val="auto"/>
        </w:rPr>
        <w:t>For the quarterly period ended</w:t>
      </w:r>
    </w:p>
    <w:p>
      <w:pPr>
        <w:spacing w:after="0" w:line="20" w:lineRule="exact"/>
        <w:rPr>
          <w:sz w:val="24"/>
          <w:szCs w:val="24"/>
          <w:color w:val="auto"/>
        </w:rPr>
      </w:pPr>
      <w:r>
        <w:rPr>
          <w:sz w:val="24"/>
          <w:szCs w:val="24"/>
          <w:color w:val="auto"/>
        </w:rPr>
        <w:br w:type="column"/>
      </w:r>
    </w:p>
    <w:p>
      <w:pPr>
        <w:spacing w:after="0" w:line="182" w:lineRule="exact"/>
        <w:rPr>
          <w:sz w:val="24"/>
          <w:szCs w:val="24"/>
          <w:color w:val="auto"/>
        </w:rPr>
      </w:pPr>
    </w:p>
    <w:p>
      <w:pPr>
        <w:jc w:val="center"/>
        <w:ind w:right="2739"/>
        <w:spacing w:after="0"/>
        <w:rPr>
          <w:sz w:val="20"/>
          <w:szCs w:val="20"/>
          <w:color w:val="auto"/>
        </w:rPr>
      </w:pPr>
      <w:r>
        <w:rPr>
          <w:rFonts w:ascii="Courier New" w:cs="Courier New" w:eastAsia="Courier New" w:hAnsi="Courier New"/>
          <w:sz w:val="18"/>
          <w:szCs w:val="18"/>
          <w:color w:val="auto"/>
        </w:rPr>
        <w:t>March 3, 1994</w:t>
      </w:r>
    </w:p>
    <w:p>
      <w:pPr>
        <w:spacing w:after="0" w:line="4" w:lineRule="exact"/>
        <w:rPr>
          <w:sz w:val="24"/>
          <w:szCs w:val="24"/>
          <w:color w:val="auto"/>
        </w:rPr>
      </w:pPr>
    </w:p>
    <w:p>
      <w:pPr>
        <w:jc w:val="center"/>
        <w:ind w:right="2739"/>
        <w:spacing w:after="0"/>
        <w:rPr>
          <w:sz w:val="20"/>
          <w:szCs w:val="20"/>
          <w:color w:val="auto"/>
        </w:rPr>
      </w:pPr>
      <w:r>
        <w:rPr>
          <w:rFonts w:ascii="Courier New" w:cs="Courier New" w:eastAsia="Courier New" w:hAnsi="Courier New"/>
          <w:sz w:val="16"/>
          <w:szCs w:val="16"/>
          <w:color w:val="auto"/>
        </w:rPr>
        <w:t>-----------------------</w:t>
      </w:r>
    </w:p>
    <w:p>
      <w:pPr>
        <w:spacing w:after="0" w:line="21" w:lineRule="exact"/>
        <w:rPr>
          <w:sz w:val="24"/>
          <w:szCs w:val="24"/>
          <w:color w:val="auto"/>
        </w:rPr>
      </w:pPr>
    </w:p>
    <w:p>
      <w:pPr>
        <w:sectPr>
          <w:pgSz w:w="11900" w:h="16838" w:orient="portrait"/>
          <w:cols w:equalWidth="0" w:num="2">
            <w:col w:w="4000" w:space="200"/>
            <w:col w:w="5159"/>
          </w:cols>
          <w:pgMar w:left="1100" w:top="1440" w:right="1440" w:bottom="0" w:gutter="0" w:footer="0" w:header="0"/>
          <w:type w:val="continuous"/>
        </w:sectPr>
      </w:pPr>
    </w:p>
    <w:p>
      <w:pPr>
        <w:ind w:left="3580"/>
        <w:spacing w:after="0"/>
        <w:rPr>
          <w:sz w:val="20"/>
          <w:szCs w:val="20"/>
          <w:color w:val="auto"/>
        </w:rPr>
      </w:pPr>
      <w:r>
        <w:rPr>
          <w:rFonts w:ascii="Courier New" w:cs="Courier New" w:eastAsia="Courier New" w:hAnsi="Courier New"/>
          <w:sz w:val="16"/>
          <w:szCs w:val="16"/>
          <w:color w:val="auto"/>
        </w:rPr>
        <w:t>OR</w:t>
      </w:r>
    </w:p>
    <w:p>
      <w:pPr>
        <w:sectPr>
          <w:pgSz w:w="11900" w:h="16838" w:orient="portrait"/>
          <w:cols w:equalWidth="0" w:num="1">
            <w:col w:w="9359"/>
          </w:cols>
          <w:pgMar w:left="1100" w:top="1440" w:right="1440" w:bottom="0" w:gutter="0" w:footer="0" w:header="0"/>
          <w:type w:val="continuous"/>
        </w:sectPr>
      </w:pPr>
    </w:p>
    <w:p>
      <w:pPr>
        <w:spacing w:after="0" w:line="224" w:lineRule="exact"/>
        <w:rPr>
          <w:sz w:val="24"/>
          <w:szCs w:val="24"/>
          <w:color w:val="auto"/>
        </w:rPr>
      </w:pPr>
    </w:p>
    <w:p>
      <w:pPr>
        <w:ind w:left="940" w:hanging="212"/>
        <w:spacing w:after="0"/>
        <w:tabs>
          <w:tab w:leader="none" w:pos="94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TRANSITION REPORT PURSUANT TO SECTION 13 OR 15 (d)</w:t>
      </w:r>
    </w:p>
    <w:p>
      <w:pPr>
        <w:spacing w:after="0" w:line="16" w:lineRule="exact"/>
        <w:rPr>
          <w:rFonts w:ascii="Courier New" w:cs="Courier New" w:eastAsia="Courier New" w:hAnsi="Courier New"/>
          <w:sz w:val="16"/>
          <w:szCs w:val="16"/>
          <w:color w:val="auto"/>
        </w:rPr>
      </w:pPr>
    </w:p>
    <w:p>
      <w:pPr>
        <w:ind w:left="12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OF THE SECURITIES EXCHANGE ACT OF 1934</w:t>
      </w:r>
    </w:p>
    <w:p>
      <w:pPr>
        <w:sectPr>
          <w:pgSz w:w="11900" w:h="16838" w:orient="portrait"/>
          <w:cols w:equalWidth="0" w:num="1">
            <w:col w:w="9359"/>
          </w:cols>
          <w:pgMar w:left="1100" w:top="1440" w:right="1440" w:bottom="0" w:gutter="0" w:footer="0" w:header="0"/>
          <w:type w:val="continuous"/>
        </w:sectPr>
      </w:pPr>
    </w:p>
    <w:p>
      <w:pPr>
        <w:spacing w:after="0" w:line="207" w:lineRule="exact"/>
        <w:rPr>
          <w:sz w:val="24"/>
          <w:szCs w:val="24"/>
          <w:color w:val="auto"/>
        </w:rPr>
      </w:pPr>
    </w:p>
    <w:p>
      <w:pPr>
        <w:ind w:left="840"/>
        <w:spacing w:after="0"/>
        <w:rPr>
          <w:sz w:val="20"/>
          <w:szCs w:val="20"/>
          <w:color w:val="auto"/>
        </w:rPr>
      </w:pPr>
      <w:r>
        <w:rPr>
          <w:rFonts w:ascii="Courier New" w:cs="Courier New" w:eastAsia="Courier New" w:hAnsi="Courier New"/>
          <w:sz w:val="16"/>
          <w:szCs w:val="16"/>
          <w:color w:val="auto"/>
        </w:rPr>
        <w:t>for the transition period from</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to</w:t>
      </w:r>
    </w:p>
    <w:p>
      <w:pPr>
        <w:spacing w:after="0" w:line="21" w:lineRule="exact"/>
        <w:rPr>
          <w:sz w:val="24"/>
          <w:szCs w:val="24"/>
          <w:color w:val="auto"/>
        </w:rPr>
      </w:pPr>
    </w:p>
    <w:p>
      <w:pPr>
        <w:sectPr>
          <w:pgSz w:w="11900" w:h="16838" w:orient="portrait"/>
          <w:cols w:equalWidth="0" w:num="2">
            <w:col w:w="4540" w:space="720"/>
            <w:col w:w="4099"/>
          </w:cols>
          <w:pgMar w:left="1100" w:top="1440" w:right="1440" w:bottom="0" w:gutter="0" w:footer="0" w:header="0"/>
          <w:type w:val="continuous"/>
        </w:sectPr>
      </w:pPr>
    </w:p>
    <w:p>
      <w:pPr>
        <w:ind w:left="410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ectPr>
          <w:pgSz w:w="11900" w:h="16838" w:orient="portrait"/>
          <w:cols w:equalWidth="0" w:num="2">
            <w:col w:w="5040" w:space="540"/>
            <w:col w:w="3779"/>
          </w:cols>
          <w:pgMar w:left="1100" w:top="1440" w:right="1440" w:bottom="0" w:gutter="0" w:footer="0" w:header="0"/>
          <w:type w:val="continuous"/>
        </w:sectPr>
      </w:pPr>
    </w:p>
    <w:p>
      <w:pPr>
        <w:spacing w:after="0" w:line="24" w:lineRule="exact"/>
        <w:rPr>
          <w:sz w:val="24"/>
          <w:szCs w:val="24"/>
          <w:color w:val="auto"/>
        </w:rPr>
      </w:pPr>
    </w:p>
    <w:p>
      <w:pPr>
        <w:ind w:left="720"/>
        <w:spacing w:after="0"/>
        <w:rPr>
          <w:sz w:val="20"/>
          <w:szCs w:val="20"/>
          <w:color w:val="auto"/>
        </w:rPr>
      </w:pPr>
      <w:r>
        <w:rPr>
          <w:rFonts w:ascii="Courier New" w:cs="Courier New" w:eastAsia="Courier New" w:hAnsi="Courier New"/>
          <w:sz w:val="16"/>
          <w:szCs w:val="16"/>
          <w:color w:val="auto"/>
        </w:rPr>
        <w:t>Commission File Number</w:t>
      </w:r>
    </w:p>
    <w:p>
      <w:pPr>
        <w:spacing w:after="0" w:line="20" w:lineRule="exact"/>
        <w:rPr>
          <w:sz w:val="24"/>
          <w:szCs w:val="24"/>
          <w:color w:val="auto"/>
        </w:rPr>
      </w:pPr>
      <w:r>
        <w:rPr>
          <w:sz w:val="24"/>
          <w:szCs w:val="24"/>
          <w:color w:val="auto"/>
        </w:rPr>
        <w:br w:type="column"/>
      </w:r>
    </w:p>
    <w:p>
      <w:pPr>
        <w:ind w:left="940"/>
        <w:spacing w:after="0"/>
        <w:rPr>
          <w:sz w:val="20"/>
          <w:szCs w:val="20"/>
          <w:color w:val="auto"/>
        </w:rPr>
      </w:pPr>
      <w:r>
        <w:rPr>
          <w:rFonts w:ascii="Courier New" w:cs="Courier New" w:eastAsia="Courier New" w:hAnsi="Courier New"/>
          <w:sz w:val="18"/>
          <w:szCs w:val="18"/>
          <w:color w:val="auto"/>
        </w:rPr>
        <w:t>1-10658</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ectPr>
          <w:pgSz w:w="11900" w:h="16838" w:orient="portrait"/>
          <w:cols w:equalWidth="0" w:num="2">
            <w:col w:w="3380" w:space="720"/>
            <w:col w:w="5259"/>
          </w:cols>
          <w:pgMar w:left="1100" w:top="1440" w:right="1440" w:bottom="0" w:gutter="0" w:footer="0" w:header="0"/>
          <w:type w:val="continuous"/>
        </w:sectPr>
      </w:pPr>
    </w:p>
    <w:p>
      <w:pPr>
        <w:spacing w:after="0" w:line="18" w:lineRule="exact"/>
        <w:rPr>
          <w:sz w:val="24"/>
          <w:szCs w:val="24"/>
          <w:color w:val="auto"/>
        </w:rPr>
      </w:pPr>
    </w:p>
    <w:p>
      <w:pPr>
        <w:ind w:left="2300"/>
        <w:spacing w:after="0"/>
        <w:rPr>
          <w:sz w:val="20"/>
          <w:szCs w:val="20"/>
          <w:color w:val="auto"/>
        </w:rPr>
      </w:pPr>
      <w:r>
        <w:rPr>
          <w:rFonts w:ascii="Courier New" w:cs="Courier New" w:eastAsia="Courier New" w:hAnsi="Courier New"/>
          <w:sz w:val="18"/>
          <w:szCs w:val="18"/>
          <w:color w:val="auto"/>
        </w:rPr>
        <w:t>MICRON TECHNOLOGY, INC.</w:t>
      </w:r>
    </w:p>
    <w:p>
      <w:pPr>
        <w:ind w:left="840"/>
        <w:spacing w:after="0" w:line="238" w:lineRule="auto"/>
        <w:rPr>
          <w:sz w:val="20"/>
          <w:szCs w:val="20"/>
          <w:color w:val="auto"/>
        </w:rPr>
      </w:pPr>
      <w:r>
        <w:rPr>
          <w:rFonts w:ascii="Courier New" w:cs="Courier New" w:eastAsia="Courier New" w:hAnsi="Courier New"/>
          <w:sz w:val="18"/>
          <w:szCs w:val="18"/>
          <w:color w:val="auto"/>
        </w:rPr>
        <w:t>------------------------------------------------------</w:t>
      </w:r>
    </w:p>
    <w:p>
      <w:pPr>
        <w:ind w:left="840"/>
        <w:spacing w:after="0"/>
        <w:rPr>
          <w:sz w:val="20"/>
          <w:szCs w:val="20"/>
          <w:color w:val="auto"/>
        </w:rPr>
      </w:pPr>
      <w:r>
        <w:rPr>
          <w:rFonts w:ascii="Courier New" w:cs="Courier New" w:eastAsia="Courier New" w:hAnsi="Courier New"/>
          <w:sz w:val="18"/>
          <w:szCs w:val="18"/>
          <w:color w:val="auto"/>
        </w:rPr>
        <w:t>(Exact name of registrant as specified in its charter)</w:t>
      </w:r>
    </w:p>
    <w:p>
      <w:pPr>
        <w:spacing w:after="0" w:line="200" w:lineRule="exact"/>
        <w:rPr>
          <w:sz w:val="24"/>
          <w:szCs w:val="24"/>
          <w:color w:val="auto"/>
        </w:rPr>
      </w:pPr>
    </w:p>
    <w:p>
      <w:pPr>
        <w:spacing w:after="0" w:line="203" w:lineRule="exact"/>
        <w:rPr>
          <w:sz w:val="24"/>
          <w:szCs w:val="24"/>
          <w:color w:val="auto"/>
        </w:rPr>
      </w:pPr>
    </w:p>
    <w:p>
      <w:pPr>
        <w:ind w:left="1260"/>
        <w:spacing w:after="0"/>
        <w:tabs>
          <w:tab w:leader="none" w:pos="5020" w:val="left"/>
        </w:tabs>
        <w:rPr>
          <w:sz w:val="20"/>
          <w:szCs w:val="20"/>
          <w:color w:val="auto"/>
        </w:rPr>
      </w:pPr>
      <w:r>
        <w:rPr>
          <w:rFonts w:ascii="Courier New" w:cs="Courier New" w:eastAsia="Courier New" w:hAnsi="Courier New"/>
          <w:sz w:val="18"/>
          <w:szCs w:val="18"/>
          <w:color w:val="auto"/>
        </w:rPr>
        <w:t>Delaware</w:t>
      </w:r>
      <w:r>
        <w:rPr>
          <w:sz w:val="20"/>
          <w:szCs w:val="20"/>
          <w:color w:val="auto"/>
        </w:rPr>
        <w:tab/>
      </w:r>
      <w:r>
        <w:rPr>
          <w:rFonts w:ascii="Courier New" w:cs="Courier New" w:eastAsia="Courier New" w:hAnsi="Courier New"/>
          <w:sz w:val="18"/>
          <w:szCs w:val="18"/>
          <w:color w:val="auto"/>
        </w:rPr>
        <w:t>75-1618004</w:t>
      </w:r>
    </w:p>
    <w:p>
      <w:pPr>
        <w:spacing w:after="0"/>
        <w:tabs>
          <w:tab w:leader="none" w:pos="344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w:t>
      </w:r>
    </w:p>
    <w:p>
      <w:pPr>
        <w:spacing w:after="0"/>
        <w:tabs>
          <w:tab w:leader="none" w:pos="3440" w:val="left"/>
        </w:tabs>
        <w:rPr>
          <w:sz w:val="20"/>
          <w:szCs w:val="20"/>
          <w:color w:val="auto"/>
        </w:rPr>
      </w:pPr>
      <w:r>
        <w:rPr>
          <w:rFonts w:ascii="Courier New" w:cs="Courier New" w:eastAsia="Courier New" w:hAnsi="Courier New"/>
          <w:sz w:val="18"/>
          <w:szCs w:val="18"/>
          <w:color w:val="auto"/>
        </w:rPr>
        <w:t>(State or other jurisdiction of</w:t>
      </w:r>
      <w:r>
        <w:rPr>
          <w:sz w:val="20"/>
          <w:szCs w:val="20"/>
          <w:color w:val="auto"/>
        </w:rPr>
        <w:tab/>
      </w:r>
      <w:r>
        <w:rPr>
          <w:rFonts w:ascii="Courier New" w:cs="Courier New" w:eastAsia="Courier New" w:hAnsi="Courier New"/>
          <w:sz w:val="16"/>
          <w:szCs w:val="16"/>
          <w:color w:val="auto"/>
        </w:rPr>
        <w:t>(I.R.S. Employer Identification No.)</w:t>
      </w:r>
    </w:p>
    <w:p>
      <w:pPr>
        <w:spacing w:after="0" w:line="237" w:lineRule="auto"/>
        <w:rPr>
          <w:sz w:val="20"/>
          <w:szCs w:val="20"/>
          <w:color w:val="auto"/>
        </w:rPr>
      </w:pPr>
      <w:r>
        <w:rPr>
          <w:rFonts w:ascii="Courier New" w:cs="Courier New" w:eastAsia="Courier New" w:hAnsi="Courier New"/>
          <w:sz w:val="18"/>
          <w:szCs w:val="18"/>
          <w:color w:val="auto"/>
        </w:rPr>
        <w:t>incorporation or organization)</w:t>
      </w:r>
    </w:p>
    <w:p>
      <w:pPr>
        <w:sectPr>
          <w:pgSz w:w="11900" w:h="16838" w:orient="portrait"/>
          <w:cols w:equalWidth="0" w:num="1">
            <w:col w:w="9359"/>
          </w:cols>
          <w:pgMar w:left="1100" w:top="1440" w:right="1440" w:bottom="0" w:gutter="0" w:footer="0" w:header="0"/>
          <w:type w:val="continuous"/>
        </w:sectPr>
      </w:pPr>
    </w:p>
    <w:p>
      <w:pPr>
        <w:spacing w:after="0" w:line="200" w:lineRule="exact"/>
        <w:rPr>
          <w:sz w:val="24"/>
          <w:szCs w:val="24"/>
          <w:color w:val="auto"/>
        </w:rPr>
      </w:pPr>
    </w:p>
    <w:p>
      <w:pPr>
        <w:spacing w:after="0" w:line="204" w:lineRule="exact"/>
        <w:rPr>
          <w:sz w:val="24"/>
          <w:szCs w:val="24"/>
          <w:color w:val="auto"/>
        </w:rPr>
      </w:pPr>
    </w:p>
    <w:p>
      <w:pPr>
        <w:ind w:left="100"/>
        <w:spacing w:after="0"/>
        <w:rPr>
          <w:sz w:val="20"/>
          <w:szCs w:val="20"/>
          <w:color w:val="auto"/>
        </w:rPr>
      </w:pPr>
      <w:r>
        <w:rPr>
          <w:rFonts w:ascii="Courier New" w:cs="Courier New" w:eastAsia="Courier New" w:hAnsi="Courier New"/>
          <w:sz w:val="18"/>
          <w:szCs w:val="18"/>
          <w:color w:val="auto"/>
        </w:rPr>
        <w:t>2805 East Columbia Road, Boise, Idaho</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390"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83706-9698</w:t>
      </w:r>
    </w:p>
    <w:p>
      <w:pPr>
        <w:spacing w:after="0" w:line="2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(Zip Code)</w:t>
      </w:r>
    </w:p>
    <w:p>
      <w:pPr>
        <w:spacing w:after="0" w:line="200" w:lineRule="exact"/>
        <w:rPr>
          <w:sz w:val="24"/>
          <w:szCs w:val="24"/>
          <w:color w:val="auto"/>
        </w:rPr>
      </w:pPr>
    </w:p>
    <w:p>
      <w:pPr>
        <w:sectPr>
          <w:pgSz w:w="11900" w:h="16838" w:orient="portrait"/>
          <w:cols w:equalWidth="0" w:num="2">
            <w:col w:w="4220" w:space="720"/>
            <w:col w:w="4419"/>
          </w:cols>
          <w:pgMar w:left="1100" w:top="1440" w:right="1440" w:bottom="0" w:gutter="0" w:footer="0" w:header="0"/>
          <w:type w:val="continuous"/>
        </w:sectPr>
      </w:pPr>
    </w:p>
    <w:p>
      <w:pPr>
        <w:spacing w:after="0" w:line="22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(Registrant's telephone number, including area code) (208) 368-4000</w:t>
      </w:r>
    </w:p>
    <w:p>
      <w:pPr>
        <w:ind w:left="558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4"/>
          <w:szCs w:val="24"/>
          <w:color w:val="auto"/>
        </w:rPr>
      </w:pPr>
    </w:p>
    <w:p>
      <w:pPr>
        <w:ind w:right="2099"/>
        <w:spacing w:after="0" w:line="268" w:lineRule="auto"/>
        <w:rPr>
          <w:sz w:val="20"/>
          <w:szCs w:val="20"/>
          <w:color w:val="auto"/>
        </w:rPr>
      </w:pPr>
      <w:r>
        <w:rPr>
          <w:rFonts w:ascii="Courier New" w:cs="Courier New" w:eastAsia="Courier New" w:hAnsi="Courier New"/>
          <w:sz w:val="16"/>
          <w:szCs w:val="16"/>
          <w:color w:val="auto"/>
        </w:rPr>
        <w:t>Indicate by check mark whether the registrant (1) has filed all reports required to be filed by Section 13 or 15(d) of the Securities</w:t>
      </w:r>
    </w:p>
    <w:p>
      <w:pPr>
        <w:ind w:right="2419"/>
        <w:spacing w:after="0" w:line="237" w:lineRule="auto"/>
        <w:rPr>
          <w:sz w:val="20"/>
          <w:szCs w:val="20"/>
          <w:color w:val="auto"/>
        </w:rPr>
      </w:pPr>
      <w:r>
        <w:rPr>
          <w:rFonts w:ascii="Courier New" w:cs="Courier New" w:eastAsia="Courier New" w:hAnsi="Courier New"/>
          <w:sz w:val="18"/>
          <w:szCs w:val="18"/>
          <w:color w:val="auto"/>
        </w:rPr>
        <w:t>Exchange Act of 1934 during the preceding 12 months (or for such shorter period that the registrant was required to file such reports), and (2) has been subject to such filing requirements for the past 90 days.</w:t>
      </w:r>
    </w:p>
    <w:p>
      <w:pPr>
        <w:spacing w:after="0" w:line="202" w:lineRule="exact"/>
        <w:rPr>
          <w:sz w:val="24"/>
          <w:szCs w:val="24"/>
          <w:color w:val="auto"/>
        </w:rPr>
      </w:pPr>
    </w:p>
    <w:p>
      <w:pPr>
        <w:ind w:left="520"/>
        <w:spacing w:after="0"/>
        <w:tabs>
          <w:tab w:leader="none" w:pos="1020" w:val="left"/>
          <w:tab w:leader="none" w:pos="2400" w:val="left"/>
        </w:tabs>
        <w:rPr>
          <w:sz w:val="20"/>
          <w:szCs w:val="20"/>
          <w:color w:val="auto"/>
        </w:rPr>
      </w:pPr>
      <w:r>
        <w:rPr>
          <w:rFonts w:ascii="Courier New" w:cs="Courier New" w:eastAsia="Courier New" w:hAnsi="Courier New"/>
          <w:sz w:val="18"/>
          <w:szCs w:val="18"/>
          <w:color w:val="auto"/>
        </w:rPr>
        <w:t>Yes</w:t>
        <w:tab/>
        <w:t>X</w:t>
      </w:r>
      <w:r>
        <w:rPr>
          <w:sz w:val="20"/>
          <w:szCs w:val="20"/>
          <w:color w:val="auto"/>
        </w:rPr>
        <w:tab/>
      </w:r>
      <w:r>
        <w:rPr>
          <w:rFonts w:ascii="Courier New" w:cs="Courier New" w:eastAsia="Courier New" w:hAnsi="Courier New"/>
          <w:sz w:val="16"/>
          <w:szCs w:val="16"/>
          <w:color w:val="auto"/>
        </w:rPr>
        <w:t>No</w:t>
      </w:r>
    </w:p>
    <w:p>
      <w:pPr>
        <w:ind w:left="840"/>
        <w:spacing w:after="0" w:line="238" w:lineRule="auto"/>
        <w:tabs>
          <w:tab w:leader="none" w:pos="260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p>
    <w:p>
      <w:pPr>
        <w:spacing w:after="0" w:line="5" w:lineRule="exact"/>
        <w:rPr>
          <w:sz w:val="24"/>
          <w:szCs w:val="24"/>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The number of outstanding shares of the registrant's Common Stock as of March 17, 1994 was 40,547,435.</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4" w:lineRule="exact"/>
        <w:rPr>
          <w:sz w:val="24"/>
          <w:szCs w:val="24"/>
          <w:color w:val="auto"/>
        </w:rPr>
      </w:pPr>
    </w:p>
    <w:p>
      <w:pPr>
        <w:ind w:left="2100"/>
        <w:spacing w:after="0"/>
        <w:tabs>
          <w:tab w:leader="none" w:pos="3020" w:val="left"/>
        </w:tabs>
        <w:rPr>
          <w:sz w:val="20"/>
          <w:szCs w:val="20"/>
          <w:color w:val="auto"/>
        </w:rPr>
      </w:pPr>
      <w:r>
        <w:rPr>
          <w:rFonts w:ascii="Courier New" w:cs="Courier New" w:eastAsia="Courier New" w:hAnsi="Courier New"/>
          <w:sz w:val="18"/>
          <w:szCs w:val="18"/>
          <w:color w:val="auto"/>
        </w:rPr>
        <w:t>Part I.</w:t>
      </w:r>
      <w:r>
        <w:rPr>
          <w:sz w:val="20"/>
          <w:szCs w:val="20"/>
          <w:color w:val="auto"/>
        </w:rPr>
        <w:tab/>
      </w:r>
      <w:r>
        <w:rPr>
          <w:rFonts w:ascii="Courier New" w:cs="Courier New" w:eastAsia="Courier New" w:hAnsi="Courier New"/>
          <w:sz w:val="16"/>
          <w:szCs w:val="16"/>
          <w:color w:val="auto"/>
        </w:rPr>
        <w:t>FINANCIAL INFORMATION</w:t>
      </w:r>
    </w:p>
    <w:p>
      <w:pPr>
        <w:spacing w:after="0" w:line="201" w:lineRule="exact"/>
        <w:rPr>
          <w:sz w:val="24"/>
          <w:szCs w:val="24"/>
          <w:color w:val="auto"/>
        </w:rPr>
      </w:pPr>
    </w:p>
    <w:p>
      <w:pPr>
        <w:spacing w:after="0"/>
        <w:tabs>
          <w:tab w:leader="none" w:pos="920" w:val="left"/>
        </w:tabs>
        <w:rPr>
          <w:sz w:val="20"/>
          <w:szCs w:val="20"/>
          <w:color w:val="auto"/>
        </w:rPr>
      </w:pPr>
      <w:r>
        <w:rPr>
          <w:rFonts w:ascii="Courier New" w:cs="Courier New" w:eastAsia="Courier New" w:hAnsi="Courier New"/>
          <w:sz w:val="18"/>
          <w:szCs w:val="18"/>
          <w:color w:val="auto"/>
        </w:rPr>
        <w:t>Item 1.</w:t>
      </w:r>
      <w:r>
        <w:rPr>
          <w:sz w:val="20"/>
          <w:szCs w:val="20"/>
          <w:color w:val="auto"/>
        </w:rPr>
        <w:tab/>
      </w:r>
      <w:r>
        <w:rPr>
          <w:rFonts w:ascii="Courier New" w:cs="Courier New" w:eastAsia="Courier New" w:hAnsi="Courier New"/>
          <w:sz w:val="16"/>
          <w:szCs w:val="16"/>
          <w:color w:val="auto"/>
        </w:rPr>
        <w:t>Consolidated Financial Statements</w:t>
      </w:r>
    </w:p>
    <w:p>
      <w:pPr>
        <w:spacing w:after="0" w:line="201" w:lineRule="exact"/>
        <w:rPr>
          <w:sz w:val="24"/>
          <w:szCs w:val="24"/>
          <w:color w:val="auto"/>
        </w:rPr>
      </w:pPr>
    </w:p>
    <w:p>
      <w:pPr>
        <w:jc w:val="center"/>
        <w:ind w:right="2099"/>
        <w:spacing w:after="0"/>
        <w:rPr>
          <w:sz w:val="20"/>
          <w:szCs w:val="20"/>
          <w:color w:val="auto"/>
        </w:rPr>
      </w:pPr>
      <w:r>
        <w:rPr>
          <w:rFonts w:ascii="Courier New" w:cs="Courier New" w:eastAsia="Courier New" w:hAnsi="Courier New"/>
          <w:sz w:val="18"/>
          <w:szCs w:val="18"/>
          <w:color w:val="auto"/>
        </w:rPr>
        <w:t>MICRON TECHNOLOGY, INC.</w:t>
      </w:r>
    </w:p>
    <w:p>
      <w:pPr>
        <w:spacing w:after="0" w:line="201" w:lineRule="exact"/>
        <w:rPr>
          <w:sz w:val="24"/>
          <w:szCs w:val="24"/>
          <w:color w:val="auto"/>
        </w:rPr>
      </w:pPr>
    </w:p>
    <w:p>
      <w:pPr>
        <w:ind w:left="2200"/>
        <w:spacing w:after="0"/>
        <w:rPr>
          <w:sz w:val="20"/>
          <w:szCs w:val="20"/>
          <w:color w:val="auto"/>
        </w:rPr>
      </w:pPr>
      <w:r>
        <w:rPr>
          <w:rFonts w:ascii="Courier New" w:cs="Courier New" w:eastAsia="Courier New" w:hAnsi="Courier New"/>
          <w:sz w:val="18"/>
          <w:szCs w:val="18"/>
          <w:color w:val="auto"/>
        </w:rPr>
        <w:t>Consolidated Balance Sheets</w:t>
      </w:r>
    </w:p>
    <w:p>
      <w:pPr>
        <w:ind w:left="2520"/>
        <w:spacing w:after="0" w:line="238" w:lineRule="auto"/>
        <w:rPr>
          <w:sz w:val="20"/>
          <w:szCs w:val="20"/>
          <w:color w:val="auto"/>
        </w:rPr>
      </w:pPr>
      <w:r>
        <w:rPr>
          <w:rFonts w:ascii="Courier New" w:cs="Courier New" w:eastAsia="Courier New" w:hAnsi="Courier New"/>
          <w:sz w:val="18"/>
          <w:szCs w:val="18"/>
          <w:color w:val="auto"/>
        </w:rPr>
        <w:t>(Dollars in thousands)</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ind w:left="4100"/>
        <w:spacing w:after="0"/>
        <w:tabs>
          <w:tab w:leader="none" w:pos="5760" w:val="left"/>
        </w:tabs>
        <w:rPr>
          <w:sz w:val="20"/>
          <w:szCs w:val="20"/>
          <w:color w:val="auto"/>
        </w:rPr>
      </w:pPr>
      <w:r>
        <w:rPr>
          <w:rFonts w:ascii="Courier New" w:cs="Courier New" w:eastAsia="Courier New" w:hAnsi="Courier New"/>
          <w:sz w:val="18"/>
          <w:szCs w:val="18"/>
          <w:color w:val="auto"/>
        </w:rPr>
        <w:t>March 3,</w:t>
      </w:r>
      <w:r>
        <w:rPr>
          <w:sz w:val="20"/>
          <w:szCs w:val="20"/>
          <w:color w:val="auto"/>
        </w:rPr>
        <w:tab/>
      </w:r>
      <w:r>
        <w:rPr>
          <w:rFonts w:ascii="Courier New" w:cs="Courier New" w:eastAsia="Courier New" w:hAnsi="Courier New"/>
          <w:sz w:val="16"/>
          <w:szCs w:val="16"/>
          <w:color w:val="auto"/>
        </w:rPr>
        <w:t>September 2,</w:t>
      </w:r>
    </w:p>
    <w:p>
      <w:pPr>
        <w:sectPr>
          <w:pgSz w:w="11900" w:h="16838" w:orient="portrait"/>
          <w:cols w:equalWidth="0" w:num="1">
            <w:col w:w="9359"/>
          </w:cols>
          <w:pgMar w:left="1100" w:top="1440" w:right="1440" w:bottom="0" w:gutter="0" w:footer="0" w:header="0"/>
          <w:type w:val="continuous"/>
        </w:sectPr>
      </w:pPr>
    </w:p>
    <w:bookmarkStart w:id="1" w:name="page2"/>
    <w:bookmarkEnd w:id="1"/>
    <w:tbl>
      <w:tblPr>
        <w:tblLayout w:type="fixed"/>
        <w:tblInd w:w="4000" w:type="dxa"/>
        <w:tblCellMar>
          <w:top w:w="0" w:type="dxa"/>
          <w:left w:w="0" w:type="dxa"/>
          <w:bottom w:w="0" w:type="dxa"/>
          <w:right w:w="0" w:type="dxa"/>
        </w:tblCellMar>
      </w:tblPr>
      <w:tr>
        <w:trPr>
          <w:trHeight w:val="204"/>
        </w:trPr>
        <w:tc>
          <w:tcPr>
            <w:tcW w:w="1680" w:type="dxa"/>
            <w:vAlign w:val="bottom"/>
          </w:tcPr>
          <w:p>
            <w:pPr>
              <w:jc w:val="right"/>
              <w:ind w:right="852"/>
              <w:spacing w:after="0"/>
              <w:rPr>
                <w:sz w:val="20"/>
                <w:szCs w:val="20"/>
                <w:color w:val="auto"/>
              </w:rPr>
            </w:pPr>
            <w:r>
              <w:rPr>
                <w:rFonts w:ascii="Courier New" w:cs="Courier New" w:eastAsia="Courier New" w:hAnsi="Courier New"/>
                <w:sz w:val="18"/>
                <w:szCs w:val="18"/>
                <w:color w:val="auto"/>
              </w:rPr>
              <w:t>1994</w:t>
            </w:r>
          </w:p>
        </w:tc>
        <w:tc>
          <w:tcPr>
            <w:tcW w:w="940" w:type="dxa"/>
            <w:vAlign w:val="bottom"/>
          </w:tcPr>
          <w:p>
            <w:pPr>
              <w:jc w:val="right"/>
              <w:spacing w:after="0"/>
              <w:rPr>
                <w:sz w:val="20"/>
                <w:szCs w:val="20"/>
                <w:color w:val="auto"/>
              </w:rPr>
            </w:pPr>
            <w:r>
              <w:rPr>
                <w:rFonts w:ascii="Courier New" w:cs="Courier New" w:eastAsia="Courier New" w:hAnsi="Courier New"/>
                <w:sz w:val="18"/>
                <w:szCs w:val="18"/>
                <w:color w:val="auto"/>
              </w:rPr>
              <w:t>1993</w:t>
            </w:r>
          </w:p>
        </w:tc>
      </w:tr>
      <w:tr>
        <w:trPr>
          <w:trHeight w:val="203"/>
        </w:trPr>
        <w:tc>
          <w:tcPr>
            <w:tcW w:w="16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w w:val="95"/>
              </w:rPr>
              <w:t>(Unaudited)</w:t>
            </w:r>
          </w:p>
        </w:tc>
        <w:tc>
          <w:tcPr>
            <w:tcW w:w="940" w:type="dxa"/>
            <w:vAlign w:val="bottom"/>
          </w:tcPr>
          <w:p>
            <w:pPr>
              <w:spacing w:after="0"/>
              <w:rPr>
                <w:sz w:val="17"/>
                <w:szCs w:val="17"/>
                <w:color w:val="auto"/>
              </w:rPr>
            </w:pP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ASSETS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160" w:type="dxa"/>
            <w:vAlign w:val="bottom"/>
          </w:tcPr>
          <w:p>
            <w:pPr>
              <w:spacing w:after="0"/>
              <w:rPr>
                <w:sz w:val="20"/>
                <w:szCs w:val="20"/>
                <w:color w:val="auto"/>
              </w:rPr>
            </w:pPr>
            <w:r>
              <w:rPr>
                <w:rFonts w:ascii="Courier New" w:cs="Courier New" w:eastAsia="Courier New" w:hAnsi="Courier New"/>
                <w:sz w:val="18"/>
                <w:szCs w:val="18"/>
                <w:color w:val="auto"/>
              </w:rPr>
              <w:t>Current assets:</w:t>
            </w:r>
          </w:p>
        </w:tc>
        <w:tc>
          <w:tcPr>
            <w:tcW w:w="230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316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Cash and equivalents</w:t>
            </w:r>
          </w:p>
        </w:tc>
        <w:tc>
          <w:tcPr>
            <w:tcW w:w="23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   40,770</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$ 47,523</w:t>
            </w:r>
          </w:p>
        </w:tc>
      </w:tr>
      <w:tr>
        <w:trPr>
          <w:trHeight w:val="203"/>
        </w:trPr>
        <w:tc>
          <w:tcPr>
            <w:tcW w:w="316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Liquid investments</w:t>
            </w:r>
          </w:p>
        </w:tc>
        <w:tc>
          <w:tcPr>
            <w:tcW w:w="23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182,412</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138,290</w:t>
            </w:r>
          </w:p>
        </w:tc>
      </w:tr>
      <w:tr>
        <w:trPr>
          <w:trHeight w:val="203"/>
        </w:trPr>
        <w:tc>
          <w:tcPr>
            <w:tcW w:w="316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Receivables</w:t>
            </w:r>
          </w:p>
        </w:tc>
        <w:tc>
          <w:tcPr>
            <w:tcW w:w="23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192,881</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154,686</w:t>
            </w:r>
          </w:p>
        </w:tc>
      </w:tr>
      <w:tr>
        <w:trPr>
          <w:trHeight w:val="203"/>
        </w:trPr>
        <w:tc>
          <w:tcPr>
            <w:tcW w:w="316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Inventories</w:t>
            </w:r>
          </w:p>
        </w:tc>
        <w:tc>
          <w:tcPr>
            <w:tcW w:w="23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95,591</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83,164</w:t>
            </w:r>
          </w:p>
        </w:tc>
      </w:tr>
      <w:tr>
        <w:trPr>
          <w:trHeight w:val="203"/>
        </w:trPr>
        <w:tc>
          <w:tcPr>
            <w:tcW w:w="316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Prepaid expenses</w:t>
            </w:r>
          </w:p>
        </w:tc>
        <w:tc>
          <w:tcPr>
            <w:tcW w:w="23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3,939</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1,493</w:t>
            </w:r>
          </w:p>
        </w:tc>
      </w:tr>
      <w:tr>
        <w:trPr>
          <w:trHeight w:val="203"/>
        </w:trPr>
        <w:tc>
          <w:tcPr>
            <w:tcW w:w="316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Deferred income taxes</w:t>
            </w:r>
          </w:p>
        </w:tc>
        <w:tc>
          <w:tcPr>
            <w:tcW w:w="23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13,930</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14,920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00" w:type="dxa"/>
            <w:vAlign w:val="bottom"/>
          </w:tcPr>
          <w:p>
            <w:pPr>
              <w:ind w:left="420"/>
              <w:spacing w:after="0"/>
              <w:rPr>
                <w:sz w:val="20"/>
                <w:szCs w:val="20"/>
                <w:color w:val="auto"/>
              </w:rPr>
            </w:pPr>
            <w:r>
              <w:rPr>
                <w:rFonts w:ascii="Courier New" w:cs="Courier New" w:eastAsia="Courier New" w:hAnsi="Courier New"/>
                <w:sz w:val="18"/>
                <w:szCs w:val="18"/>
                <w:color w:val="auto"/>
              </w:rPr>
              <w:t>Total</w:t>
            </w:r>
          </w:p>
        </w:tc>
        <w:tc>
          <w:tcPr>
            <w:tcW w:w="2940" w:type="dxa"/>
            <w:vAlign w:val="bottom"/>
          </w:tcPr>
          <w:p>
            <w:pPr>
              <w:ind w:left="40"/>
              <w:spacing w:after="0"/>
              <w:rPr>
                <w:sz w:val="20"/>
                <w:szCs w:val="20"/>
                <w:color w:val="auto"/>
              </w:rPr>
            </w:pPr>
            <w:r>
              <w:rPr>
                <w:rFonts w:ascii="Courier New" w:cs="Courier New" w:eastAsia="Courier New" w:hAnsi="Courier New"/>
                <w:sz w:val="18"/>
                <w:szCs w:val="18"/>
                <w:color w:val="auto"/>
              </w:rPr>
              <w:t>current assets</w:t>
            </w:r>
          </w:p>
        </w:tc>
        <w:tc>
          <w:tcPr>
            <w:tcW w:w="158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529,523</w:t>
            </w:r>
          </w:p>
        </w:tc>
        <w:tc>
          <w:tcPr>
            <w:tcW w:w="1320" w:type="dxa"/>
            <w:vAlign w:val="bottom"/>
          </w:tcPr>
          <w:p>
            <w:pPr>
              <w:jc w:val="right"/>
              <w:spacing w:after="0"/>
              <w:rPr>
                <w:sz w:val="20"/>
                <w:szCs w:val="20"/>
                <w:color w:val="auto"/>
              </w:rPr>
            </w:pPr>
            <w:r>
              <w:rPr>
                <w:rFonts w:ascii="Courier New" w:cs="Courier New" w:eastAsia="Courier New" w:hAnsi="Courier New"/>
                <w:sz w:val="18"/>
                <w:szCs w:val="18"/>
                <w:color w:val="auto"/>
              </w:rPr>
              <w:t>440,076</w:t>
            </w:r>
          </w:p>
        </w:tc>
      </w:tr>
      <w:tr>
        <w:trPr>
          <w:trHeight w:val="405"/>
        </w:trPr>
        <w:tc>
          <w:tcPr>
            <w:tcW w:w="3940" w:type="dxa"/>
            <w:vAlign w:val="bottom"/>
            <w:gridSpan w:val="2"/>
          </w:tcPr>
          <w:p>
            <w:pPr>
              <w:spacing w:after="0"/>
              <w:rPr>
                <w:sz w:val="20"/>
                <w:szCs w:val="20"/>
                <w:color w:val="auto"/>
              </w:rPr>
            </w:pPr>
            <w:r>
              <w:rPr>
                <w:rFonts w:ascii="Courier New" w:cs="Courier New" w:eastAsia="Courier New" w:hAnsi="Courier New"/>
                <w:sz w:val="18"/>
                <w:szCs w:val="18"/>
                <w:color w:val="auto"/>
              </w:rPr>
              <w:t>Product and process technology, net</w:t>
            </w:r>
          </w:p>
        </w:tc>
        <w:tc>
          <w:tcPr>
            <w:tcW w:w="158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58,079</w:t>
            </w:r>
          </w:p>
        </w:tc>
        <w:tc>
          <w:tcPr>
            <w:tcW w:w="1320" w:type="dxa"/>
            <w:vAlign w:val="bottom"/>
          </w:tcPr>
          <w:p>
            <w:pPr>
              <w:jc w:val="right"/>
              <w:spacing w:after="0"/>
              <w:rPr>
                <w:sz w:val="20"/>
                <w:szCs w:val="20"/>
                <w:color w:val="auto"/>
              </w:rPr>
            </w:pPr>
            <w:r>
              <w:rPr>
                <w:rFonts w:ascii="Courier New" w:cs="Courier New" w:eastAsia="Courier New" w:hAnsi="Courier New"/>
                <w:sz w:val="18"/>
                <w:szCs w:val="18"/>
                <w:color w:val="auto"/>
              </w:rPr>
              <w:t>69,703</w:t>
            </w:r>
          </w:p>
        </w:tc>
      </w:tr>
      <w:tr>
        <w:trPr>
          <w:trHeight w:val="203"/>
        </w:trPr>
        <w:tc>
          <w:tcPr>
            <w:tcW w:w="1000" w:type="dxa"/>
            <w:vAlign w:val="bottom"/>
          </w:tcPr>
          <w:p>
            <w:pPr>
              <w:spacing w:after="0" w:line="203" w:lineRule="exact"/>
              <w:rPr>
                <w:sz w:val="20"/>
                <w:szCs w:val="20"/>
                <w:color w:val="auto"/>
              </w:rPr>
            </w:pPr>
            <w:r>
              <w:rPr>
                <w:rFonts w:ascii="Courier New" w:cs="Courier New" w:eastAsia="Courier New" w:hAnsi="Courier New"/>
                <w:sz w:val="18"/>
                <w:szCs w:val="18"/>
                <w:color w:val="auto"/>
              </w:rPr>
              <w:t>Property,</w:t>
            </w:r>
          </w:p>
        </w:tc>
        <w:tc>
          <w:tcPr>
            <w:tcW w:w="29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plant, and equipment, net</w:t>
            </w:r>
          </w:p>
        </w:tc>
        <w:tc>
          <w:tcPr>
            <w:tcW w:w="15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533,959</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437,761</w:t>
            </w:r>
          </w:p>
        </w:tc>
      </w:tr>
      <w:tr>
        <w:trPr>
          <w:trHeight w:val="203"/>
        </w:trPr>
        <w:tc>
          <w:tcPr>
            <w:tcW w:w="39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Other assets</w:t>
            </w:r>
          </w:p>
        </w:tc>
        <w:tc>
          <w:tcPr>
            <w:tcW w:w="15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19,865</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18,116</w:t>
            </w:r>
          </w:p>
        </w:tc>
      </w:tr>
    </w:tbl>
    <w:p>
      <w:pPr>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jc w:val="both"/>
        <w:ind w:right="2519" w:firstLine="421"/>
        <w:spacing w:after="0" w:line="235" w:lineRule="auto"/>
        <w:rPr>
          <w:sz w:val="20"/>
          <w:szCs w:val="20"/>
          <w:color w:val="auto"/>
        </w:rPr>
      </w:pPr>
      <w:r>
        <w:rPr>
          <w:rFonts w:ascii="Courier New" w:cs="Courier New" w:eastAsia="Courier New" w:hAnsi="Courier New"/>
          <w:sz w:val="18"/>
          <w:szCs w:val="18"/>
          <w:color w:val="auto"/>
        </w:rPr>
        <w:t>Total assets $1,141,426 $965,656 ================ ========== ========</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LIABILITIES AND SHAREHOLDERS' EQUITY</w:t>
      </w:r>
    </w:p>
    <w:p>
      <w:pPr>
        <w:spacing w:after="0" w:line="238" w:lineRule="auto"/>
        <w:rPr>
          <w:sz w:val="20"/>
          <w:szCs w:val="20"/>
          <w:color w:val="auto"/>
        </w:rPr>
      </w:pPr>
      <w:r>
        <w:rPr>
          <w:rFonts w:ascii="Courier New" w:cs="Courier New" w:eastAsia="Courier New" w:hAnsi="Courier New"/>
          <w:sz w:val="18"/>
          <w:szCs w:val="18"/>
          <w:color w:val="auto"/>
        </w:rPr>
        <w:t>-----------------------------------------------------------------</w:t>
      </w:r>
    </w:p>
    <w:tbl>
      <w:tblPr>
        <w:tblLayout w:type="fixed"/>
        <w:tblInd w:w="0" w:type="dxa"/>
        <w:tblCellMar>
          <w:top w:w="0" w:type="dxa"/>
          <w:left w:w="0" w:type="dxa"/>
          <w:bottom w:w="0" w:type="dxa"/>
          <w:right w:w="0" w:type="dxa"/>
        </w:tblCellMar>
      </w:tblPr>
      <w:tr>
        <w:trPr>
          <w:trHeight w:val="203"/>
        </w:trPr>
        <w:tc>
          <w:tcPr>
            <w:tcW w:w="3780" w:type="dxa"/>
            <w:vAlign w:val="bottom"/>
          </w:tcPr>
          <w:p>
            <w:pPr>
              <w:spacing w:after="0"/>
              <w:rPr>
                <w:sz w:val="20"/>
                <w:szCs w:val="20"/>
                <w:color w:val="auto"/>
              </w:rPr>
            </w:pPr>
            <w:r>
              <w:rPr>
                <w:rFonts w:ascii="Courier New" w:cs="Courier New" w:eastAsia="Courier New" w:hAnsi="Courier New"/>
                <w:sz w:val="18"/>
                <w:szCs w:val="18"/>
                <w:color w:val="auto"/>
              </w:rPr>
              <w:t>Current liabilities:</w:t>
            </w:r>
          </w:p>
        </w:tc>
        <w:tc>
          <w:tcPr>
            <w:tcW w:w="168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378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Accounts payable and accrued</w:t>
            </w:r>
          </w:p>
        </w:tc>
        <w:tc>
          <w:tcPr>
            <w:tcW w:w="168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378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expenses</w:t>
            </w:r>
          </w:p>
        </w:tc>
        <w:tc>
          <w:tcPr>
            <w:tcW w:w="16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  179,920</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$154,963</w:t>
            </w:r>
          </w:p>
        </w:tc>
      </w:tr>
      <w:tr>
        <w:trPr>
          <w:trHeight w:val="203"/>
        </w:trPr>
        <w:tc>
          <w:tcPr>
            <w:tcW w:w="378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Deferred income</w:t>
            </w:r>
          </w:p>
        </w:tc>
        <w:tc>
          <w:tcPr>
            <w:tcW w:w="16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5,735</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5,501</w:t>
            </w:r>
          </w:p>
        </w:tc>
      </w:tr>
      <w:tr>
        <w:trPr>
          <w:trHeight w:val="203"/>
        </w:trPr>
        <w:tc>
          <w:tcPr>
            <w:tcW w:w="378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Equipment purchase contracts</w:t>
            </w:r>
          </w:p>
        </w:tc>
        <w:tc>
          <w:tcPr>
            <w:tcW w:w="16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19,440</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24,913</w:t>
            </w:r>
          </w:p>
        </w:tc>
      </w:tr>
      <w:tr>
        <w:trPr>
          <w:trHeight w:val="203"/>
        </w:trPr>
        <w:tc>
          <w:tcPr>
            <w:tcW w:w="378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w w:val="99"/>
              </w:rPr>
              <w:t>Current portion of long-term debt</w:t>
            </w:r>
          </w:p>
        </w:tc>
        <w:tc>
          <w:tcPr>
            <w:tcW w:w="16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20,635</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25,407</w:t>
            </w:r>
          </w:p>
        </w:tc>
      </w:tr>
    </w:tbl>
    <w:p>
      <w:pPr>
        <w:spacing w:after="0" w:line="238" w:lineRule="auto"/>
        <w:rPr>
          <w:sz w:val="20"/>
          <w:szCs w:val="20"/>
          <w:color w:val="auto"/>
        </w:rPr>
      </w:pPr>
      <w:r>
        <w:rPr>
          <w:rFonts w:ascii="Courier New" w:cs="Courier New" w:eastAsia="Courier New" w:hAnsi="Courier New"/>
          <w:sz w:val="18"/>
          <w:szCs w:val="18"/>
          <w:color w:val="auto"/>
        </w:rPr>
        <w:t>-----------------------------------------------------------------</w:t>
      </w:r>
    </w:p>
    <w:tbl>
      <w:tblPr>
        <w:tblLayout w:type="fixed"/>
        <w:tblInd w:w="0" w:type="dxa"/>
        <w:tblCellMar>
          <w:top w:w="0" w:type="dxa"/>
          <w:left w:w="0" w:type="dxa"/>
          <w:bottom w:w="0" w:type="dxa"/>
          <w:right w:w="0" w:type="dxa"/>
        </w:tblCellMar>
      </w:tblPr>
      <w:tr>
        <w:trPr>
          <w:trHeight w:val="203"/>
        </w:trPr>
        <w:tc>
          <w:tcPr>
            <w:tcW w:w="1000" w:type="dxa"/>
            <w:vAlign w:val="bottom"/>
          </w:tcPr>
          <w:p>
            <w:pPr>
              <w:ind w:left="420"/>
              <w:spacing w:after="0"/>
              <w:rPr>
                <w:sz w:val="20"/>
                <w:szCs w:val="20"/>
                <w:color w:val="auto"/>
              </w:rPr>
            </w:pPr>
            <w:r>
              <w:rPr>
                <w:rFonts w:ascii="Courier New" w:cs="Courier New" w:eastAsia="Courier New" w:hAnsi="Courier New"/>
                <w:sz w:val="18"/>
                <w:szCs w:val="18"/>
                <w:color w:val="auto"/>
              </w:rPr>
              <w:t>Total</w:t>
            </w:r>
          </w:p>
        </w:tc>
        <w:tc>
          <w:tcPr>
            <w:tcW w:w="2620" w:type="dxa"/>
            <w:vAlign w:val="bottom"/>
          </w:tcPr>
          <w:p>
            <w:pPr>
              <w:ind w:left="40"/>
              <w:spacing w:after="0"/>
              <w:rPr>
                <w:sz w:val="20"/>
                <w:szCs w:val="20"/>
                <w:color w:val="auto"/>
              </w:rPr>
            </w:pPr>
            <w:r>
              <w:rPr>
                <w:rFonts w:ascii="Courier New" w:cs="Courier New" w:eastAsia="Courier New" w:hAnsi="Courier New"/>
                <w:sz w:val="18"/>
                <w:szCs w:val="18"/>
                <w:color w:val="auto"/>
              </w:rPr>
              <w:t>current liabilities</w:t>
            </w:r>
          </w:p>
        </w:tc>
        <w:tc>
          <w:tcPr>
            <w:tcW w:w="190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225,730</w:t>
            </w:r>
          </w:p>
        </w:tc>
        <w:tc>
          <w:tcPr>
            <w:tcW w:w="1320" w:type="dxa"/>
            <w:vAlign w:val="bottom"/>
          </w:tcPr>
          <w:p>
            <w:pPr>
              <w:jc w:val="right"/>
              <w:spacing w:after="0"/>
              <w:rPr>
                <w:sz w:val="20"/>
                <w:szCs w:val="20"/>
                <w:color w:val="auto"/>
              </w:rPr>
            </w:pPr>
            <w:r>
              <w:rPr>
                <w:rFonts w:ascii="Courier New" w:cs="Courier New" w:eastAsia="Courier New" w:hAnsi="Courier New"/>
                <w:sz w:val="18"/>
                <w:szCs w:val="18"/>
                <w:color w:val="auto"/>
              </w:rPr>
              <w:t>210,784</w:t>
            </w:r>
          </w:p>
        </w:tc>
      </w:tr>
      <w:tr>
        <w:trPr>
          <w:trHeight w:val="405"/>
        </w:trPr>
        <w:tc>
          <w:tcPr>
            <w:tcW w:w="1000" w:type="dxa"/>
            <w:vAlign w:val="bottom"/>
          </w:tcPr>
          <w:p>
            <w:pPr>
              <w:spacing w:after="0"/>
              <w:rPr>
                <w:sz w:val="20"/>
                <w:szCs w:val="20"/>
                <w:color w:val="auto"/>
              </w:rPr>
            </w:pPr>
            <w:r>
              <w:rPr>
                <w:rFonts w:ascii="Courier New" w:cs="Courier New" w:eastAsia="Courier New" w:hAnsi="Courier New"/>
                <w:sz w:val="18"/>
                <w:szCs w:val="18"/>
                <w:color w:val="auto"/>
              </w:rPr>
              <w:t>Long-term</w:t>
            </w:r>
          </w:p>
        </w:tc>
        <w:tc>
          <w:tcPr>
            <w:tcW w:w="2620" w:type="dxa"/>
            <w:vAlign w:val="bottom"/>
          </w:tcPr>
          <w:p>
            <w:pPr>
              <w:ind w:left="40"/>
              <w:spacing w:after="0"/>
              <w:rPr>
                <w:sz w:val="20"/>
                <w:szCs w:val="20"/>
                <w:color w:val="auto"/>
              </w:rPr>
            </w:pPr>
            <w:r>
              <w:rPr>
                <w:rFonts w:ascii="Courier New" w:cs="Courier New" w:eastAsia="Courier New" w:hAnsi="Courier New"/>
                <w:sz w:val="18"/>
                <w:szCs w:val="18"/>
                <w:color w:val="auto"/>
              </w:rPr>
              <w:t>debt</w:t>
            </w:r>
          </w:p>
        </w:tc>
        <w:tc>
          <w:tcPr>
            <w:tcW w:w="190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42,588</w:t>
            </w:r>
          </w:p>
        </w:tc>
        <w:tc>
          <w:tcPr>
            <w:tcW w:w="1320" w:type="dxa"/>
            <w:vAlign w:val="bottom"/>
          </w:tcPr>
          <w:p>
            <w:pPr>
              <w:jc w:val="right"/>
              <w:spacing w:after="0"/>
              <w:rPr>
                <w:sz w:val="20"/>
                <w:szCs w:val="20"/>
                <w:color w:val="auto"/>
              </w:rPr>
            </w:pPr>
            <w:r>
              <w:rPr>
                <w:rFonts w:ascii="Courier New" w:cs="Courier New" w:eastAsia="Courier New" w:hAnsi="Courier New"/>
                <w:sz w:val="18"/>
                <w:szCs w:val="18"/>
                <w:color w:val="auto"/>
              </w:rPr>
              <w:t>54,361</w:t>
            </w:r>
          </w:p>
        </w:tc>
      </w:tr>
      <w:tr>
        <w:trPr>
          <w:trHeight w:val="203"/>
        </w:trPr>
        <w:tc>
          <w:tcPr>
            <w:tcW w:w="36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Deferred income taxes</w:t>
            </w:r>
          </w:p>
        </w:tc>
        <w:tc>
          <w:tcPr>
            <w:tcW w:w="190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45,933</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46,216</w:t>
            </w:r>
          </w:p>
        </w:tc>
      </w:tr>
      <w:tr>
        <w:trPr>
          <w:trHeight w:val="203"/>
        </w:trPr>
        <w:tc>
          <w:tcPr>
            <w:tcW w:w="36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Other liabilities</w:t>
            </w:r>
          </w:p>
        </w:tc>
        <w:tc>
          <w:tcPr>
            <w:tcW w:w="190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24,226</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14,786</w:t>
            </w:r>
          </w:p>
        </w:tc>
      </w:tr>
    </w:tbl>
    <w:p>
      <w:pPr>
        <w:spacing w:after="0" w:line="238" w:lineRule="auto"/>
        <w:rPr>
          <w:sz w:val="20"/>
          <w:szCs w:val="20"/>
          <w:color w:val="auto"/>
        </w:rPr>
      </w:pPr>
      <w:r>
        <w:rPr>
          <w:rFonts w:ascii="Courier New" w:cs="Courier New" w:eastAsia="Courier New" w:hAnsi="Courier New"/>
          <w:sz w:val="18"/>
          <w:szCs w:val="18"/>
          <w:color w:val="auto"/>
        </w:rPr>
        <w:t>-----------------------------------------------------------------</w:t>
      </w:r>
    </w:p>
    <w:tbl>
      <w:tblPr>
        <w:tblLayout w:type="fixed"/>
        <w:tblInd w:w="420" w:type="dxa"/>
        <w:tblCellMar>
          <w:top w:w="0" w:type="dxa"/>
          <w:left w:w="0" w:type="dxa"/>
          <w:bottom w:w="0" w:type="dxa"/>
          <w:right w:w="0" w:type="dxa"/>
        </w:tblCellMar>
      </w:tblPr>
      <w:tr>
        <w:trPr>
          <w:trHeight w:val="203"/>
        </w:trPr>
        <w:tc>
          <w:tcPr>
            <w:tcW w:w="2780" w:type="dxa"/>
            <w:vAlign w:val="bottom"/>
          </w:tcPr>
          <w:p>
            <w:pPr>
              <w:spacing w:after="0"/>
              <w:rPr>
                <w:sz w:val="20"/>
                <w:szCs w:val="20"/>
                <w:color w:val="auto"/>
              </w:rPr>
            </w:pPr>
            <w:r>
              <w:rPr>
                <w:rFonts w:ascii="Courier New" w:cs="Courier New" w:eastAsia="Courier New" w:hAnsi="Courier New"/>
                <w:sz w:val="18"/>
                <w:szCs w:val="18"/>
                <w:color w:val="auto"/>
              </w:rPr>
              <w:t>Total liabilities</w:t>
            </w:r>
          </w:p>
        </w:tc>
        <w:tc>
          <w:tcPr>
            <w:tcW w:w="232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338,477</w:t>
            </w:r>
          </w:p>
        </w:tc>
        <w:tc>
          <w:tcPr>
            <w:tcW w:w="1320" w:type="dxa"/>
            <w:vAlign w:val="bottom"/>
          </w:tcPr>
          <w:p>
            <w:pPr>
              <w:jc w:val="right"/>
              <w:spacing w:after="0"/>
              <w:rPr>
                <w:sz w:val="20"/>
                <w:szCs w:val="20"/>
                <w:color w:val="auto"/>
              </w:rPr>
            </w:pPr>
            <w:r>
              <w:rPr>
                <w:rFonts w:ascii="Courier New" w:cs="Courier New" w:eastAsia="Courier New" w:hAnsi="Courier New"/>
                <w:sz w:val="18"/>
                <w:szCs w:val="18"/>
                <w:color w:val="auto"/>
              </w:rPr>
              <w:t>326,147</w:t>
            </w:r>
          </w:p>
        </w:tc>
      </w:tr>
    </w:tbl>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Commitments and contingencies</w:t>
      </w:r>
    </w:p>
    <w:p>
      <w:pPr>
        <w:spacing w:after="0" w:line="237" w:lineRule="auto"/>
        <w:rPr>
          <w:sz w:val="20"/>
          <w:szCs w:val="20"/>
          <w:color w:val="auto"/>
        </w:rPr>
      </w:pPr>
      <w:r>
        <w:rPr>
          <w:rFonts w:ascii="Courier New" w:cs="Courier New" w:eastAsia="Courier New" w:hAnsi="Courier New"/>
          <w:sz w:val="18"/>
          <w:szCs w:val="18"/>
          <w:color w:val="auto"/>
        </w:rPr>
        <w:t>-----------------------------------------------------------------</w:t>
      </w:r>
    </w:p>
    <w:tbl>
      <w:tblPr>
        <w:tblLayout w:type="fixed"/>
        <w:tblInd w:w="0" w:type="dxa"/>
        <w:tblCellMar>
          <w:top w:w="0" w:type="dxa"/>
          <w:left w:w="0" w:type="dxa"/>
          <w:bottom w:w="0" w:type="dxa"/>
          <w:right w:w="0" w:type="dxa"/>
        </w:tblCellMar>
      </w:tblPr>
      <w:tr>
        <w:trPr>
          <w:trHeight w:val="203"/>
        </w:trPr>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Shareholders'</w:t>
            </w:r>
          </w:p>
        </w:tc>
        <w:tc>
          <w:tcPr>
            <w:tcW w:w="7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5"/>
              </w:rPr>
              <w:t>equity:</w:t>
            </w:r>
          </w:p>
        </w:tc>
        <w:tc>
          <w:tcPr>
            <w:tcW w:w="16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220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rPr>
              <w:t>Common stock, $.10</w:t>
            </w:r>
          </w:p>
        </w:tc>
        <w:tc>
          <w:tcPr>
            <w:tcW w:w="1680" w:type="dxa"/>
            <w:vAlign w:val="bottom"/>
          </w:tcPr>
          <w:p>
            <w:pPr>
              <w:spacing w:after="0" w:line="203" w:lineRule="exact"/>
              <w:rPr>
                <w:sz w:val="20"/>
                <w:szCs w:val="20"/>
                <w:color w:val="auto"/>
              </w:rPr>
            </w:pPr>
            <w:r>
              <w:rPr>
                <w:rFonts w:ascii="Courier New" w:cs="Courier New" w:eastAsia="Courier New" w:hAnsi="Courier New"/>
                <w:sz w:val="18"/>
                <w:szCs w:val="18"/>
                <w:color w:val="auto"/>
              </w:rPr>
              <w:t>par value,</w:t>
            </w:r>
          </w:p>
        </w:tc>
        <w:tc>
          <w:tcPr>
            <w:tcW w:w="170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authorized</w:t>
            </w:r>
          </w:p>
        </w:tc>
        <w:tc>
          <w:tcPr>
            <w:tcW w:w="24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150,000,000 shares,</w:t>
            </w:r>
          </w:p>
        </w:tc>
        <w:tc>
          <w:tcPr>
            <w:tcW w:w="170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2200" w:type="dxa"/>
            <w:vAlign w:val="bottom"/>
            <w:gridSpan w:val="2"/>
          </w:tcPr>
          <w:p>
            <w:pPr>
              <w:ind w:left="300"/>
              <w:spacing w:after="0" w:line="203" w:lineRule="exact"/>
              <w:rPr>
                <w:sz w:val="20"/>
                <w:szCs w:val="20"/>
                <w:color w:val="auto"/>
              </w:rPr>
            </w:pPr>
            <w:r>
              <w:rPr>
                <w:rFonts w:ascii="Courier New" w:cs="Courier New" w:eastAsia="Courier New" w:hAnsi="Courier New"/>
                <w:sz w:val="18"/>
                <w:szCs w:val="18"/>
                <w:color w:val="auto"/>
              </w:rPr>
              <w:t>issued 40,515,378</w:t>
            </w:r>
          </w:p>
        </w:tc>
        <w:tc>
          <w:tcPr>
            <w:tcW w:w="16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170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40,099,156</w:t>
            </w:r>
          </w:p>
        </w:tc>
        <w:tc>
          <w:tcPr>
            <w:tcW w:w="24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shares, respectively</w:t>
            </w:r>
          </w:p>
        </w:tc>
        <w:tc>
          <w:tcPr>
            <w:tcW w:w="170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4,052</w:t>
            </w:r>
          </w:p>
        </w:tc>
        <w:tc>
          <w:tcPr>
            <w:tcW w:w="1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4,010</w:t>
            </w:r>
          </w:p>
        </w:tc>
      </w:tr>
      <w:tr>
        <w:trPr>
          <w:trHeight w:val="203"/>
        </w:trPr>
        <w:tc>
          <w:tcPr>
            <w:tcW w:w="220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rPr>
              <w:t>Additional paid-in</w:t>
            </w:r>
          </w:p>
        </w:tc>
        <w:tc>
          <w:tcPr>
            <w:tcW w:w="1680" w:type="dxa"/>
            <w:vAlign w:val="bottom"/>
          </w:tcPr>
          <w:p>
            <w:pPr>
              <w:spacing w:after="0" w:line="203" w:lineRule="exact"/>
              <w:rPr>
                <w:sz w:val="20"/>
                <w:szCs w:val="20"/>
                <w:color w:val="auto"/>
              </w:rPr>
            </w:pPr>
            <w:r>
              <w:rPr>
                <w:rFonts w:ascii="Courier New" w:cs="Courier New" w:eastAsia="Courier New" w:hAnsi="Courier New"/>
                <w:sz w:val="18"/>
                <w:szCs w:val="18"/>
                <w:color w:val="auto"/>
              </w:rPr>
              <w:t>capital</w:t>
            </w:r>
          </w:p>
        </w:tc>
        <w:tc>
          <w:tcPr>
            <w:tcW w:w="170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365,612</w:t>
            </w:r>
          </w:p>
        </w:tc>
        <w:tc>
          <w:tcPr>
            <w:tcW w:w="1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353,277</w:t>
            </w:r>
          </w:p>
        </w:tc>
      </w:tr>
      <w:tr>
        <w:trPr>
          <w:trHeight w:val="203"/>
        </w:trPr>
        <w:tc>
          <w:tcPr>
            <w:tcW w:w="220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rPr>
              <w:t>Retained earnings</w:t>
            </w:r>
          </w:p>
        </w:tc>
        <w:tc>
          <w:tcPr>
            <w:tcW w:w="1680" w:type="dxa"/>
            <w:vAlign w:val="bottom"/>
          </w:tcPr>
          <w:p>
            <w:pPr>
              <w:spacing w:after="0"/>
              <w:rPr>
                <w:sz w:val="17"/>
                <w:szCs w:val="17"/>
                <w:color w:val="auto"/>
              </w:rPr>
            </w:pPr>
          </w:p>
        </w:tc>
        <w:tc>
          <w:tcPr>
            <w:tcW w:w="170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434,759</w:t>
            </w:r>
          </w:p>
        </w:tc>
        <w:tc>
          <w:tcPr>
            <w:tcW w:w="1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282,468</w:t>
            </w:r>
          </w:p>
        </w:tc>
      </w:tr>
      <w:tr>
        <w:trPr>
          <w:trHeight w:val="203"/>
        </w:trPr>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Unamortized</w:t>
            </w:r>
          </w:p>
        </w:tc>
        <w:tc>
          <w:tcPr>
            <w:tcW w:w="24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stock compensation</w:t>
            </w:r>
          </w:p>
        </w:tc>
        <w:tc>
          <w:tcPr>
            <w:tcW w:w="170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(1,474)</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(246)</w:t>
            </w:r>
          </w:p>
        </w:tc>
      </w:tr>
    </w:tbl>
    <w:p>
      <w:pPr>
        <w:spacing w:after="0" w:line="238" w:lineRule="auto"/>
        <w:rPr>
          <w:sz w:val="20"/>
          <w:szCs w:val="20"/>
          <w:color w:val="auto"/>
        </w:rPr>
      </w:pPr>
      <w:r>
        <w:rPr>
          <w:rFonts w:ascii="Courier New" w:cs="Courier New" w:eastAsia="Courier New" w:hAnsi="Courier New"/>
          <w:sz w:val="18"/>
          <w:szCs w:val="18"/>
          <w:color w:val="auto"/>
        </w:rPr>
        <w:t>------------------------------------------------------------------</w:t>
      </w:r>
    </w:p>
    <w:tbl>
      <w:tblPr>
        <w:tblLayout w:type="fixed"/>
        <w:tblInd w:w="420" w:type="dxa"/>
        <w:tblCellMar>
          <w:top w:w="0" w:type="dxa"/>
          <w:left w:w="0" w:type="dxa"/>
          <w:bottom w:w="0" w:type="dxa"/>
          <w:right w:w="0" w:type="dxa"/>
        </w:tblCellMar>
      </w:tblPr>
      <w:tr>
        <w:trPr>
          <w:trHeight w:val="203"/>
        </w:trPr>
        <w:tc>
          <w:tcPr>
            <w:tcW w:w="3260" w:type="dxa"/>
            <w:vAlign w:val="bottom"/>
          </w:tcPr>
          <w:p>
            <w:pPr>
              <w:spacing w:after="0"/>
              <w:rPr>
                <w:sz w:val="20"/>
                <w:szCs w:val="20"/>
                <w:color w:val="auto"/>
              </w:rPr>
            </w:pPr>
            <w:r>
              <w:rPr>
                <w:rFonts w:ascii="Courier New" w:cs="Courier New" w:eastAsia="Courier New" w:hAnsi="Courier New"/>
                <w:sz w:val="18"/>
                <w:szCs w:val="18"/>
                <w:color w:val="auto"/>
              </w:rPr>
              <w:t>Total shareholders' equity</w:t>
            </w:r>
          </w:p>
        </w:tc>
        <w:tc>
          <w:tcPr>
            <w:tcW w:w="184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802,949</w:t>
            </w:r>
          </w:p>
        </w:tc>
        <w:tc>
          <w:tcPr>
            <w:tcW w:w="1320" w:type="dxa"/>
            <w:vAlign w:val="bottom"/>
          </w:tcPr>
          <w:p>
            <w:pPr>
              <w:jc w:val="right"/>
              <w:spacing w:after="0"/>
              <w:rPr>
                <w:sz w:val="20"/>
                <w:szCs w:val="20"/>
                <w:color w:val="auto"/>
              </w:rPr>
            </w:pPr>
            <w:r>
              <w:rPr>
                <w:rFonts w:ascii="Courier New" w:cs="Courier New" w:eastAsia="Courier New" w:hAnsi="Courier New"/>
                <w:sz w:val="18"/>
                <w:szCs w:val="18"/>
                <w:color w:val="auto"/>
              </w:rPr>
              <w:t>639,509</w:t>
            </w:r>
          </w:p>
        </w:tc>
      </w:tr>
    </w:tbl>
    <w:p>
      <w:pPr>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rPr>
          <w:sz w:val="20"/>
          <w:szCs w:val="20"/>
          <w:color w:val="auto"/>
        </w:rPr>
      </w:pPr>
      <w:r>
        <w:rPr>
          <w:rFonts w:ascii="Courier New" w:cs="Courier New" w:eastAsia="Courier New" w:hAnsi="Courier New"/>
          <w:sz w:val="18"/>
          <w:szCs w:val="18"/>
          <w:color w:val="auto"/>
        </w:rPr>
        <w:t>Total liabilities and</w:t>
      </w:r>
    </w:p>
    <w:p>
      <w:pPr>
        <w:ind w:left="520"/>
        <w:spacing w:after="0"/>
        <w:tabs>
          <w:tab w:leader="none" w:pos="3860" w:val="left"/>
          <w:tab w:leader="none" w:pos="5980" w:val="left"/>
        </w:tabs>
        <w:rPr>
          <w:sz w:val="20"/>
          <w:szCs w:val="20"/>
          <w:color w:val="auto"/>
        </w:rPr>
      </w:pPr>
      <w:r>
        <w:rPr>
          <w:rFonts w:ascii="Courier New" w:cs="Courier New" w:eastAsia="Courier New" w:hAnsi="Courier New"/>
          <w:sz w:val="18"/>
          <w:szCs w:val="18"/>
          <w:color w:val="auto"/>
        </w:rPr>
        <w:t>shareholders' equity</w:t>
      </w:r>
      <w:r>
        <w:rPr>
          <w:sz w:val="20"/>
          <w:szCs w:val="20"/>
          <w:color w:val="auto"/>
        </w:rPr>
        <w:tab/>
      </w:r>
      <w:r>
        <w:rPr>
          <w:rFonts w:ascii="Courier New" w:cs="Courier New" w:eastAsia="Courier New" w:hAnsi="Courier New"/>
          <w:sz w:val="18"/>
          <w:szCs w:val="18"/>
          <w:color w:val="auto"/>
        </w:rPr>
        <w:t>$1,141,426</w:t>
      </w:r>
      <w:r>
        <w:rPr>
          <w:sz w:val="20"/>
          <w:szCs w:val="20"/>
          <w:color w:val="auto"/>
        </w:rPr>
        <w:tab/>
      </w:r>
      <w:r>
        <w:rPr>
          <w:rFonts w:ascii="Courier New" w:cs="Courier New" w:eastAsia="Courier New" w:hAnsi="Courier New"/>
          <w:sz w:val="16"/>
          <w:szCs w:val="16"/>
          <w:color w:val="auto"/>
        </w:rPr>
        <w:t>$965,656</w:t>
      </w:r>
    </w:p>
    <w:p>
      <w:pPr>
        <w:spacing w:after="0"/>
        <w:tabs>
          <w:tab w:leader="none" w:pos="3860" w:val="left"/>
          <w:tab w:leader="none" w:pos="598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accompanying notes to consolidated financial statements.</w:t>
      </w:r>
    </w:p>
    <w:p>
      <w:pPr>
        <w:spacing w:after="0" w:line="200" w:lineRule="exact"/>
        <w:rPr>
          <w:sz w:val="20"/>
          <w:szCs w:val="20"/>
          <w:color w:val="auto"/>
        </w:rPr>
      </w:pPr>
    </w:p>
    <w:p>
      <w:pPr>
        <w:spacing w:after="0" w:line="204"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1</w:t>
      </w:r>
    </w:p>
    <w:p>
      <w:pPr>
        <w:sectPr>
          <w:pgSz w:w="11900" w:h="16838" w:orient="portrait"/>
          <w:cols w:equalWidth="0" w:num="1">
            <w:col w:w="9359"/>
          </w:cols>
          <w:pgMar w:left="1100" w:top="136" w:right="1440" w:bottom="1440" w:gutter="0" w:footer="0" w:header="0"/>
        </w:sectPr>
      </w:pPr>
    </w:p>
    <w:bookmarkStart w:id="2" w:name="page3"/>
    <w:bookmarkEnd w:id="2"/>
    <w:p>
      <w:pPr>
        <w:jc w:val="center"/>
        <w:ind w:right="2099"/>
        <w:spacing w:after="0"/>
        <w:rPr>
          <w:sz w:val="20"/>
          <w:szCs w:val="20"/>
          <w:color w:val="auto"/>
        </w:rPr>
      </w:pPr>
      <w:r>
        <w:rPr>
          <w:rFonts w:ascii="Courier New" w:cs="Courier New" w:eastAsia="Courier New" w:hAnsi="Courier New"/>
          <w:sz w:val="18"/>
          <w:szCs w:val="18"/>
          <w:color w:val="auto"/>
        </w:rPr>
        <w:t>MICRON TECHNOLOGY, INC.</w:t>
      </w:r>
    </w:p>
    <w:p>
      <w:pPr>
        <w:spacing w:after="0" w:line="207" w:lineRule="exact"/>
        <w:rPr>
          <w:sz w:val="20"/>
          <w:szCs w:val="20"/>
          <w:color w:val="auto"/>
        </w:rPr>
      </w:pPr>
    </w:p>
    <w:p>
      <w:pPr>
        <w:jc w:val="center"/>
        <w:ind w:left="1300" w:right="840"/>
        <w:spacing w:after="0" w:line="236" w:lineRule="auto"/>
        <w:rPr>
          <w:sz w:val="20"/>
          <w:szCs w:val="20"/>
          <w:color w:val="auto"/>
        </w:rPr>
      </w:pPr>
      <w:r>
        <w:rPr>
          <w:rFonts w:ascii="Courier New" w:cs="Courier New" w:eastAsia="Courier New" w:hAnsi="Courier New"/>
          <w:sz w:val="18"/>
          <w:szCs w:val="18"/>
          <w:color w:val="auto"/>
        </w:rPr>
        <w:t>Consolidated Statements of Operations (Dollars in thousands, except for per share data)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4940"/>
        <w:spacing w:after="0"/>
        <w:rPr>
          <w:sz w:val="20"/>
          <w:szCs w:val="20"/>
          <w:color w:val="auto"/>
        </w:rPr>
      </w:pPr>
      <w:r>
        <w:rPr>
          <w:rFonts w:ascii="Courier New" w:cs="Courier New" w:eastAsia="Courier New" w:hAnsi="Courier New"/>
          <w:sz w:val="18"/>
          <w:szCs w:val="18"/>
          <w:color w:val="auto"/>
        </w:rPr>
        <w:t>Quarter Ended</w:t>
      </w:r>
    </w:p>
    <w:p>
      <w:pPr>
        <w:ind w:left="4420"/>
        <w:spacing w:after="0"/>
        <w:tabs>
          <w:tab w:leader="none" w:pos="6080" w:val="left"/>
        </w:tabs>
        <w:rPr>
          <w:sz w:val="20"/>
          <w:szCs w:val="20"/>
          <w:color w:val="auto"/>
        </w:rPr>
      </w:pPr>
      <w:r>
        <w:rPr>
          <w:rFonts w:ascii="Courier New" w:cs="Courier New" w:eastAsia="Courier New" w:hAnsi="Courier New"/>
          <w:sz w:val="18"/>
          <w:szCs w:val="18"/>
          <w:color w:val="auto"/>
        </w:rPr>
        <w:t>March 3,</w:t>
      </w:r>
      <w:r>
        <w:rPr>
          <w:sz w:val="20"/>
          <w:szCs w:val="20"/>
          <w:color w:val="auto"/>
        </w:rPr>
        <w:tab/>
      </w:r>
      <w:r>
        <w:rPr>
          <w:rFonts w:ascii="Courier New" w:cs="Courier New" w:eastAsia="Courier New" w:hAnsi="Courier New"/>
          <w:sz w:val="16"/>
          <w:szCs w:val="16"/>
          <w:color w:val="auto"/>
        </w:rPr>
        <w:t>March 4,</w:t>
      </w:r>
    </w:p>
    <w:p>
      <w:pPr>
        <w:ind w:left="4620"/>
        <w:spacing w:after="0"/>
        <w:tabs>
          <w:tab w:leader="none" w:pos="6300" w:val="left"/>
        </w:tabs>
        <w:rPr>
          <w:sz w:val="20"/>
          <w:szCs w:val="20"/>
          <w:color w:val="auto"/>
        </w:rPr>
      </w:pPr>
      <w:r>
        <w:rPr>
          <w:rFonts w:ascii="Courier New" w:cs="Courier New" w:eastAsia="Courier New" w:hAnsi="Courier New"/>
          <w:sz w:val="18"/>
          <w:szCs w:val="18"/>
          <w:color w:val="auto"/>
        </w:rPr>
        <w:t>1994</w:t>
      </w:r>
      <w:r>
        <w:rPr>
          <w:sz w:val="20"/>
          <w:szCs w:val="20"/>
          <w:color w:val="auto"/>
        </w:rPr>
        <w:tab/>
      </w:r>
      <w:r>
        <w:rPr>
          <w:rFonts w:ascii="Courier New" w:cs="Courier New" w:eastAsia="Courier New" w:hAnsi="Courier New"/>
          <w:sz w:val="18"/>
          <w:szCs w:val="18"/>
          <w:color w:val="auto"/>
        </w:rPr>
        <w:t>1993</w:t>
      </w: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680" w:type="dxa"/>
            <w:vAlign w:val="bottom"/>
          </w:tcPr>
          <w:p>
            <w:pPr>
              <w:spacing w:after="0"/>
              <w:rPr>
                <w:sz w:val="20"/>
                <w:szCs w:val="20"/>
                <w:color w:val="auto"/>
              </w:rPr>
            </w:pPr>
            <w:r>
              <w:rPr>
                <w:rFonts w:ascii="Courier New" w:cs="Courier New" w:eastAsia="Courier New" w:hAnsi="Courier New"/>
                <w:sz w:val="18"/>
                <w:szCs w:val="18"/>
                <w:color w:val="auto"/>
              </w:rPr>
              <w:t>Net sales</w:t>
            </w:r>
          </w:p>
        </w:tc>
        <w:tc>
          <w:tcPr>
            <w:tcW w:w="300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$390,459</w:t>
            </w:r>
          </w:p>
        </w:tc>
        <w:tc>
          <w:tcPr>
            <w:tcW w:w="1260" w:type="dxa"/>
            <w:vAlign w:val="bottom"/>
          </w:tcPr>
          <w:p>
            <w:pPr>
              <w:jc w:val="right"/>
              <w:spacing w:after="0"/>
              <w:rPr>
                <w:sz w:val="20"/>
                <w:szCs w:val="20"/>
                <w:color w:val="auto"/>
              </w:rPr>
            </w:pPr>
            <w:r>
              <w:rPr>
                <w:rFonts w:ascii="Courier New" w:cs="Courier New" w:eastAsia="Courier New" w:hAnsi="Courier New"/>
                <w:sz w:val="18"/>
                <w:szCs w:val="18"/>
                <w:color w:val="auto"/>
              </w:rPr>
              <w:t>$176,410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Costs and expenses:</w:t>
      </w:r>
    </w:p>
    <w:tbl>
      <w:tblPr>
        <w:tblLayout w:type="fixed"/>
        <w:tblInd w:w="200" w:type="dxa"/>
        <w:tblCellMar>
          <w:top w:w="0" w:type="dxa"/>
          <w:left w:w="0" w:type="dxa"/>
          <w:bottom w:w="0" w:type="dxa"/>
          <w:right w:w="0" w:type="dxa"/>
        </w:tblCellMar>
      </w:tblPr>
      <w:tr>
        <w:trPr>
          <w:trHeight w:val="203"/>
        </w:trPr>
        <w:tc>
          <w:tcPr>
            <w:tcW w:w="34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Cost of goods sold</w:t>
            </w:r>
          </w:p>
        </w:tc>
        <w:tc>
          <w:tcPr>
            <w:tcW w:w="21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204,105</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123,738</w:t>
            </w: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Selling,</w:t>
            </w:r>
          </w:p>
        </w:tc>
        <w:tc>
          <w:tcPr>
            <w:tcW w:w="25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general, and</w:t>
            </w:r>
          </w:p>
        </w:tc>
        <w:tc>
          <w:tcPr>
            <w:tcW w:w="212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342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administrative</w:t>
            </w:r>
          </w:p>
        </w:tc>
        <w:tc>
          <w:tcPr>
            <w:tcW w:w="21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33,094</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23,545</w:t>
            </w: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Research</w:t>
            </w:r>
          </w:p>
        </w:tc>
        <w:tc>
          <w:tcPr>
            <w:tcW w:w="25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and development</w:t>
            </w:r>
          </w:p>
        </w:tc>
        <w:tc>
          <w:tcPr>
            <w:tcW w:w="21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18,714</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13,861</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420" w:type="dxa"/>
        <w:tblCellMar>
          <w:top w:w="0" w:type="dxa"/>
          <w:left w:w="0" w:type="dxa"/>
          <w:bottom w:w="0" w:type="dxa"/>
          <w:right w:w="0" w:type="dxa"/>
        </w:tblCellMar>
      </w:tblPr>
      <w:tr>
        <w:trPr>
          <w:trHeight w:val="204"/>
        </w:trPr>
        <w:tc>
          <w:tcPr>
            <w:tcW w:w="3320" w:type="dxa"/>
            <w:vAlign w:val="bottom"/>
          </w:tcPr>
          <w:p>
            <w:pPr>
              <w:spacing w:after="0"/>
              <w:rPr>
                <w:sz w:val="20"/>
                <w:szCs w:val="20"/>
                <w:color w:val="auto"/>
              </w:rPr>
            </w:pPr>
            <w:r>
              <w:rPr>
                <w:rFonts w:ascii="Courier New" w:cs="Courier New" w:eastAsia="Courier New" w:hAnsi="Courier New"/>
                <w:sz w:val="18"/>
                <w:szCs w:val="18"/>
                <w:color w:val="auto"/>
              </w:rPr>
              <w:t>Total costs and expenses</w:t>
            </w:r>
          </w:p>
        </w:tc>
        <w:tc>
          <w:tcPr>
            <w:tcW w:w="200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255,913</w:t>
            </w:r>
          </w:p>
        </w:tc>
        <w:tc>
          <w:tcPr>
            <w:tcW w:w="1200" w:type="dxa"/>
            <w:vAlign w:val="bottom"/>
          </w:tcPr>
          <w:p>
            <w:pPr>
              <w:jc w:val="right"/>
              <w:spacing w:after="0"/>
              <w:rPr>
                <w:sz w:val="20"/>
                <w:szCs w:val="20"/>
                <w:color w:val="auto"/>
              </w:rPr>
            </w:pPr>
            <w:r>
              <w:rPr>
                <w:rFonts w:ascii="Courier New" w:cs="Courier New" w:eastAsia="Courier New" w:hAnsi="Courier New"/>
                <w:sz w:val="18"/>
                <w:szCs w:val="18"/>
                <w:color w:val="auto"/>
              </w:rPr>
              <w:t>161,144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840" w:type="dxa"/>
            <w:vAlign w:val="bottom"/>
          </w:tcPr>
          <w:p>
            <w:pPr>
              <w:spacing w:after="0"/>
              <w:rPr>
                <w:sz w:val="20"/>
                <w:szCs w:val="20"/>
                <w:color w:val="auto"/>
              </w:rPr>
            </w:pPr>
            <w:r>
              <w:rPr>
                <w:rFonts w:ascii="Courier New" w:cs="Courier New" w:eastAsia="Courier New" w:hAnsi="Courier New"/>
                <w:sz w:val="18"/>
                <w:szCs w:val="18"/>
                <w:color w:val="auto"/>
              </w:rPr>
              <w:t>Operating income</w:t>
            </w:r>
          </w:p>
        </w:tc>
        <w:tc>
          <w:tcPr>
            <w:tcW w:w="194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134,546</w:t>
            </w:r>
          </w:p>
        </w:tc>
        <w:tc>
          <w:tcPr>
            <w:tcW w:w="1260" w:type="dxa"/>
            <w:vAlign w:val="bottom"/>
          </w:tcPr>
          <w:p>
            <w:pPr>
              <w:ind w:left="540"/>
              <w:spacing w:after="0"/>
              <w:rPr>
                <w:sz w:val="20"/>
                <w:szCs w:val="20"/>
                <w:color w:val="auto"/>
              </w:rPr>
            </w:pPr>
            <w:r>
              <w:rPr>
                <w:rFonts w:ascii="Courier New" w:cs="Courier New" w:eastAsia="Courier New" w:hAnsi="Courier New"/>
                <w:sz w:val="18"/>
                <w:szCs w:val="18"/>
                <w:color w:val="auto"/>
              </w:rPr>
              <w:t>15,266</w:t>
            </w:r>
          </w:p>
        </w:tc>
      </w:tr>
      <w:tr>
        <w:trPr>
          <w:trHeight w:val="203"/>
        </w:trPr>
        <w:tc>
          <w:tcPr>
            <w:tcW w:w="3840" w:type="dxa"/>
            <w:vAlign w:val="bottom"/>
          </w:tcPr>
          <w:p>
            <w:pPr>
              <w:spacing w:after="0" w:line="203" w:lineRule="exact"/>
              <w:rPr>
                <w:sz w:val="20"/>
                <w:szCs w:val="20"/>
                <w:color w:val="auto"/>
              </w:rPr>
            </w:pPr>
            <w:r>
              <w:rPr>
                <w:rFonts w:ascii="Courier New" w:cs="Courier New" w:eastAsia="Courier New" w:hAnsi="Courier New"/>
                <w:sz w:val="18"/>
                <w:szCs w:val="18"/>
                <w:color w:val="auto"/>
              </w:rPr>
              <w:t>Interest income (expense), net</w:t>
            </w:r>
          </w:p>
        </w:tc>
        <w:tc>
          <w:tcPr>
            <w:tcW w:w="19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1,012</w:t>
            </w:r>
          </w:p>
        </w:tc>
        <w:tc>
          <w:tcPr>
            <w:tcW w:w="12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w w:val="92"/>
              </w:rPr>
              <w:t>(1,149)</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420" w:type="dxa"/>
        <w:tblCellMar>
          <w:top w:w="0" w:type="dxa"/>
          <w:left w:w="0" w:type="dxa"/>
          <w:bottom w:w="0" w:type="dxa"/>
          <w:right w:w="0" w:type="dxa"/>
        </w:tblCellMar>
      </w:tblPr>
      <w:tr>
        <w:trPr>
          <w:trHeight w:val="204"/>
        </w:trPr>
        <w:tc>
          <w:tcPr>
            <w:tcW w:w="680" w:type="dxa"/>
            <w:vAlign w:val="bottom"/>
          </w:tcPr>
          <w:p>
            <w:pPr>
              <w:spacing w:after="0"/>
              <w:rPr>
                <w:sz w:val="20"/>
                <w:szCs w:val="20"/>
                <w:color w:val="auto"/>
              </w:rPr>
            </w:pPr>
            <w:r>
              <w:rPr>
                <w:rFonts w:ascii="Courier New" w:cs="Courier New" w:eastAsia="Courier New" w:hAnsi="Courier New"/>
                <w:sz w:val="18"/>
                <w:szCs w:val="18"/>
                <w:color w:val="auto"/>
              </w:rPr>
              <w:t>Income</w:t>
            </w:r>
          </w:p>
        </w:tc>
        <w:tc>
          <w:tcPr>
            <w:tcW w:w="2740" w:type="dxa"/>
            <w:vAlign w:val="bottom"/>
          </w:tcPr>
          <w:p>
            <w:pPr>
              <w:ind w:left="40"/>
              <w:spacing w:after="0"/>
              <w:rPr>
                <w:sz w:val="20"/>
                <w:szCs w:val="20"/>
                <w:color w:val="auto"/>
              </w:rPr>
            </w:pPr>
            <w:r>
              <w:rPr>
                <w:rFonts w:ascii="Courier New" w:cs="Courier New" w:eastAsia="Courier New" w:hAnsi="Courier New"/>
                <w:sz w:val="18"/>
                <w:szCs w:val="18"/>
                <w:color w:val="auto"/>
              </w:rPr>
              <w:t>before income taxes</w:t>
            </w:r>
          </w:p>
        </w:tc>
        <w:tc>
          <w:tcPr>
            <w:tcW w:w="194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135,558</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14,117</w:t>
            </w:r>
          </w:p>
        </w:tc>
      </w:tr>
      <w:tr>
        <w:trPr>
          <w:trHeight w:val="203"/>
        </w:trPr>
        <w:tc>
          <w:tcPr>
            <w:tcW w:w="68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w:t>
            </w:r>
          </w:p>
        </w:tc>
        <w:tc>
          <w:tcPr>
            <w:tcW w:w="2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tax provision</w:t>
            </w:r>
          </w:p>
        </w:tc>
        <w:tc>
          <w:tcPr>
            <w:tcW w:w="19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48,800</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5,082</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880" w:type="dxa"/>
            <w:vAlign w:val="bottom"/>
          </w:tcPr>
          <w:p>
            <w:pPr>
              <w:spacing w:after="0"/>
              <w:rPr>
                <w:sz w:val="20"/>
                <w:szCs w:val="20"/>
                <w:color w:val="auto"/>
              </w:rPr>
            </w:pPr>
            <w:r>
              <w:rPr>
                <w:rFonts w:ascii="Courier New" w:cs="Courier New" w:eastAsia="Courier New" w:hAnsi="Courier New"/>
                <w:sz w:val="18"/>
                <w:szCs w:val="18"/>
                <w:color w:val="auto"/>
              </w:rPr>
              <w:t>Net income</w:t>
            </w:r>
          </w:p>
        </w:tc>
        <w:tc>
          <w:tcPr>
            <w:tcW w:w="170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$ 86,758</w:t>
            </w:r>
          </w:p>
        </w:tc>
        <w:tc>
          <w:tcPr>
            <w:tcW w:w="1360" w:type="dxa"/>
            <w:vAlign w:val="bottom"/>
          </w:tcPr>
          <w:p>
            <w:pPr>
              <w:jc w:val="right"/>
              <w:spacing w:after="0"/>
              <w:rPr>
                <w:sz w:val="20"/>
                <w:szCs w:val="20"/>
                <w:color w:val="auto"/>
              </w:rPr>
            </w:pPr>
            <w:r>
              <w:rPr>
                <w:rFonts w:ascii="Courier New" w:cs="Courier New" w:eastAsia="Courier New" w:hAnsi="Courier New"/>
                <w:sz w:val="18"/>
                <w:szCs w:val="18"/>
                <w:color w:val="auto"/>
              </w:rPr>
              <w:t>$  9,035</w:t>
            </w:r>
          </w:p>
        </w:tc>
      </w:tr>
      <w:tr>
        <w:trPr>
          <w:trHeight w:val="203"/>
        </w:trPr>
        <w:tc>
          <w:tcPr>
            <w:tcW w:w="388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17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880" w:type="dxa"/>
            <w:vAlign w:val="bottom"/>
          </w:tcPr>
          <w:p>
            <w:pPr>
              <w:spacing w:after="0" w:line="203" w:lineRule="exact"/>
              <w:rPr>
                <w:sz w:val="20"/>
                <w:szCs w:val="20"/>
                <w:color w:val="auto"/>
              </w:rPr>
            </w:pPr>
            <w:r>
              <w:rPr>
                <w:rFonts w:ascii="Courier New" w:cs="Courier New" w:eastAsia="Courier New" w:hAnsi="Courier New"/>
                <w:sz w:val="18"/>
                <w:szCs w:val="18"/>
                <w:color w:val="auto"/>
              </w:rPr>
              <w:t>Earnings per share:</w:t>
            </w:r>
          </w:p>
        </w:tc>
        <w:tc>
          <w:tcPr>
            <w:tcW w:w="170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388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Primary</w:t>
            </w:r>
          </w:p>
        </w:tc>
        <w:tc>
          <w:tcPr>
            <w:tcW w:w="17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$2.09</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$0.22</w:t>
            </w:r>
          </w:p>
        </w:tc>
      </w:tr>
      <w:tr>
        <w:trPr>
          <w:trHeight w:val="203"/>
        </w:trPr>
        <w:tc>
          <w:tcPr>
            <w:tcW w:w="388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Fully diluted</w:t>
            </w:r>
          </w:p>
        </w:tc>
        <w:tc>
          <w:tcPr>
            <w:tcW w:w="17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2.07</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0.22</w:t>
            </w:r>
          </w:p>
        </w:tc>
      </w:tr>
      <w:tr>
        <w:trPr>
          <w:trHeight w:val="203"/>
        </w:trPr>
        <w:tc>
          <w:tcPr>
            <w:tcW w:w="388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 shares used in per share</w:t>
            </w:r>
          </w:p>
        </w:tc>
        <w:tc>
          <w:tcPr>
            <w:tcW w:w="170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38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calculations:</w:t>
            </w:r>
          </w:p>
        </w:tc>
        <w:tc>
          <w:tcPr>
            <w:tcW w:w="170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388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Primary</w:t>
            </w:r>
          </w:p>
        </w:tc>
        <w:tc>
          <w:tcPr>
            <w:tcW w:w="17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41,518,000</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40,352,000</w:t>
            </w:r>
          </w:p>
        </w:tc>
      </w:tr>
      <w:tr>
        <w:trPr>
          <w:trHeight w:val="203"/>
        </w:trPr>
        <w:tc>
          <w:tcPr>
            <w:tcW w:w="388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Fully diluted</w:t>
            </w:r>
          </w:p>
        </w:tc>
        <w:tc>
          <w:tcPr>
            <w:tcW w:w="17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41,827,000</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40,511,000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accompanying notes to consolidated financial statements.</w:t>
      </w:r>
    </w:p>
    <w:p>
      <w:pPr>
        <w:spacing w:after="0" w:line="200" w:lineRule="exact"/>
        <w:rPr>
          <w:sz w:val="20"/>
          <w:szCs w:val="20"/>
          <w:color w:val="auto"/>
        </w:rPr>
      </w:pPr>
    </w:p>
    <w:p>
      <w:pPr>
        <w:spacing w:after="0" w:line="204"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9359"/>
          </w:cols>
          <w:pgMar w:left="1100" w:top="1325" w:right="1440" w:bottom="1440" w:gutter="0" w:footer="0" w:header="0"/>
        </w:sectPr>
      </w:pPr>
    </w:p>
    <w:bookmarkStart w:id="3" w:name="page4"/>
    <w:bookmarkEnd w:id="3"/>
    <w:p>
      <w:pPr>
        <w:jc w:val="center"/>
        <w:ind w:right="2099"/>
        <w:spacing w:after="0"/>
        <w:rPr>
          <w:sz w:val="20"/>
          <w:szCs w:val="20"/>
          <w:color w:val="auto"/>
        </w:rPr>
      </w:pPr>
      <w:r>
        <w:rPr>
          <w:rFonts w:ascii="Courier New" w:cs="Courier New" w:eastAsia="Courier New" w:hAnsi="Courier New"/>
          <w:sz w:val="18"/>
          <w:szCs w:val="18"/>
          <w:color w:val="auto"/>
        </w:rPr>
        <w:t>MICRON TECHNOLOGY, INC.</w:t>
      </w:r>
    </w:p>
    <w:p>
      <w:pPr>
        <w:spacing w:after="0" w:line="207" w:lineRule="exact"/>
        <w:rPr>
          <w:sz w:val="20"/>
          <w:szCs w:val="20"/>
          <w:color w:val="auto"/>
        </w:rPr>
      </w:pPr>
    </w:p>
    <w:p>
      <w:pPr>
        <w:jc w:val="center"/>
        <w:ind w:left="1300" w:right="840"/>
        <w:spacing w:after="0" w:line="236" w:lineRule="auto"/>
        <w:rPr>
          <w:sz w:val="20"/>
          <w:szCs w:val="20"/>
          <w:color w:val="auto"/>
        </w:rPr>
      </w:pPr>
      <w:r>
        <w:rPr>
          <w:rFonts w:ascii="Courier New" w:cs="Courier New" w:eastAsia="Courier New" w:hAnsi="Courier New"/>
          <w:sz w:val="18"/>
          <w:szCs w:val="18"/>
          <w:color w:val="auto"/>
        </w:rPr>
        <w:t>Consolidated Statements of Operations (Dollars in thousands, except for per share data)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4740"/>
        <w:spacing w:after="0"/>
        <w:rPr>
          <w:sz w:val="20"/>
          <w:szCs w:val="20"/>
          <w:color w:val="auto"/>
        </w:rPr>
      </w:pPr>
      <w:r>
        <w:rPr>
          <w:rFonts w:ascii="Courier New" w:cs="Courier New" w:eastAsia="Courier New" w:hAnsi="Courier New"/>
          <w:sz w:val="18"/>
          <w:szCs w:val="18"/>
          <w:color w:val="auto"/>
        </w:rPr>
        <w:t>Six Months Ended</w:t>
      </w:r>
    </w:p>
    <w:p>
      <w:pPr>
        <w:ind w:left="4420"/>
        <w:spacing w:after="0"/>
        <w:tabs>
          <w:tab w:leader="none" w:pos="6080" w:val="left"/>
        </w:tabs>
        <w:rPr>
          <w:sz w:val="20"/>
          <w:szCs w:val="20"/>
          <w:color w:val="auto"/>
        </w:rPr>
      </w:pPr>
      <w:r>
        <w:rPr>
          <w:rFonts w:ascii="Courier New" w:cs="Courier New" w:eastAsia="Courier New" w:hAnsi="Courier New"/>
          <w:sz w:val="18"/>
          <w:szCs w:val="18"/>
          <w:color w:val="auto"/>
        </w:rPr>
        <w:t>March 3,</w:t>
      </w:r>
      <w:r>
        <w:rPr>
          <w:sz w:val="20"/>
          <w:szCs w:val="20"/>
          <w:color w:val="auto"/>
        </w:rPr>
        <w:tab/>
      </w:r>
      <w:r>
        <w:rPr>
          <w:rFonts w:ascii="Courier New" w:cs="Courier New" w:eastAsia="Courier New" w:hAnsi="Courier New"/>
          <w:sz w:val="16"/>
          <w:szCs w:val="16"/>
          <w:color w:val="auto"/>
        </w:rPr>
        <w:t>March 4,</w:t>
      </w:r>
    </w:p>
    <w:p>
      <w:pPr>
        <w:ind w:left="4620"/>
        <w:spacing w:after="0"/>
        <w:tabs>
          <w:tab w:leader="none" w:pos="6300" w:val="left"/>
        </w:tabs>
        <w:rPr>
          <w:sz w:val="20"/>
          <w:szCs w:val="20"/>
          <w:color w:val="auto"/>
        </w:rPr>
      </w:pPr>
      <w:r>
        <w:rPr>
          <w:rFonts w:ascii="Courier New" w:cs="Courier New" w:eastAsia="Courier New" w:hAnsi="Courier New"/>
          <w:sz w:val="18"/>
          <w:szCs w:val="18"/>
          <w:color w:val="auto"/>
        </w:rPr>
        <w:t>1994</w:t>
      </w:r>
      <w:r>
        <w:rPr>
          <w:sz w:val="20"/>
          <w:szCs w:val="20"/>
          <w:color w:val="auto"/>
        </w:rPr>
        <w:tab/>
      </w:r>
      <w:r>
        <w:rPr>
          <w:rFonts w:ascii="Courier New" w:cs="Courier New" w:eastAsia="Courier New" w:hAnsi="Courier New"/>
          <w:sz w:val="18"/>
          <w:szCs w:val="18"/>
          <w:color w:val="auto"/>
        </w:rPr>
        <w:t>1993</w:t>
      </w: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680" w:type="dxa"/>
            <w:vAlign w:val="bottom"/>
          </w:tcPr>
          <w:p>
            <w:pPr>
              <w:spacing w:after="0"/>
              <w:rPr>
                <w:sz w:val="20"/>
                <w:szCs w:val="20"/>
                <w:color w:val="auto"/>
              </w:rPr>
            </w:pPr>
            <w:r>
              <w:rPr>
                <w:rFonts w:ascii="Courier New" w:cs="Courier New" w:eastAsia="Courier New" w:hAnsi="Courier New"/>
                <w:sz w:val="18"/>
                <w:szCs w:val="18"/>
                <w:color w:val="auto"/>
              </w:rPr>
              <w:t>Net sales</w:t>
            </w:r>
          </w:p>
        </w:tc>
        <w:tc>
          <w:tcPr>
            <w:tcW w:w="300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$710,597</w:t>
            </w:r>
          </w:p>
        </w:tc>
        <w:tc>
          <w:tcPr>
            <w:tcW w:w="1260" w:type="dxa"/>
            <w:vAlign w:val="bottom"/>
          </w:tcPr>
          <w:p>
            <w:pPr>
              <w:jc w:val="right"/>
              <w:spacing w:after="0"/>
              <w:rPr>
                <w:sz w:val="20"/>
                <w:szCs w:val="20"/>
                <w:color w:val="auto"/>
              </w:rPr>
            </w:pPr>
            <w:r>
              <w:rPr>
                <w:rFonts w:ascii="Courier New" w:cs="Courier New" w:eastAsia="Courier New" w:hAnsi="Courier New"/>
                <w:sz w:val="18"/>
                <w:szCs w:val="18"/>
                <w:color w:val="auto"/>
              </w:rPr>
              <w:t>$307,378</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00" w:type="dxa"/>
            <w:vAlign w:val="bottom"/>
          </w:tcPr>
          <w:p>
            <w:pPr>
              <w:spacing w:after="0"/>
              <w:rPr>
                <w:sz w:val="20"/>
                <w:szCs w:val="20"/>
                <w:color w:val="auto"/>
              </w:rPr>
            </w:pPr>
            <w:r>
              <w:rPr>
                <w:rFonts w:ascii="Courier New" w:cs="Courier New" w:eastAsia="Courier New" w:hAnsi="Courier New"/>
                <w:sz w:val="18"/>
                <w:szCs w:val="18"/>
                <w:color w:val="auto"/>
              </w:rPr>
              <w:t>Costs and</w:t>
            </w:r>
          </w:p>
        </w:tc>
        <w:tc>
          <w:tcPr>
            <w:tcW w:w="2620" w:type="dxa"/>
            <w:vAlign w:val="bottom"/>
          </w:tcPr>
          <w:p>
            <w:pPr>
              <w:ind w:left="40"/>
              <w:spacing w:after="0"/>
              <w:rPr>
                <w:sz w:val="20"/>
                <w:szCs w:val="20"/>
                <w:color w:val="auto"/>
              </w:rPr>
            </w:pPr>
            <w:r>
              <w:rPr>
                <w:rFonts w:ascii="Courier New" w:cs="Courier New" w:eastAsia="Courier New" w:hAnsi="Courier New"/>
                <w:sz w:val="18"/>
                <w:szCs w:val="18"/>
                <w:color w:val="auto"/>
              </w:rPr>
              <w:t>expenses:</w:t>
            </w:r>
          </w:p>
        </w:tc>
        <w:tc>
          <w:tcPr>
            <w:tcW w:w="212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1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Cost of</w:t>
            </w:r>
          </w:p>
        </w:tc>
        <w:tc>
          <w:tcPr>
            <w:tcW w:w="2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goods sold</w:t>
            </w:r>
          </w:p>
        </w:tc>
        <w:tc>
          <w:tcPr>
            <w:tcW w:w="21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370,693</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221,513</w:t>
            </w:r>
          </w:p>
        </w:tc>
      </w:tr>
      <w:tr>
        <w:trPr>
          <w:trHeight w:val="203"/>
        </w:trPr>
        <w:tc>
          <w:tcPr>
            <w:tcW w:w="362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rPr>
              <w:t>Selling, general, and</w:t>
            </w:r>
          </w:p>
        </w:tc>
        <w:tc>
          <w:tcPr>
            <w:tcW w:w="212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3620" w:type="dxa"/>
            <w:vAlign w:val="bottom"/>
            <w:gridSpan w:val="2"/>
          </w:tcPr>
          <w:p>
            <w:pPr>
              <w:ind w:left="300"/>
              <w:spacing w:after="0" w:line="203" w:lineRule="exact"/>
              <w:rPr>
                <w:sz w:val="20"/>
                <w:szCs w:val="20"/>
                <w:color w:val="auto"/>
              </w:rPr>
            </w:pPr>
            <w:r>
              <w:rPr>
                <w:rFonts w:ascii="Courier New" w:cs="Courier New" w:eastAsia="Courier New" w:hAnsi="Courier New"/>
                <w:sz w:val="18"/>
                <w:szCs w:val="18"/>
                <w:color w:val="auto"/>
              </w:rPr>
              <w:t>administrative</w:t>
            </w:r>
          </w:p>
        </w:tc>
        <w:tc>
          <w:tcPr>
            <w:tcW w:w="21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67,185</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39,845</w:t>
            </w:r>
          </w:p>
        </w:tc>
      </w:tr>
      <w:tr>
        <w:trPr>
          <w:trHeight w:val="203"/>
        </w:trPr>
        <w:tc>
          <w:tcPr>
            <w:tcW w:w="362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rPr>
              <w:t>Research and development</w:t>
            </w:r>
          </w:p>
        </w:tc>
        <w:tc>
          <w:tcPr>
            <w:tcW w:w="21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33,048</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25,496</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420" w:type="dxa"/>
        <w:tblCellMar>
          <w:top w:w="0" w:type="dxa"/>
          <w:left w:w="0" w:type="dxa"/>
          <w:bottom w:w="0" w:type="dxa"/>
          <w:right w:w="0" w:type="dxa"/>
        </w:tblCellMar>
      </w:tblPr>
      <w:tr>
        <w:trPr>
          <w:trHeight w:val="204"/>
        </w:trPr>
        <w:tc>
          <w:tcPr>
            <w:tcW w:w="3320" w:type="dxa"/>
            <w:vAlign w:val="bottom"/>
          </w:tcPr>
          <w:p>
            <w:pPr>
              <w:spacing w:after="0"/>
              <w:rPr>
                <w:sz w:val="20"/>
                <w:szCs w:val="20"/>
                <w:color w:val="auto"/>
              </w:rPr>
            </w:pPr>
            <w:r>
              <w:rPr>
                <w:rFonts w:ascii="Courier New" w:cs="Courier New" w:eastAsia="Courier New" w:hAnsi="Courier New"/>
                <w:sz w:val="18"/>
                <w:szCs w:val="18"/>
                <w:color w:val="auto"/>
              </w:rPr>
              <w:t>Total costs and expenses</w:t>
            </w:r>
          </w:p>
        </w:tc>
        <w:tc>
          <w:tcPr>
            <w:tcW w:w="200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470,926</w:t>
            </w:r>
          </w:p>
        </w:tc>
        <w:tc>
          <w:tcPr>
            <w:tcW w:w="1200" w:type="dxa"/>
            <w:vAlign w:val="bottom"/>
          </w:tcPr>
          <w:p>
            <w:pPr>
              <w:jc w:val="right"/>
              <w:spacing w:after="0"/>
              <w:rPr>
                <w:sz w:val="20"/>
                <w:szCs w:val="20"/>
                <w:color w:val="auto"/>
              </w:rPr>
            </w:pPr>
            <w:r>
              <w:rPr>
                <w:rFonts w:ascii="Courier New" w:cs="Courier New" w:eastAsia="Courier New" w:hAnsi="Courier New"/>
                <w:sz w:val="18"/>
                <w:szCs w:val="18"/>
                <w:color w:val="auto"/>
              </w:rPr>
              <w:t>286,854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840" w:type="dxa"/>
            <w:vAlign w:val="bottom"/>
          </w:tcPr>
          <w:p>
            <w:pPr>
              <w:spacing w:after="0"/>
              <w:rPr>
                <w:sz w:val="20"/>
                <w:szCs w:val="20"/>
                <w:color w:val="auto"/>
              </w:rPr>
            </w:pPr>
            <w:r>
              <w:rPr>
                <w:rFonts w:ascii="Courier New" w:cs="Courier New" w:eastAsia="Courier New" w:hAnsi="Courier New"/>
                <w:sz w:val="18"/>
                <w:szCs w:val="18"/>
                <w:color w:val="auto"/>
              </w:rPr>
              <w:t>Operating income</w:t>
            </w:r>
          </w:p>
        </w:tc>
        <w:tc>
          <w:tcPr>
            <w:tcW w:w="194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239,671</w:t>
            </w:r>
          </w:p>
        </w:tc>
        <w:tc>
          <w:tcPr>
            <w:tcW w:w="1260" w:type="dxa"/>
            <w:vAlign w:val="bottom"/>
          </w:tcPr>
          <w:p>
            <w:pPr>
              <w:ind w:left="540"/>
              <w:spacing w:after="0"/>
              <w:rPr>
                <w:sz w:val="20"/>
                <w:szCs w:val="20"/>
                <w:color w:val="auto"/>
              </w:rPr>
            </w:pPr>
            <w:r>
              <w:rPr>
                <w:rFonts w:ascii="Courier New" w:cs="Courier New" w:eastAsia="Courier New" w:hAnsi="Courier New"/>
                <w:sz w:val="18"/>
                <w:szCs w:val="18"/>
                <w:color w:val="auto"/>
              </w:rPr>
              <w:t>20,524</w:t>
            </w:r>
          </w:p>
        </w:tc>
      </w:tr>
      <w:tr>
        <w:trPr>
          <w:trHeight w:val="203"/>
        </w:trPr>
        <w:tc>
          <w:tcPr>
            <w:tcW w:w="3840" w:type="dxa"/>
            <w:vAlign w:val="bottom"/>
          </w:tcPr>
          <w:p>
            <w:pPr>
              <w:spacing w:after="0" w:line="203" w:lineRule="exact"/>
              <w:rPr>
                <w:sz w:val="20"/>
                <w:szCs w:val="20"/>
                <w:color w:val="auto"/>
              </w:rPr>
            </w:pPr>
            <w:r>
              <w:rPr>
                <w:rFonts w:ascii="Courier New" w:cs="Courier New" w:eastAsia="Courier New" w:hAnsi="Courier New"/>
                <w:sz w:val="18"/>
                <w:szCs w:val="18"/>
                <w:color w:val="auto"/>
              </w:rPr>
              <w:t>Interest income (expense), net</w:t>
            </w:r>
          </w:p>
        </w:tc>
        <w:tc>
          <w:tcPr>
            <w:tcW w:w="19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1,439</w:t>
            </w:r>
          </w:p>
        </w:tc>
        <w:tc>
          <w:tcPr>
            <w:tcW w:w="12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w w:val="92"/>
              </w:rPr>
              <w:t>(2,193)</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420" w:type="dxa"/>
        <w:tblCellMar>
          <w:top w:w="0" w:type="dxa"/>
          <w:left w:w="0" w:type="dxa"/>
          <w:bottom w:w="0" w:type="dxa"/>
          <w:right w:w="0" w:type="dxa"/>
        </w:tblCellMar>
      </w:tblPr>
      <w:tr>
        <w:trPr>
          <w:trHeight w:val="204"/>
        </w:trPr>
        <w:tc>
          <w:tcPr>
            <w:tcW w:w="680" w:type="dxa"/>
            <w:vAlign w:val="bottom"/>
          </w:tcPr>
          <w:p>
            <w:pPr>
              <w:spacing w:after="0"/>
              <w:rPr>
                <w:sz w:val="20"/>
                <w:szCs w:val="20"/>
                <w:color w:val="auto"/>
              </w:rPr>
            </w:pPr>
            <w:r>
              <w:rPr>
                <w:rFonts w:ascii="Courier New" w:cs="Courier New" w:eastAsia="Courier New" w:hAnsi="Courier New"/>
                <w:sz w:val="18"/>
                <w:szCs w:val="18"/>
                <w:color w:val="auto"/>
              </w:rPr>
              <w:t>Income</w:t>
            </w:r>
          </w:p>
        </w:tc>
        <w:tc>
          <w:tcPr>
            <w:tcW w:w="2740" w:type="dxa"/>
            <w:vAlign w:val="bottom"/>
          </w:tcPr>
          <w:p>
            <w:pPr>
              <w:ind w:left="40"/>
              <w:spacing w:after="0"/>
              <w:rPr>
                <w:sz w:val="20"/>
                <w:szCs w:val="20"/>
                <w:color w:val="auto"/>
              </w:rPr>
            </w:pPr>
            <w:r>
              <w:rPr>
                <w:rFonts w:ascii="Courier New" w:cs="Courier New" w:eastAsia="Courier New" w:hAnsi="Courier New"/>
                <w:sz w:val="18"/>
                <w:szCs w:val="18"/>
                <w:color w:val="auto"/>
              </w:rPr>
              <w:t>before income taxes</w:t>
            </w:r>
          </w:p>
        </w:tc>
        <w:tc>
          <w:tcPr>
            <w:tcW w:w="194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241,110</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18,331</w:t>
            </w:r>
          </w:p>
        </w:tc>
      </w:tr>
      <w:tr>
        <w:trPr>
          <w:trHeight w:val="203"/>
        </w:trPr>
        <w:tc>
          <w:tcPr>
            <w:tcW w:w="68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w:t>
            </w:r>
          </w:p>
        </w:tc>
        <w:tc>
          <w:tcPr>
            <w:tcW w:w="2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tax provision</w:t>
            </w:r>
          </w:p>
        </w:tc>
        <w:tc>
          <w:tcPr>
            <w:tcW w:w="19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86,799</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6,599</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880" w:type="dxa"/>
            <w:vAlign w:val="bottom"/>
          </w:tcPr>
          <w:p>
            <w:pPr>
              <w:spacing w:after="0"/>
              <w:rPr>
                <w:sz w:val="20"/>
                <w:szCs w:val="20"/>
                <w:color w:val="auto"/>
              </w:rPr>
            </w:pPr>
            <w:r>
              <w:rPr>
                <w:rFonts w:ascii="Courier New" w:cs="Courier New" w:eastAsia="Courier New" w:hAnsi="Courier New"/>
                <w:sz w:val="18"/>
                <w:szCs w:val="18"/>
                <w:color w:val="auto"/>
              </w:rPr>
              <w:t>Net income</w:t>
            </w:r>
          </w:p>
        </w:tc>
        <w:tc>
          <w:tcPr>
            <w:tcW w:w="170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$154,311</w:t>
            </w:r>
          </w:p>
        </w:tc>
        <w:tc>
          <w:tcPr>
            <w:tcW w:w="1360" w:type="dxa"/>
            <w:vAlign w:val="bottom"/>
          </w:tcPr>
          <w:p>
            <w:pPr>
              <w:jc w:val="right"/>
              <w:spacing w:after="0"/>
              <w:rPr>
                <w:sz w:val="20"/>
                <w:szCs w:val="20"/>
                <w:color w:val="auto"/>
              </w:rPr>
            </w:pPr>
            <w:r>
              <w:rPr>
                <w:rFonts w:ascii="Courier New" w:cs="Courier New" w:eastAsia="Courier New" w:hAnsi="Courier New"/>
                <w:sz w:val="18"/>
                <w:szCs w:val="18"/>
                <w:color w:val="auto"/>
              </w:rPr>
              <w:t>$ 11,732</w:t>
            </w:r>
          </w:p>
        </w:tc>
      </w:tr>
      <w:tr>
        <w:trPr>
          <w:trHeight w:val="203"/>
        </w:trPr>
        <w:tc>
          <w:tcPr>
            <w:tcW w:w="388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17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880" w:type="dxa"/>
            <w:vAlign w:val="bottom"/>
          </w:tcPr>
          <w:p>
            <w:pPr>
              <w:spacing w:after="0" w:line="203" w:lineRule="exact"/>
              <w:rPr>
                <w:sz w:val="20"/>
                <w:szCs w:val="20"/>
                <w:color w:val="auto"/>
              </w:rPr>
            </w:pPr>
            <w:r>
              <w:rPr>
                <w:rFonts w:ascii="Courier New" w:cs="Courier New" w:eastAsia="Courier New" w:hAnsi="Courier New"/>
                <w:sz w:val="18"/>
                <w:szCs w:val="18"/>
                <w:color w:val="auto"/>
              </w:rPr>
              <w:t>Earnings per share:</w:t>
            </w:r>
          </w:p>
        </w:tc>
        <w:tc>
          <w:tcPr>
            <w:tcW w:w="170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388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Primary</w:t>
            </w:r>
          </w:p>
        </w:tc>
        <w:tc>
          <w:tcPr>
            <w:tcW w:w="17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$3.73</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$0.29</w:t>
            </w:r>
          </w:p>
        </w:tc>
      </w:tr>
      <w:tr>
        <w:trPr>
          <w:trHeight w:val="203"/>
        </w:trPr>
        <w:tc>
          <w:tcPr>
            <w:tcW w:w="388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Fully diluted</w:t>
            </w:r>
          </w:p>
        </w:tc>
        <w:tc>
          <w:tcPr>
            <w:tcW w:w="17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3.70</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0.29</w:t>
            </w:r>
          </w:p>
        </w:tc>
      </w:tr>
      <w:tr>
        <w:trPr>
          <w:trHeight w:val="203"/>
        </w:trPr>
        <w:tc>
          <w:tcPr>
            <w:tcW w:w="388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 shares used in per share</w:t>
            </w:r>
          </w:p>
        </w:tc>
        <w:tc>
          <w:tcPr>
            <w:tcW w:w="170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38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calculations:</w:t>
            </w:r>
          </w:p>
        </w:tc>
        <w:tc>
          <w:tcPr>
            <w:tcW w:w="170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388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Primary</w:t>
            </w:r>
          </w:p>
        </w:tc>
        <w:tc>
          <w:tcPr>
            <w:tcW w:w="17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41,371,000</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39,944,000</w:t>
            </w:r>
          </w:p>
        </w:tc>
      </w:tr>
      <w:tr>
        <w:trPr>
          <w:trHeight w:val="203"/>
        </w:trPr>
        <w:tc>
          <w:tcPr>
            <w:tcW w:w="388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Fully diluted</w:t>
            </w:r>
          </w:p>
        </w:tc>
        <w:tc>
          <w:tcPr>
            <w:tcW w:w="17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41,715,000</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40,184,000</w:t>
            </w:r>
          </w:p>
        </w:tc>
      </w:tr>
      <w:tr>
        <w:trPr>
          <w:trHeight w:val="405"/>
        </w:trPr>
        <w:tc>
          <w:tcPr>
            <w:tcW w:w="3880" w:type="dxa"/>
            <w:vAlign w:val="bottom"/>
          </w:tcPr>
          <w:p>
            <w:pPr>
              <w:spacing w:after="0"/>
              <w:rPr>
                <w:sz w:val="20"/>
                <w:szCs w:val="20"/>
                <w:color w:val="auto"/>
              </w:rPr>
            </w:pPr>
            <w:r>
              <w:rPr>
                <w:rFonts w:ascii="Courier New" w:cs="Courier New" w:eastAsia="Courier New" w:hAnsi="Courier New"/>
                <w:sz w:val="18"/>
                <w:szCs w:val="18"/>
                <w:color w:val="auto"/>
              </w:rPr>
              <w:t>Cash dividends declared per share</w:t>
            </w:r>
          </w:p>
        </w:tc>
        <w:tc>
          <w:tcPr>
            <w:tcW w:w="170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$0.05</w:t>
            </w:r>
          </w:p>
        </w:tc>
        <w:tc>
          <w:tcPr>
            <w:tcW w:w="1360" w:type="dxa"/>
            <w:vAlign w:val="bottom"/>
          </w:tcPr>
          <w:p>
            <w:pPr>
              <w:jc w:val="right"/>
              <w:spacing w:after="0"/>
              <w:rPr>
                <w:sz w:val="20"/>
                <w:szCs w:val="20"/>
                <w:color w:val="auto"/>
              </w:rPr>
            </w:pPr>
            <w:r>
              <w:rPr>
                <w:rFonts w:ascii="Courier New" w:cs="Courier New" w:eastAsia="Courier New" w:hAnsi="Courier New"/>
                <w:sz w:val="18"/>
                <w:szCs w:val="18"/>
                <w:color w:val="auto"/>
              </w:rPr>
              <w:t>$0.05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accompanying notes to consolidated financial statements.</w:t>
      </w:r>
    </w:p>
    <w:p>
      <w:pPr>
        <w:spacing w:after="0" w:line="201"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9359"/>
          </w:cols>
          <w:pgMar w:left="1100" w:top="1325" w:right="1440" w:bottom="1440" w:gutter="0" w:footer="0" w:header="0"/>
        </w:sectPr>
      </w:pPr>
    </w:p>
    <w:bookmarkStart w:id="4" w:name="page5"/>
    <w:bookmarkEnd w:id="4"/>
    <w:p>
      <w:pPr>
        <w:jc w:val="center"/>
        <w:ind w:right="2099"/>
        <w:spacing w:after="0"/>
        <w:rPr>
          <w:sz w:val="20"/>
          <w:szCs w:val="20"/>
          <w:color w:val="auto"/>
        </w:rPr>
      </w:pPr>
      <w:r>
        <w:rPr>
          <w:rFonts w:ascii="Courier New" w:cs="Courier New" w:eastAsia="Courier New" w:hAnsi="Courier New"/>
          <w:sz w:val="18"/>
          <w:szCs w:val="18"/>
          <w:color w:val="auto"/>
        </w:rPr>
        <w:t>MICRON TECHNOLOGY, INC.</w:t>
      </w:r>
    </w:p>
    <w:p>
      <w:pPr>
        <w:spacing w:after="0" w:line="201" w:lineRule="exact"/>
        <w:rPr>
          <w:sz w:val="20"/>
          <w:szCs w:val="20"/>
          <w:color w:val="auto"/>
        </w:rPr>
      </w:pPr>
    </w:p>
    <w:p>
      <w:pPr>
        <w:ind w:left="1680"/>
        <w:spacing w:after="0"/>
        <w:rPr>
          <w:sz w:val="20"/>
          <w:szCs w:val="20"/>
          <w:color w:val="auto"/>
        </w:rPr>
      </w:pPr>
      <w:r>
        <w:rPr>
          <w:rFonts w:ascii="Courier New" w:cs="Courier New" w:eastAsia="Courier New" w:hAnsi="Courier New"/>
          <w:sz w:val="18"/>
          <w:szCs w:val="18"/>
          <w:color w:val="auto"/>
        </w:rPr>
        <w:t>Consolidated Statements of Cash Flows</w:t>
      </w:r>
    </w:p>
    <w:p>
      <w:pPr>
        <w:ind w:left="2520"/>
        <w:spacing w:after="0" w:line="238" w:lineRule="auto"/>
        <w:rPr>
          <w:sz w:val="20"/>
          <w:szCs w:val="20"/>
          <w:color w:val="auto"/>
        </w:rPr>
      </w:pPr>
      <w:r>
        <w:rPr>
          <w:rFonts w:ascii="Courier New" w:cs="Courier New" w:eastAsia="Courier New" w:hAnsi="Courier New"/>
          <w:sz w:val="18"/>
          <w:szCs w:val="18"/>
          <w:color w:val="auto"/>
        </w:rPr>
        <w:t>(Dollars in thousands)</w:t>
      </w:r>
    </w:p>
    <w:p>
      <w:pPr>
        <w:ind w:left="3040"/>
        <w:spacing w:after="0"/>
        <w:rPr>
          <w:sz w:val="20"/>
          <w:szCs w:val="20"/>
          <w:color w:val="auto"/>
        </w:rPr>
      </w:pPr>
      <w:r>
        <w:rPr>
          <w:rFonts w:ascii="Courier New" w:cs="Courier New" w:eastAsia="Courier New" w:hAnsi="Courier New"/>
          <w:sz w:val="18"/>
          <w:szCs w:val="18"/>
          <w:color w:val="auto"/>
        </w:rPr>
        <w:t>(Unaudited)</w:t>
      </w:r>
    </w:p>
    <w:p>
      <w:pPr>
        <w:spacing w:after="0" w:line="200" w:lineRule="exact"/>
        <w:rPr>
          <w:sz w:val="20"/>
          <w:szCs w:val="20"/>
          <w:color w:val="auto"/>
        </w:rPr>
      </w:pPr>
    </w:p>
    <w:p>
      <w:pPr>
        <w:spacing w:after="0" w:line="203" w:lineRule="exact"/>
        <w:rPr>
          <w:sz w:val="20"/>
          <w:szCs w:val="20"/>
          <w:color w:val="auto"/>
        </w:rPr>
      </w:pPr>
    </w:p>
    <w:p>
      <w:pPr>
        <w:ind w:left="4940"/>
        <w:spacing w:after="0"/>
        <w:rPr>
          <w:sz w:val="20"/>
          <w:szCs w:val="20"/>
          <w:color w:val="auto"/>
        </w:rPr>
      </w:pPr>
      <w:r>
        <w:rPr>
          <w:rFonts w:ascii="Courier New" w:cs="Courier New" w:eastAsia="Courier New" w:hAnsi="Courier New"/>
          <w:sz w:val="18"/>
          <w:szCs w:val="18"/>
          <w:color w:val="auto"/>
        </w:rPr>
        <w:t>Six Months Ended</w:t>
      </w:r>
    </w:p>
    <w:p>
      <w:pPr>
        <w:ind w:left="4620"/>
        <w:spacing w:after="0"/>
        <w:tabs>
          <w:tab w:leader="none" w:pos="6180" w:val="left"/>
        </w:tabs>
        <w:rPr>
          <w:sz w:val="20"/>
          <w:szCs w:val="20"/>
          <w:color w:val="auto"/>
        </w:rPr>
      </w:pPr>
      <w:r>
        <w:rPr>
          <w:rFonts w:ascii="Courier New" w:cs="Courier New" w:eastAsia="Courier New" w:hAnsi="Courier New"/>
          <w:sz w:val="18"/>
          <w:szCs w:val="18"/>
          <w:color w:val="auto"/>
        </w:rPr>
        <w:t>March 3,</w:t>
      </w:r>
      <w:r>
        <w:rPr>
          <w:sz w:val="20"/>
          <w:szCs w:val="20"/>
          <w:color w:val="auto"/>
        </w:rPr>
        <w:tab/>
      </w:r>
      <w:r>
        <w:rPr>
          <w:rFonts w:ascii="Courier New" w:cs="Courier New" w:eastAsia="Courier New" w:hAnsi="Courier New"/>
          <w:sz w:val="16"/>
          <w:szCs w:val="16"/>
          <w:color w:val="auto"/>
        </w:rPr>
        <w:t>March 4,</w:t>
      </w:r>
    </w:p>
    <w:p>
      <w:pPr>
        <w:ind w:left="4840"/>
        <w:spacing w:after="0"/>
        <w:tabs>
          <w:tab w:leader="none" w:pos="6400" w:val="left"/>
        </w:tabs>
        <w:rPr>
          <w:sz w:val="20"/>
          <w:szCs w:val="20"/>
          <w:color w:val="auto"/>
        </w:rPr>
      </w:pPr>
      <w:r>
        <w:rPr>
          <w:rFonts w:ascii="Courier New" w:cs="Courier New" w:eastAsia="Courier New" w:hAnsi="Courier New"/>
          <w:sz w:val="18"/>
          <w:szCs w:val="18"/>
          <w:color w:val="auto"/>
        </w:rPr>
        <w:t>1994</w:t>
      </w:r>
      <w:r>
        <w:rPr>
          <w:sz w:val="20"/>
          <w:szCs w:val="20"/>
          <w:color w:val="auto"/>
        </w:rPr>
        <w:tab/>
      </w:r>
      <w:r>
        <w:rPr>
          <w:rFonts w:ascii="Courier New" w:cs="Courier New" w:eastAsia="Courier New" w:hAnsi="Courier New"/>
          <w:sz w:val="18"/>
          <w:szCs w:val="18"/>
          <w:color w:val="auto"/>
        </w:rPr>
        <w:t>1993</w:t>
      </w: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580" w:type="dxa"/>
            <w:vAlign w:val="bottom"/>
            <w:gridSpan w:val="2"/>
          </w:tcPr>
          <w:p>
            <w:pPr>
              <w:spacing w:after="0"/>
              <w:rPr>
                <w:sz w:val="20"/>
                <w:szCs w:val="20"/>
                <w:color w:val="auto"/>
              </w:rPr>
            </w:pPr>
            <w:r>
              <w:rPr>
                <w:rFonts w:ascii="Courier New" w:cs="Courier New" w:eastAsia="Courier New" w:hAnsi="Courier New"/>
                <w:sz w:val="18"/>
                <w:szCs w:val="18"/>
                <w:color w:val="auto"/>
              </w:rPr>
              <w:t>Cash flows from operating activities:</w:t>
            </w:r>
          </w:p>
        </w:tc>
        <w:tc>
          <w:tcPr>
            <w:tcW w:w="130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income</w:t>
            </w:r>
          </w:p>
        </w:tc>
        <w:tc>
          <w:tcPr>
            <w:tcW w:w="3000" w:type="dxa"/>
            <w:vAlign w:val="bottom"/>
          </w:tcPr>
          <w:p>
            <w:pPr>
              <w:spacing w:after="0"/>
              <w:rPr>
                <w:sz w:val="17"/>
                <w:szCs w:val="17"/>
                <w:color w:val="auto"/>
              </w:rPr>
            </w:pPr>
          </w:p>
        </w:tc>
        <w:tc>
          <w:tcPr>
            <w:tcW w:w="13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9"/>
              </w:rPr>
              <w:t>$154,311</w:t>
            </w: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$ 11,732</w:t>
            </w: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Adjustments to</w:t>
            </w:r>
          </w:p>
        </w:tc>
        <w:tc>
          <w:tcPr>
            <w:tcW w:w="3000" w:type="dxa"/>
            <w:vAlign w:val="bottom"/>
          </w:tcPr>
          <w:p>
            <w:pPr>
              <w:spacing w:after="0" w:line="203" w:lineRule="exact"/>
              <w:rPr>
                <w:sz w:val="20"/>
                <w:szCs w:val="20"/>
                <w:color w:val="auto"/>
              </w:rPr>
            </w:pPr>
            <w:r>
              <w:rPr>
                <w:rFonts w:ascii="Courier New" w:cs="Courier New" w:eastAsia="Courier New" w:hAnsi="Courier New"/>
                <w:sz w:val="18"/>
                <w:szCs w:val="18"/>
                <w:color w:val="auto"/>
              </w:rPr>
              <w:t>reconcile net income to net</w:t>
            </w:r>
          </w:p>
        </w:tc>
        <w:tc>
          <w:tcPr>
            <w:tcW w:w="130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1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cash provided</w:t>
            </w:r>
          </w:p>
        </w:tc>
        <w:tc>
          <w:tcPr>
            <w:tcW w:w="3000" w:type="dxa"/>
            <w:vAlign w:val="bottom"/>
          </w:tcPr>
          <w:p>
            <w:pPr>
              <w:spacing w:after="0" w:line="203" w:lineRule="exact"/>
              <w:rPr>
                <w:sz w:val="20"/>
                <w:szCs w:val="20"/>
                <w:color w:val="auto"/>
              </w:rPr>
            </w:pPr>
            <w:r>
              <w:rPr>
                <w:rFonts w:ascii="Courier New" w:cs="Courier New" w:eastAsia="Courier New" w:hAnsi="Courier New"/>
                <w:sz w:val="18"/>
                <w:szCs w:val="18"/>
                <w:color w:val="auto"/>
              </w:rPr>
              <w:t>by operating activities:</w:t>
            </w:r>
          </w:p>
        </w:tc>
        <w:tc>
          <w:tcPr>
            <w:tcW w:w="130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158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w w:val="97"/>
              </w:rPr>
              <w:t>Depreciation</w:t>
            </w:r>
          </w:p>
        </w:tc>
        <w:tc>
          <w:tcPr>
            <w:tcW w:w="3000" w:type="dxa"/>
            <w:vAlign w:val="bottom"/>
          </w:tcPr>
          <w:p>
            <w:pPr>
              <w:spacing w:after="0"/>
              <w:rPr>
                <w:sz w:val="17"/>
                <w:szCs w:val="17"/>
                <w:color w:val="auto"/>
              </w:rPr>
            </w:pPr>
          </w:p>
        </w:tc>
        <w:tc>
          <w:tcPr>
            <w:tcW w:w="13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64,707</w:t>
            </w: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53,494</w:t>
            </w:r>
          </w:p>
        </w:tc>
      </w:tr>
      <w:tr>
        <w:trPr>
          <w:trHeight w:val="203"/>
        </w:trPr>
        <w:tc>
          <w:tcPr>
            <w:tcW w:w="158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w w:val="97"/>
              </w:rPr>
              <w:t>Amortization</w:t>
            </w:r>
          </w:p>
        </w:tc>
        <w:tc>
          <w:tcPr>
            <w:tcW w:w="3000" w:type="dxa"/>
            <w:vAlign w:val="bottom"/>
          </w:tcPr>
          <w:p>
            <w:pPr>
              <w:spacing w:after="0"/>
              <w:rPr>
                <w:sz w:val="17"/>
                <w:szCs w:val="17"/>
                <w:color w:val="auto"/>
              </w:rPr>
            </w:pPr>
          </w:p>
        </w:tc>
        <w:tc>
          <w:tcPr>
            <w:tcW w:w="13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22,981</w:t>
            </w: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12,165</w:t>
            </w:r>
          </w:p>
        </w:tc>
      </w:tr>
      <w:tr>
        <w:trPr>
          <w:trHeight w:val="203"/>
        </w:trPr>
        <w:tc>
          <w:tcPr>
            <w:tcW w:w="158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Increase in</w:t>
            </w:r>
          </w:p>
        </w:tc>
        <w:tc>
          <w:tcPr>
            <w:tcW w:w="3000" w:type="dxa"/>
            <w:vAlign w:val="bottom"/>
          </w:tcPr>
          <w:p>
            <w:pPr>
              <w:spacing w:after="0" w:line="203" w:lineRule="exact"/>
              <w:rPr>
                <w:sz w:val="20"/>
                <w:szCs w:val="20"/>
                <w:color w:val="auto"/>
              </w:rPr>
            </w:pPr>
            <w:r>
              <w:rPr>
                <w:rFonts w:ascii="Courier New" w:cs="Courier New" w:eastAsia="Courier New" w:hAnsi="Courier New"/>
                <w:sz w:val="18"/>
                <w:szCs w:val="18"/>
                <w:color w:val="auto"/>
              </w:rPr>
              <w:t>receivables</w:t>
            </w:r>
          </w:p>
        </w:tc>
        <w:tc>
          <w:tcPr>
            <w:tcW w:w="130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(38,195)</w:t>
            </w:r>
          </w:p>
        </w:tc>
        <w:tc>
          <w:tcPr>
            <w:tcW w:w="1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(21,536)</w:t>
            </w:r>
          </w:p>
        </w:tc>
      </w:tr>
      <w:tr>
        <w:trPr>
          <w:trHeight w:val="203"/>
        </w:trPr>
        <w:tc>
          <w:tcPr>
            <w:tcW w:w="158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Increase in</w:t>
            </w:r>
          </w:p>
        </w:tc>
        <w:tc>
          <w:tcPr>
            <w:tcW w:w="3000" w:type="dxa"/>
            <w:vAlign w:val="bottom"/>
          </w:tcPr>
          <w:p>
            <w:pPr>
              <w:spacing w:after="0" w:line="203" w:lineRule="exact"/>
              <w:rPr>
                <w:sz w:val="20"/>
                <w:szCs w:val="20"/>
                <w:color w:val="auto"/>
              </w:rPr>
            </w:pPr>
            <w:r>
              <w:rPr>
                <w:rFonts w:ascii="Courier New" w:cs="Courier New" w:eastAsia="Courier New" w:hAnsi="Courier New"/>
                <w:sz w:val="18"/>
                <w:szCs w:val="18"/>
                <w:color w:val="auto"/>
              </w:rPr>
              <w:t>inventories</w:t>
            </w:r>
          </w:p>
        </w:tc>
        <w:tc>
          <w:tcPr>
            <w:tcW w:w="130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(12,427)</w:t>
            </w:r>
          </w:p>
        </w:tc>
        <w:tc>
          <w:tcPr>
            <w:tcW w:w="1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(7,720)</w:t>
            </w:r>
          </w:p>
        </w:tc>
      </w:tr>
      <w:tr>
        <w:trPr>
          <w:trHeight w:val="203"/>
        </w:trPr>
        <w:tc>
          <w:tcPr>
            <w:tcW w:w="158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Increase in</w:t>
            </w:r>
          </w:p>
        </w:tc>
        <w:tc>
          <w:tcPr>
            <w:tcW w:w="300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accounts payable and accrued</w:t>
            </w:r>
          </w:p>
        </w:tc>
        <w:tc>
          <w:tcPr>
            <w:tcW w:w="130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15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expenses</w:t>
            </w:r>
          </w:p>
        </w:tc>
        <w:tc>
          <w:tcPr>
            <w:tcW w:w="3000" w:type="dxa"/>
            <w:vAlign w:val="bottom"/>
          </w:tcPr>
          <w:p>
            <w:pPr>
              <w:spacing w:after="0"/>
              <w:rPr>
                <w:sz w:val="17"/>
                <w:szCs w:val="17"/>
                <w:color w:val="auto"/>
              </w:rPr>
            </w:pPr>
          </w:p>
        </w:tc>
        <w:tc>
          <w:tcPr>
            <w:tcW w:w="13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24,957</w:t>
            </w: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25,559</w:t>
            </w:r>
          </w:p>
        </w:tc>
      </w:tr>
      <w:tr>
        <w:trPr>
          <w:trHeight w:val="203"/>
        </w:trPr>
        <w:tc>
          <w:tcPr>
            <w:tcW w:w="4580" w:type="dxa"/>
            <w:vAlign w:val="bottom"/>
            <w:gridSpan w:val="2"/>
          </w:tcPr>
          <w:p>
            <w:pPr>
              <w:ind w:left="300"/>
              <w:spacing w:after="0" w:line="203" w:lineRule="exact"/>
              <w:rPr>
                <w:sz w:val="20"/>
                <w:szCs w:val="20"/>
                <w:color w:val="auto"/>
              </w:rPr>
            </w:pPr>
            <w:r>
              <w:rPr>
                <w:rFonts w:ascii="Courier New" w:cs="Courier New" w:eastAsia="Courier New" w:hAnsi="Courier New"/>
                <w:sz w:val="18"/>
                <w:szCs w:val="18"/>
                <w:color w:val="auto"/>
              </w:rPr>
              <w:t>Increase (decrease) in deferred income</w:t>
            </w:r>
          </w:p>
        </w:tc>
        <w:tc>
          <w:tcPr>
            <w:tcW w:w="130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15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taxes</w:t>
            </w:r>
          </w:p>
        </w:tc>
        <w:tc>
          <w:tcPr>
            <w:tcW w:w="3000" w:type="dxa"/>
            <w:vAlign w:val="bottom"/>
          </w:tcPr>
          <w:p>
            <w:pPr>
              <w:spacing w:after="0"/>
              <w:rPr>
                <w:sz w:val="17"/>
                <w:szCs w:val="17"/>
                <w:color w:val="auto"/>
              </w:rPr>
            </w:pPr>
          </w:p>
        </w:tc>
        <w:tc>
          <w:tcPr>
            <w:tcW w:w="13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707</w:t>
            </w:r>
          </w:p>
        </w:tc>
        <w:tc>
          <w:tcPr>
            <w:tcW w:w="1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(2,952)</w:t>
            </w:r>
          </w:p>
        </w:tc>
      </w:tr>
      <w:tr>
        <w:trPr>
          <w:trHeight w:val="203"/>
        </w:trPr>
        <w:tc>
          <w:tcPr>
            <w:tcW w:w="158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Increase in</w:t>
            </w:r>
          </w:p>
        </w:tc>
        <w:tc>
          <w:tcPr>
            <w:tcW w:w="300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long-term liabilities</w:t>
            </w:r>
          </w:p>
        </w:tc>
        <w:tc>
          <w:tcPr>
            <w:tcW w:w="13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3,298</w:t>
            </w: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1,494</w:t>
            </w:r>
          </w:p>
        </w:tc>
      </w:tr>
      <w:tr>
        <w:trPr>
          <w:trHeight w:val="203"/>
        </w:trPr>
        <w:tc>
          <w:tcPr>
            <w:tcW w:w="158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Other</w:t>
            </w:r>
          </w:p>
        </w:tc>
        <w:tc>
          <w:tcPr>
            <w:tcW w:w="3000" w:type="dxa"/>
            <w:vAlign w:val="bottom"/>
          </w:tcPr>
          <w:p>
            <w:pPr>
              <w:spacing w:after="0"/>
              <w:rPr>
                <w:sz w:val="17"/>
                <w:szCs w:val="17"/>
                <w:color w:val="auto"/>
              </w:rPr>
            </w:pPr>
          </w:p>
        </w:tc>
        <w:tc>
          <w:tcPr>
            <w:tcW w:w="13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9,008</w:t>
            </w: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2,506</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520" w:type="dxa"/>
            <w:vAlign w:val="bottom"/>
          </w:tcPr>
          <w:p>
            <w:pPr>
              <w:spacing w:after="0"/>
              <w:rPr>
                <w:sz w:val="20"/>
                <w:szCs w:val="20"/>
                <w:color w:val="auto"/>
              </w:rPr>
            </w:pPr>
            <w:r>
              <w:rPr>
                <w:rFonts w:ascii="Courier New" w:cs="Courier New" w:eastAsia="Courier New" w:hAnsi="Courier New"/>
                <w:sz w:val="18"/>
                <w:szCs w:val="18"/>
                <w:color w:val="auto"/>
              </w:rPr>
              <w:t>Net cash provided by operating activities</w:t>
            </w:r>
          </w:p>
        </w:tc>
        <w:tc>
          <w:tcPr>
            <w:tcW w:w="142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229,347</w:t>
            </w:r>
          </w:p>
        </w:tc>
        <w:tc>
          <w:tcPr>
            <w:tcW w:w="1100" w:type="dxa"/>
            <w:vAlign w:val="bottom"/>
          </w:tcPr>
          <w:p>
            <w:pPr>
              <w:jc w:val="right"/>
              <w:spacing w:after="0"/>
              <w:rPr>
                <w:sz w:val="20"/>
                <w:szCs w:val="20"/>
                <w:color w:val="auto"/>
              </w:rPr>
            </w:pPr>
            <w:r>
              <w:rPr>
                <w:rFonts w:ascii="Courier New" w:cs="Courier New" w:eastAsia="Courier New" w:hAnsi="Courier New"/>
                <w:sz w:val="18"/>
                <w:szCs w:val="18"/>
                <w:color w:val="auto"/>
              </w:rPr>
              <w:t>74,742</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Cash flows from investing activities:</w:t>
      </w:r>
    </w:p>
    <w:tbl>
      <w:tblPr>
        <w:tblLayout w:type="fixed"/>
        <w:tblInd w:w="0" w:type="dxa"/>
        <w:tblCellMar>
          <w:top w:w="0" w:type="dxa"/>
          <w:left w:w="0" w:type="dxa"/>
          <w:bottom w:w="0" w:type="dxa"/>
          <w:right w:w="0" w:type="dxa"/>
        </w:tblCellMar>
      </w:tblPr>
      <w:tr>
        <w:trPr>
          <w:trHeight w:val="203"/>
        </w:trPr>
        <w:tc>
          <w:tcPr>
            <w:tcW w:w="4520" w:type="dxa"/>
            <w:vAlign w:val="bottom"/>
          </w:tcPr>
          <w:p>
            <w:pPr>
              <w:spacing w:after="0" w:line="203" w:lineRule="exact"/>
              <w:rPr>
                <w:sz w:val="20"/>
                <w:szCs w:val="20"/>
                <w:color w:val="auto"/>
              </w:rPr>
            </w:pPr>
            <w:r>
              <w:rPr>
                <w:rFonts w:ascii="Courier New" w:cs="Courier New" w:eastAsia="Courier New" w:hAnsi="Courier New"/>
                <w:sz w:val="18"/>
                <w:szCs w:val="18"/>
                <w:color w:val="auto"/>
              </w:rPr>
              <w:t>Purchase of investments</w:t>
            </w:r>
          </w:p>
        </w:tc>
        <w:tc>
          <w:tcPr>
            <w:tcW w:w="13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(109,023)</w:t>
            </w:r>
          </w:p>
        </w:tc>
        <w:tc>
          <w:tcPr>
            <w:tcW w:w="1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(101,756)</w:t>
            </w:r>
          </w:p>
        </w:tc>
      </w:tr>
      <w:tr>
        <w:trPr>
          <w:trHeight w:val="203"/>
        </w:trPr>
        <w:tc>
          <w:tcPr>
            <w:tcW w:w="4520" w:type="dxa"/>
            <w:vAlign w:val="bottom"/>
          </w:tcPr>
          <w:p>
            <w:pPr>
              <w:spacing w:after="0" w:line="203" w:lineRule="exact"/>
              <w:rPr>
                <w:sz w:val="20"/>
                <w:szCs w:val="20"/>
                <w:color w:val="auto"/>
              </w:rPr>
            </w:pPr>
            <w:r>
              <w:rPr>
                <w:rFonts w:ascii="Courier New" w:cs="Courier New" w:eastAsia="Courier New" w:hAnsi="Courier New"/>
                <w:sz w:val="18"/>
                <w:szCs w:val="18"/>
                <w:color w:val="auto"/>
              </w:rPr>
              <w:t>Proceeds from sale and maturity of</w:t>
            </w:r>
          </w:p>
        </w:tc>
        <w:tc>
          <w:tcPr>
            <w:tcW w:w="13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4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investments</w:t>
            </w:r>
          </w:p>
        </w:tc>
        <w:tc>
          <w:tcPr>
            <w:tcW w:w="13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64,142</w:t>
            </w: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42,044</w:t>
            </w:r>
          </w:p>
        </w:tc>
      </w:tr>
      <w:tr>
        <w:trPr>
          <w:trHeight w:val="203"/>
        </w:trPr>
        <w:tc>
          <w:tcPr>
            <w:tcW w:w="4520" w:type="dxa"/>
            <w:vAlign w:val="bottom"/>
          </w:tcPr>
          <w:p>
            <w:pPr>
              <w:spacing w:after="0" w:line="203" w:lineRule="exact"/>
              <w:rPr>
                <w:sz w:val="20"/>
                <w:szCs w:val="20"/>
                <w:color w:val="auto"/>
              </w:rPr>
            </w:pPr>
            <w:r>
              <w:rPr>
                <w:rFonts w:ascii="Courier New" w:cs="Courier New" w:eastAsia="Courier New" w:hAnsi="Courier New"/>
                <w:sz w:val="18"/>
                <w:szCs w:val="18"/>
                <w:color w:val="auto"/>
              </w:rPr>
              <w:t>Property, plant, and equipment</w:t>
            </w:r>
          </w:p>
        </w:tc>
        <w:tc>
          <w:tcPr>
            <w:tcW w:w="13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4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expenditures</w:t>
            </w:r>
          </w:p>
        </w:tc>
        <w:tc>
          <w:tcPr>
            <w:tcW w:w="13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(106,745)</w:t>
            </w:r>
          </w:p>
        </w:tc>
        <w:tc>
          <w:tcPr>
            <w:tcW w:w="1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(19,537)</w:t>
            </w:r>
          </w:p>
        </w:tc>
      </w:tr>
      <w:tr>
        <w:trPr>
          <w:trHeight w:val="203"/>
        </w:trPr>
        <w:tc>
          <w:tcPr>
            <w:tcW w:w="452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Purchase of product and process technology</w:t>
            </w:r>
          </w:p>
        </w:tc>
        <w:tc>
          <w:tcPr>
            <w:tcW w:w="13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(10,000)</w:t>
            </w:r>
          </w:p>
        </w:tc>
        <w:tc>
          <w:tcPr>
            <w:tcW w:w="12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52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w:t>
            </w:r>
          </w:p>
        </w:tc>
        <w:tc>
          <w:tcPr>
            <w:tcW w:w="13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629</w:t>
            </w: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466</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300" w:type="dxa"/>
            <w:vAlign w:val="bottom"/>
          </w:tcPr>
          <w:p>
            <w:pPr>
              <w:spacing w:after="0"/>
              <w:rPr>
                <w:sz w:val="20"/>
                <w:szCs w:val="20"/>
                <w:color w:val="auto"/>
              </w:rPr>
            </w:pPr>
            <w:r>
              <w:rPr>
                <w:rFonts w:ascii="Courier New" w:cs="Courier New" w:eastAsia="Courier New" w:hAnsi="Courier New"/>
                <w:sz w:val="18"/>
                <w:szCs w:val="18"/>
                <w:color w:val="auto"/>
              </w:rPr>
              <w:t>Net cash used for investing activities</w:t>
            </w:r>
          </w:p>
        </w:tc>
        <w:tc>
          <w:tcPr>
            <w:tcW w:w="164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(160,997)</w:t>
            </w:r>
          </w:p>
        </w:tc>
        <w:tc>
          <w:tcPr>
            <w:tcW w:w="1220" w:type="dxa"/>
            <w:vAlign w:val="bottom"/>
          </w:tcPr>
          <w:p>
            <w:pPr>
              <w:jc w:val="right"/>
              <w:spacing w:after="0"/>
              <w:rPr>
                <w:sz w:val="20"/>
                <w:szCs w:val="20"/>
                <w:color w:val="auto"/>
              </w:rPr>
            </w:pPr>
            <w:r>
              <w:rPr>
                <w:rFonts w:ascii="Courier New" w:cs="Courier New" w:eastAsia="Courier New" w:hAnsi="Courier New"/>
                <w:sz w:val="18"/>
                <w:szCs w:val="18"/>
                <w:color w:val="auto"/>
              </w:rPr>
              <w:t>(78,783)</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680" w:type="dxa"/>
            <w:vAlign w:val="bottom"/>
            <w:gridSpan w:val="2"/>
          </w:tcPr>
          <w:p>
            <w:pPr>
              <w:spacing w:after="0"/>
              <w:rPr>
                <w:sz w:val="20"/>
                <w:szCs w:val="20"/>
                <w:color w:val="auto"/>
              </w:rPr>
            </w:pPr>
            <w:r>
              <w:rPr>
                <w:rFonts w:ascii="Courier New" w:cs="Courier New" w:eastAsia="Courier New" w:hAnsi="Courier New"/>
                <w:sz w:val="18"/>
                <w:szCs w:val="18"/>
                <w:color w:val="auto"/>
                <w:w w:val="98"/>
              </w:rPr>
              <w:t>Cash flows from financing</w:t>
            </w:r>
          </w:p>
        </w:tc>
        <w:tc>
          <w:tcPr>
            <w:tcW w:w="1780" w:type="dxa"/>
            <w:vAlign w:val="bottom"/>
          </w:tcPr>
          <w:p>
            <w:pPr>
              <w:ind w:left="40"/>
              <w:spacing w:after="0"/>
              <w:rPr>
                <w:sz w:val="20"/>
                <w:szCs w:val="20"/>
                <w:color w:val="auto"/>
              </w:rPr>
            </w:pPr>
            <w:r>
              <w:rPr>
                <w:rFonts w:ascii="Courier New" w:cs="Courier New" w:eastAsia="Courier New" w:hAnsi="Courier New"/>
                <w:sz w:val="18"/>
                <w:szCs w:val="18"/>
                <w:color w:val="auto"/>
              </w:rPr>
              <w:t>activities:</w:t>
            </w:r>
          </w:p>
        </w:tc>
        <w:tc>
          <w:tcPr>
            <w:tcW w:w="148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44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Payments on equipment purchase contracts</w:t>
            </w:r>
          </w:p>
        </w:tc>
        <w:tc>
          <w:tcPr>
            <w:tcW w:w="14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(62,519)</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(25,450)</w:t>
            </w:r>
          </w:p>
        </w:tc>
      </w:tr>
      <w:tr>
        <w:trPr>
          <w:trHeight w:val="203"/>
        </w:trPr>
        <w:tc>
          <w:tcPr>
            <w:tcW w:w="142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Repayments of</w:t>
            </w:r>
          </w:p>
        </w:tc>
        <w:tc>
          <w:tcPr>
            <w:tcW w:w="12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debt</w:t>
            </w:r>
          </w:p>
        </w:tc>
        <w:tc>
          <w:tcPr>
            <w:tcW w:w="1780" w:type="dxa"/>
            <w:vAlign w:val="bottom"/>
          </w:tcPr>
          <w:p>
            <w:pPr>
              <w:spacing w:after="0"/>
              <w:rPr>
                <w:sz w:val="17"/>
                <w:szCs w:val="17"/>
                <w:color w:val="auto"/>
              </w:rPr>
            </w:pPr>
          </w:p>
        </w:tc>
        <w:tc>
          <w:tcPr>
            <w:tcW w:w="14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(37,457)</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(20,639)</w:t>
            </w:r>
          </w:p>
        </w:tc>
      </w:tr>
      <w:tr>
        <w:trPr>
          <w:trHeight w:val="203"/>
        </w:trPr>
        <w:tc>
          <w:tcPr>
            <w:tcW w:w="142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Proceeds from</w:t>
            </w:r>
          </w:p>
        </w:tc>
        <w:tc>
          <w:tcPr>
            <w:tcW w:w="12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issuance of</w:t>
            </w:r>
          </w:p>
        </w:tc>
        <w:tc>
          <w:tcPr>
            <w:tcW w:w="17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debt</w:t>
            </w:r>
          </w:p>
        </w:tc>
        <w:tc>
          <w:tcPr>
            <w:tcW w:w="14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20,343</w:t>
            </w:r>
          </w:p>
        </w:tc>
        <w:tc>
          <w:tcPr>
            <w:tcW w:w="1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24,793</w:t>
            </w:r>
          </w:p>
        </w:tc>
      </w:tr>
      <w:tr>
        <w:trPr>
          <w:trHeight w:val="203"/>
        </w:trPr>
        <w:tc>
          <w:tcPr>
            <w:tcW w:w="142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Proceeds from</w:t>
            </w:r>
          </w:p>
        </w:tc>
        <w:tc>
          <w:tcPr>
            <w:tcW w:w="12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issuance of</w:t>
            </w:r>
          </w:p>
        </w:tc>
        <w:tc>
          <w:tcPr>
            <w:tcW w:w="17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common stock</w:t>
            </w:r>
          </w:p>
        </w:tc>
        <w:tc>
          <w:tcPr>
            <w:tcW w:w="14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6,780</w:t>
            </w:r>
          </w:p>
        </w:tc>
        <w:tc>
          <w:tcPr>
            <w:tcW w:w="1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10,463</w:t>
            </w:r>
          </w:p>
        </w:tc>
      </w:tr>
      <w:tr>
        <w:trPr>
          <w:trHeight w:val="203"/>
        </w:trPr>
        <w:tc>
          <w:tcPr>
            <w:tcW w:w="26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Payment of Dividends</w:t>
            </w:r>
          </w:p>
        </w:tc>
        <w:tc>
          <w:tcPr>
            <w:tcW w:w="1780" w:type="dxa"/>
            <w:vAlign w:val="bottom"/>
          </w:tcPr>
          <w:p>
            <w:pPr>
              <w:spacing w:after="0"/>
              <w:rPr>
                <w:sz w:val="17"/>
                <w:szCs w:val="17"/>
                <w:color w:val="auto"/>
              </w:rPr>
            </w:pPr>
          </w:p>
        </w:tc>
        <w:tc>
          <w:tcPr>
            <w:tcW w:w="14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(2,013)</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(1,941)</w:t>
            </w:r>
          </w:p>
        </w:tc>
      </w:tr>
      <w:tr>
        <w:trPr>
          <w:trHeight w:val="203"/>
        </w:trPr>
        <w:tc>
          <w:tcPr>
            <w:tcW w:w="142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w:t>
            </w:r>
          </w:p>
        </w:tc>
        <w:tc>
          <w:tcPr>
            <w:tcW w:w="126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4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(237)</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(232)</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360" w:type="dxa"/>
            <w:vAlign w:val="bottom"/>
          </w:tcPr>
          <w:p>
            <w:pPr>
              <w:spacing w:after="0"/>
              <w:rPr>
                <w:sz w:val="20"/>
                <w:szCs w:val="20"/>
                <w:color w:val="auto"/>
              </w:rPr>
            </w:pPr>
            <w:r>
              <w:rPr>
                <w:rFonts w:ascii="Courier New" w:cs="Courier New" w:eastAsia="Courier New" w:hAnsi="Courier New"/>
                <w:sz w:val="18"/>
                <w:szCs w:val="18"/>
                <w:color w:val="auto"/>
              </w:rPr>
              <w:t>Net cash used for financing activities</w:t>
            </w:r>
          </w:p>
        </w:tc>
        <w:tc>
          <w:tcPr>
            <w:tcW w:w="158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(75,103)</w:t>
            </w:r>
          </w:p>
        </w:tc>
        <w:tc>
          <w:tcPr>
            <w:tcW w:w="1220" w:type="dxa"/>
            <w:vAlign w:val="bottom"/>
          </w:tcPr>
          <w:p>
            <w:pPr>
              <w:jc w:val="right"/>
              <w:spacing w:after="0"/>
              <w:rPr>
                <w:sz w:val="20"/>
                <w:szCs w:val="20"/>
                <w:color w:val="auto"/>
              </w:rPr>
            </w:pPr>
            <w:r>
              <w:rPr>
                <w:rFonts w:ascii="Courier New" w:cs="Courier New" w:eastAsia="Courier New" w:hAnsi="Courier New"/>
                <w:sz w:val="18"/>
                <w:szCs w:val="18"/>
                <w:color w:val="auto"/>
              </w:rPr>
              <w:t>(13,006)</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160" w:type="dxa"/>
            <w:vAlign w:val="bottom"/>
          </w:tcPr>
          <w:p>
            <w:pPr>
              <w:spacing w:after="0"/>
              <w:rPr>
                <w:sz w:val="20"/>
                <w:szCs w:val="20"/>
                <w:color w:val="auto"/>
              </w:rPr>
            </w:pPr>
            <w:r>
              <w:rPr>
                <w:rFonts w:ascii="Courier New" w:cs="Courier New" w:eastAsia="Courier New" w:hAnsi="Courier New"/>
                <w:sz w:val="18"/>
                <w:szCs w:val="18"/>
                <w:color w:val="auto"/>
                <w:w w:val="99"/>
              </w:rPr>
              <w:t>Net decrease in cash</w:t>
            </w:r>
          </w:p>
        </w:tc>
        <w:tc>
          <w:tcPr>
            <w:tcW w:w="1680" w:type="dxa"/>
            <w:vAlign w:val="bottom"/>
          </w:tcPr>
          <w:p>
            <w:pPr>
              <w:ind w:left="40"/>
              <w:spacing w:after="0"/>
              <w:rPr>
                <w:sz w:val="20"/>
                <w:szCs w:val="20"/>
                <w:color w:val="auto"/>
              </w:rPr>
            </w:pPr>
            <w:r>
              <w:rPr>
                <w:rFonts w:ascii="Courier New" w:cs="Courier New" w:eastAsia="Courier New" w:hAnsi="Courier New"/>
                <w:sz w:val="18"/>
                <w:szCs w:val="18"/>
                <w:color w:val="auto"/>
                <w:w w:val="99"/>
              </w:rPr>
              <w:t>and equivalents</w:t>
            </w:r>
          </w:p>
        </w:tc>
        <w:tc>
          <w:tcPr>
            <w:tcW w:w="840" w:type="dxa"/>
            <w:vAlign w:val="bottom"/>
          </w:tcPr>
          <w:p>
            <w:pPr>
              <w:spacing w:after="0"/>
              <w:rPr>
                <w:sz w:val="17"/>
                <w:szCs w:val="17"/>
                <w:color w:val="auto"/>
              </w:rPr>
            </w:pPr>
          </w:p>
        </w:tc>
        <w:tc>
          <w:tcPr>
            <w:tcW w:w="1260" w:type="dxa"/>
            <w:vAlign w:val="bottom"/>
          </w:tcPr>
          <w:p>
            <w:pPr>
              <w:ind w:left="160"/>
              <w:spacing w:after="0"/>
              <w:rPr>
                <w:sz w:val="20"/>
                <w:szCs w:val="20"/>
                <w:color w:val="auto"/>
              </w:rPr>
            </w:pPr>
            <w:r>
              <w:rPr>
                <w:rFonts w:ascii="Courier New" w:cs="Courier New" w:eastAsia="Courier New" w:hAnsi="Courier New"/>
                <w:sz w:val="18"/>
                <w:szCs w:val="18"/>
                <w:color w:val="auto"/>
              </w:rPr>
              <w:t>(6,753)</w:t>
            </w:r>
          </w:p>
        </w:tc>
        <w:tc>
          <w:tcPr>
            <w:tcW w:w="1220" w:type="dxa"/>
            <w:vAlign w:val="bottom"/>
          </w:tcPr>
          <w:p>
            <w:pPr>
              <w:jc w:val="right"/>
              <w:spacing w:after="0"/>
              <w:rPr>
                <w:sz w:val="20"/>
                <w:szCs w:val="20"/>
                <w:color w:val="auto"/>
              </w:rPr>
            </w:pPr>
            <w:r>
              <w:rPr>
                <w:rFonts w:ascii="Courier New" w:cs="Courier New" w:eastAsia="Courier New" w:hAnsi="Courier New"/>
                <w:sz w:val="18"/>
                <w:szCs w:val="18"/>
                <w:color w:val="auto"/>
              </w:rPr>
              <w:t>(17,047)</w:t>
            </w:r>
          </w:p>
        </w:tc>
      </w:tr>
      <w:tr>
        <w:trPr>
          <w:trHeight w:val="203"/>
        </w:trPr>
        <w:tc>
          <w:tcPr>
            <w:tcW w:w="216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Cash and equivalents</w:t>
            </w:r>
          </w:p>
        </w:tc>
        <w:tc>
          <w:tcPr>
            <w:tcW w:w="1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9"/>
              </w:rPr>
              <w:t>at beginning of</w:t>
            </w:r>
          </w:p>
        </w:tc>
        <w:tc>
          <w:tcPr>
            <w:tcW w:w="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period</w:t>
            </w:r>
          </w:p>
        </w:tc>
        <w:tc>
          <w:tcPr>
            <w:tcW w:w="12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47,523</w:t>
            </w:r>
          </w:p>
        </w:tc>
        <w:tc>
          <w:tcPr>
            <w:tcW w:w="1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35,733</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520" w:type="dxa"/>
            <w:vAlign w:val="bottom"/>
          </w:tcPr>
          <w:p>
            <w:pPr>
              <w:spacing w:after="0"/>
              <w:rPr>
                <w:sz w:val="20"/>
                <w:szCs w:val="20"/>
                <w:color w:val="auto"/>
              </w:rPr>
            </w:pPr>
            <w:r>
              <w:rPr>
                <w:rFonts w:ascii="Courier New" w:cs="Courier New" w:eastAsia="Courier New" w:hAnsi="Courier New"/>
                <w:sz w:val="18"/>
                <w:szCs w:val="18"/>
                <w:color w:val="auto"/>
              </w:rPr>
              <w:t>Cash and equivalents at end of period</w:t>
            </w:r>
          </w:p>
        </w:tc>
        <w:tc>
          <w:tcPr>
            <w:tcW w:w="136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$ 40,770</w:t>
            </w:r>
          </w:p>
        </w:tc>
        <w:tc>
          <w:tcPr>
            <w:tcW w:w="1280" w:type="dxa"/>
            <w:vAlign w:val="bottom"/>
            <w:gridSpan w:val="2"/>
          </w:tcPr>
          <w:p>
            <w:pPr>
              <w:jc w:val="right"/>
              <w:ind w:right="32"/>
              <w:spacing w:after="0"/>
              <w:rPr>
                <w:sz w:val="20"/>
                <w:szCs w:val="20"/>
                <w:color w:val="auto"/>
              </w:rPr>
            </w:pPr>
            <w:r>
              <w:rPr>
                <w:rFonts w:ascii="Courier New" w:cs="Courier New" w:eastAsia="Courier New" w:hAnsi="Courier New"/>
                <w:sz w:val="18"/>
                <w:szCs w:val="18"/>
                <w:color w:val="auto"/>
              </w:rPr>
              <w:t>$ 18,686</w:t>
            </w:r>
          </w:p>
        </w:tc>
      </w:tr>
      <w:tr>
        <w:trPr>
          <w:trHeight w:val="203"/>
        </w:trPr>
        <w:tc>
          <w:tcPr>
            <w:tcW w:w="452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28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520" w:type="dxa"/>
            <w:vAlign w:val="bottom"/>
          </w:tcPr>
          <w:p>
            <w:pPr>
              <w:spacing w:after="0"/>
              <w:rPr>
                <w:sz w:val="20"/>
                <w:szCs w:val="20"/>
                <w:color w:val="auto"/>
              </w:rPr>
            </w:pPr>
            <w:r>
              <w:rPr>
                <w:rFonts w:ascii="Courier New" w:cs="Courier New" w:eastAsia="Courier New" w:hAnsi="Courier New"/>
                <w:sz w:val="18"/>
                <w:szCs w:val="18"/>
                <w:color w:val="auto"/>
              </w:rPr>
              <w:t>Supplemental disclosures:</w:t>
            </w:r>
          </w:p>
        </w:tc>
        <w:tc>
          <w:tcPr>
            <w:tcW w:w="1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03"/>
        </w:trPr>
        <w:tc>
          <w:tcPr>
            <w:tcW w:w="452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taxes (paid) refunded</w:t>
            </w:r>
          </w:p>
        </w:tc>
        <w:tc>
          <w:tcPr>
            <w:tcW w:w="13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w w:val="96"/>
              </w:rPr>
              <w:t>$(109,750)</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238</w:t>
            </w:r>
          </w:p>
        </w:tc>
      </w:tr>
      <w:tr>
        <w:trPr>
          <w:trHeight w:val="203"/>
        </w:trPr>
        <w:tc>
          <w:tcPr>
            <w:tcW w:w="4520" w:type="dxa"/>
            <w:vAlign w:val="bottom"/>
          </w:tcPr>
          <w:p>
            <w:pPr>
              <w:spacing w:after="0" w:line="203" w:lineRule="exact"/>
              <w:rPr>
                <w:sz w:val="20"/>
                <w:szCs w:val="20"/>
                <w:color w:val="auto"/>
              </w:rPr>
            </w:pPr>
            <w:r>
              <w:rPr>
                <w:rFonts w:ascii="Courier New" w:cs="Courier New" w:eastAsia="Courier New" w:hAnsi="Courier New"/>
                <w:sz w:val="18"/>
                <w:szCs w:val="18"/>
                <w:color w:val="auto"/>
              </w:rPr>
              <w:t>Interest paid</w:t>
            </w:r>
          </w:p>
        </w:tc>
        <w:tc>
          <w:tcPr>
            <w:tcW w:w="13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(2,985)</w:t>
            </w:r>
          </w:p>
        </w:tc>
        <w:tc>
          <w:tcPr>
            <w:tcW w:w="48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(3,115)</w:t>
            </w:r>
          </w:p>
        </w:tc>
      </w:tr>
      <w:tr>
        <w:trPr>
          <w:trHeight w:val="203"/>
        </w:trPr>
        <w:tc>
          <w:tcPr>
            <w:tcW w:w="452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Noncash investing and financing activities:</w:t>
            </w:r>
          </w:p>
        </w:tc>
        <w:tc>
          <w:tcPr>
            <w:tcW w:w="13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588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Equipment acquisitions on contracts payable</w:t>
            </w:r>
          </w:p>
        </w:tc>
        <w:tc>
          <w:tcPr>
            <w:tcW w:w="48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45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and capital leases</w:t>
            </w:r>
          </w:p>
        </w:tc>
        <w:tc>
          <w:tcPr>
            <w:tcW w:w="13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57,045</w:t>
            </w:r>
          </w:p>
        </w:tc>
        <w:tc>
          <w:tcPr>
            <w:tcW w:w="480" w:type="dxa"/>
            <w:vAlign w:val="bottom"/>
          </w:tcPr>
          <w:p>
            <w:pPr>
              <w:spacing w:after="0"/>
              <w:rPr>
                <w:sz w:val="17"/>
                <w:szCs w:val="17"/>
                <w:color w:val="auto"/>
              </w:rPr>
            </w:pPr>
          </w:p>
        </w:tc>
        <w:tc>
          <w:tcPr>
            <w:tcW w:w="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25,639</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accompanying notes to consolidated financial statements.</w:t>
      </w:r>
    </w:p>
    <w:p>
      <w:pPr>
        <w:spacing w:after="0" w:line="200" w:lineRule="exact"/>
        <w:rPr>
          <w:sz w:val="20"/>
          <w:szCs w:val="20"/>
          <w:color w:val="auto"/>
        </w:rPr>
      </w:pPr>
    </w:p>
    <w:p>
      <w:pPr>
        <w:spacing w:after="0" w:line="204"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9359"/>
          </w:cols>
          <w:pgMar w:left="1100" w:top="1122" w:right="1440" w:bottom="1440" w:gutter="0" w:footer="0" w:header="0"/>
        </w:sectPr>
      </w:pPr>
    </w:p>
    <w:bookmarkStart w:id="5" w:name="page6"/>
    <w:bookmarkEnd w:id="5"/>
    <w:p>
      <w:pPr>
        <w:jc w:val="center"/>
        <w:ind w:right="1990"/>
        <w:spacing w:after="0"/>
        <w:rPr>
          <w:sz w:val="20"/>
          <w:szCs w:val="20"/>
          <w:color w:val="auto"/>
        </w:rPr>
      </w:pPr>
      <w:r>
        <w:rPr>
          <w:rFonts w:ascii="Courier New" w:cs="Courier New" w:eastAsia="Courier New" w:hAnsi="Courier New"/>
          <w:sz w:val="18"/>
          <w:szCs w:val="18"/>
          <w:color w:val="auto"/>
        </w:rPr>
        <w:t>Notes to Consolidated Financial Statements</w:t>
      </w:r>
    </w:p>
    <w:p>
      <w:pPr>
        <w:jc w:val="center"/>
        <w:ind w:right="1990"/>
        <w:spacing w:after="0" w:line="238" w:lineRule="auto"/>
        <w:rPr>
          <w:sz w:val="20"/>
          <w:szCs w:val="20"/>
          <w:color w:val="auto"/>
        </w:rPr>
      </w:pPr>
      <w:r>
        <w:rPr>
          <w:rFonts w:ascii="Courier New" w:cs="Courier New" w:eastAsia="Courier New" w:hAnsi="Courier New"/>
          <w:sz w:val="18"/>
          <w:szCs w:val="18"/>
          <w:color w:val="auto"/>
        </w:rPr>
        <w:t>(All tabular dollar amounts are stated in thousands)</w:t>
      </w:r>
    </w:p>
    <w:p>
      <w:pPr>
        <w:spacing w:after="0" w:line="200" w:lineRule="exact"/>
        <w:rPr>
          <w:sz w:val="20"/>
          <w:szCs w:val="20"/>
          <w:color w:val="auto"/>
        </w:rPr>
      </w:pPr>
    </w:p>
    <w:p>
      <w:pPr>
        <w:spacing w:after="0" w:line="204" w:lineRule="exact"/>
        <w:rPr>
          <w:sz w:val="20"/>
          <w:szCs w:val="20"/>
          <w:color w:val="auto"/>
        </w:rPr>
      </w:pPr>
    </w:p>
    <w:p>
      <w:pPr>
        <w:ind w:left="529" w:hanging="529"/>
        <w:spacing w:after="0"/>
        <w:tabs>
          <w:tab w:leader="none" w:pos="529"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Unaudited Interim Financial Statements</w:t>
      </w:r>
    </w:p>
    <w:p>
      <w:pPr>
        <w:spacing w:after="0" w:line="207" w:lineRule="exact"/>
        <w:rPr>
          <w:sz w:val="20"/>
          <w:szCs w:val="20"/>
          <w:color w:val="auto"/>
        </w:rPr>
      </w:pPr>
    </w:p>
    <w:p>
      <w:pPr>
        <w:ind w:left="9" w:right="2319" w:firstLine="527"/>
        <w:spacing w:after="0" w:line="237" w:lineRule="auto"/>
        <w:rPr>
          <w:sz w:val="20"/>
          <w:szCs w:val="20"/>
          <w:color w:val="auto"/>
        </w:rPr>
      </w:pPr>
      <w:r>
        <w:rPr>
          <w:rFonts w:ascii="Courier New" w:cs="Courier New" w:eastAsia="Courier New" w:hAnsi="Courier New"/>
          <w:sz w:val="18"/>
          <w:szCs w:val="18"/>
          <w:color w:val="auto"/>
        </w:rPr>
        <w:t>In the opinion of management, the accompanying unaudited consolidated financial statements contain all adjustments necessary to present fairly the consolidated financial position of Micron Technology, Inc., and subsidiaries (the "company"), and their consolidated results of operations and cash flows.</w:t>
      </w:r>
    </w:p>
    <w:p>
      <w:pPr>
        <w:spacing w:after="0" w:line="209" w:lineRule="exact"/>
        <w:rPr>
          <w:sz w:val="20"/>
          <w:szCs w:val="20"/>
          <w:color w:val="auto"/>
        </w:rPr>
      </w:pPr>
    </w:p>
    <w:p>
      <w:pPr>
        <w:ind w:left="9" w:right="2099" w:firstLine="527"/>
        <w:spacing w:after="0" w:line="237" w:lineRule="auto"/>
        <w:rPr>
          <w:sz w:val="20"/>
          <w:szCs w:val="20"/>
          <w:color w:val="auto"/>
        </w:rPr>
      </w:pPr>
      <w:r>
        <w:rPr>
          <w:rFonts w:ascii="Courier New" w:cs="Courier New" w:eastAsia="Courier New" w:hAnsi="Courier New"/>
          <w:sz w:val="18"/>
          <w:szCs w:val="18"/>
          <w:color w:val="auto"/>
        </w:rPr>
        <w:t>This report on Form 10-Q for the quarter and six months ended March 3, 1994 should be read in conjunction with the company's Annual Report to Shareholders and/or Form 10-K for the year ended September 2, 1993.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9" w:type="dxa"/>
        <w:tblCellMar>
          <w:top w:w="0" w:type="dxa"/>
          <w:left w:w="0" w:type="dxa"/>
          <w:bottom w:w="0" w:type="dxa"/>
          <w:right w:w="0" w:type="dxa"/>
        </w:tblCellMar>
      </w:tblPr>
      <w:tr>
        <w:trPr>
          <w:trHeight w:val="204"/>
        </w:trPr>
        <w:tc>
          <w:tcPr>
            <w:tcW w:w="360" w:type="dxa"/>
            <w:vAlign w:val="bottom"/>
          </w:tcPr>
          <w:p>
            <w:pPr>
              <w:jc w:val="right"/>
              <w:ind w:right="72"/>
              <w:spacing w:after="0"/>
              <w:rPr>
                <w:sz w:val="20"/>
                <w:szCs w:val="20"/>
                <w:color w:val="auto"/>
              </w:rPr>
            </w:pPr>
            <w:r>
              <w:rPr>
                <w:rFonts w:ascii="Courier New" w:cs="Courier New" w:eastAsia="Courier New" w:hAnsi="Courier New"/>
                <w:sz w:val="18"/>
                <w:szCs w:val="18"/>
                <w:color w:val="auto"/>
                <w:w w:val="83"/>
              </w:rPr>
              <w:t>2.</w:t>
            </w:r>
          </w:p>
        </w:tc>
        <w:tc>
          <w:tcPr>
            <w:tcW w:w="3740" w:type="dxa"/>
            <w:vAlign w:val="bottom"/>
          </w:tcPr>
          <w:p>
            <w:pPr>
              <w:ind w:left="160"/>
              <w:spacing w:after="0"/>
              <w:rPr>
                <w:sz w:val="20"/>
                <w:szCs w:val="20"/>
                <w:color w:val="auto"/>
              </w:rPr>
            </w:pPr>
            <w:r>
              <w:rPr>
                <w:rFonts w:ascii="Courier New" w:cs="Courier New" w:eastAsia="Courier New" w:hAnsi="Courier New"/>
                <w:sz w:val="18"/>
                <w:szCs w:val="18"/>
                <w:color w:val="auto"/>
              </w:rPr>
              <w:t>Receivables</w:t>
            </w:r>
          </w:p>
        </w:tc>
        <w:tc>
          <w:tcPr>
            <w:tcW w:w="148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405"/>
        </w:trPr>
        <w:tc>
          <w:tcPr>
            <w:tcW w:w="36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Courier New" w:cs="Courier New" w:eastAsia="Courier New" w:hAnsi="Courier New"/>
                <w:sz w:val="18"/>
                <w:szCs w:val="18"/>
                <w:color w:val="auto"/>
                <w:w w:val="97"/>
              </w:rPr>
              <w:t>March 3,</w:t>
            </w:r>
          </w:p>
        </w:tc>
        <w:tc>
          <w:tcPr>
            <w:tcW w:w="1460" w:type="dxa"/>
            <w:vAlign w:val="bottom"/>
          </w:tcPr>
          <w:p>
            <w:pPr>
              <w:jc w:val="center"/>
              <w:ind w:left="112"/>
              <w:spacing w:after="0"/>
              <w:rPr>
                <w:sz w:val="20"/>
                <w:szCs w:val="20"/>
                <w:color w:val="auto"/>
              </w:rPr>
            </w:pPr>
            <w:r>
              <w:rPr>
                <w:rFonts w:ascii="Courier New" w:cs="Courier New" w:eastAsia="Courier New" w:hAnsi="Courier New"/>
                <w:sz w:val="18"/>
                <w:szCs w:val="18"/>
                <w:color w:val="auto"/>
                <w:w w:val="97"/>
              </w:rPr>
              <w:t>September 2,</w:t>
            </w:r>
          </w:p>
        </w:tc>
      </w:tr>
      <w:tr>
        <w:trPr>
          <w:trHeight w:val="203"/>
        </w:trPr>
        <w:tc>
          <w:tcPr>
            <w:tcW w:w="360" w:type="dxa"/>
            <w:vAlign w:val="bottom"/>
          </w:tcPr>
          <w:p>
            <w:pPr>
              <w:spacing w:after="0"/>
              <w:rPr>
                <w:sz w:val="17"/>
                <w:szCs w:val="17"/>
                <w:color w:val="auto"/>
              </w:rPr>
            </w:pPr>
          </w:p>
        </w:tc>
        <w:tc>
          <w:tcPr>
            <w:tcW w:w="3740" w:type="dxa"/>
            <w:vAlign w:val="bottom"/>
          </w:tcPr>
          <w:p>
            <w:pPr>
              <w:spacing w:after="0"/>
              <w:rPr>
                <w:sz w:val="17"/>
                <w:szCs w:val="17"/>
                <w:color w:val="auto"/>
              </w:rPr>
            </w:pPr>
          </w:p>
        </w:tc>
        <w:tc>
          <w:tcPr>
            <w:tcW w:w="14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1994</w:t>
            </w:r>
          </w:p>
        </w:tc>
        <w:tc>
          <w:tcPr>
            <w:tcW w:w="1460" w:type="dxa"/>
            <w:vAlign w:val="bottom"/>
          </w:tcPr>
          <w:p>
            <w:pPr>
              <w:jc w:val="center"/>
              <w:ind w:left="112"/>
              <w:spacing w:after="0" w:line="203" w:lineRule="exact"/>
              <w:rPr>
                <w:sz w:val="20"/>
                <w:szCs w:val="20"/>
                <w:color w:val="auto"/>
              </w:rPr>
            </w:pPr>
            <w:r>
              <w:rPr>
                <w:rFonts w:ascii="Courier New" w:cs="Courier New" w:eastAsia="Courier New" w:hAnsi="Courier New"/>
                <w:sz w:val="18"/>
                <w:szCs w:val="18"/>
                <w:color w:val="auto"/>
                <w:w w:val="97"/>
              </w:rPr>
              <w:t>1993</w:t>
            </w:r>
          </w:p>
        </w:tc>
      </w:tr>
      <w:tr>
        <w:trPr>
          <w:trHeight w:val="203"/>
        </w:trPr>
        <w:tc>
          <w:tcPr>
            <w:tcW w:w="360" w:type="dxa"/>
            <w:vAlign w:val="bottom"/>
          </w:tcPr>
          <w:p>
            <w:pPr>
              <w:spacing w:after="0"/>
              <w:rPr>
                <w:sz w:val="17"/>
                <w:szCs w:val="17"/>
                <w:color w:val="auto"/>
              </w:rPr>
            </w:pPr>
          </w:p>
        </w:tc>
        <w:tc>
          <w:tcPr>
            <w:tcW w:w="3740" w:type="dxa"/>
            <w:vAlign w:val="bottom"/>
          </w:tcPr>
          <w:p>
            <w:pPr>
              <w:spacing w:after="0"/>
              <w:rPr>
                <w:sz w:val="17"/>
                <w:szCs w:val="17"/>
                <w:color w:val="auto"/>
              </w:rPr>
            </w:pP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460" w:type="dxa"/>
            <w:vAlign w:val="bottom"/>
          </w:tcPr>
          <w:p>
            <w:pPr>
              <w:jc w:val="center"/>
              <w:ind w:left="112"/>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405"/>
        </w:trPr>
        <w:tc>
          <w:tcPr>
            <w:tcW w:w="360" w:type="dxa"/>
            <w:vAlign w:val="bottom"/>
          </w:tcPr>
          <w:p>
            <w:pPr>
              <w:spacing w:after="0"/>
              <w:rPr>
                <w:sz w:val="24"/>
                <w:szCs w:val="24"/>
                <w:color w:val="auto"/>
              </w:rPr>
            </w:pPr>
          </w:p>
        </w:tc>
        <w:tc>
          <w:tcPr>
            <w:tcW w:w="3740" w:type="dxa"/>
            <w:vAlign w:val="bottom"/>
          </w:tcPr>
          <w:p>
            <w:pPr>
              <w:ind w:left="160"/>
              <w:spacing w:after="0"/>
              <w:rPr>
                <w:sz w:val="20"/>
                <w:szCs w:val="20"/>
                <w:color w:val="auto"/>
              </w:rPr>
            </w:pPr>
            <w:r>
              <w:rPr>
                <w:rFonts w:ascii="Courier New" w:cs="Courier New" w:eastAsia="Courier New" w:hAnsi="Courier New"/>
                <w:sz w:val="18"/>
                <w:szCs w:val="18"/>
                <w:color w:val="auto"/>
              </w:rPr>
              <w:t>Trade receivables</w:t>
            </w:r>
          </w:p>
        </w:tc>
        <w:tc>
          <w:tcPr>
            <w:tcW w:w="14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$193,446</w:t>
            </w:r>
          </w:p>
        </w:tc>
        <w:tc>
          <w:tcPr>
            <w:tcW w:w="146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$155,010</w:t>
            </w:r>
          </w:p>
        </w:tc>
      </w:tr>
      <w:tr>
        <w:trPr>
          <w:trHeight w:val="203"/>
        </w:trPr>
        <w:tc>
          <w:tcPr>
            <w:tcW w:w="360" w:type="dxa"/>
            <w:vAlign w:val="bottom"/>
          </w:tcPr>
          <w:p>
            <w:pPr>
              <w:spacing w:after="0"/>
              <w:rPr>
                <w:sz w:val="17"/>
                <w:szCs w:val="17"/>
                <w:color w:val="auto"/>
              </w:rPr>
            </w:pPr>
          </w:p>
        </w:tc>
        <w:tc>
          <w:tcPr>
            <w:tcW w:w="37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Other</w:t>
            </w: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6,406</w:t>
            </w:r>
          </w:p>
        </w:tc>
        <w:tc>
          <w:tcPr>
            <w:tcW w:w="14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7,145</w:t>
            </w:r>
          </w:p>
        </w:tc>
      </w:tr>
      <w:tr>
        <w:trPr>
          <w:trHeight w:val="203"/>
        </w:trPr>
        <w:tc>
          <w:tcPr>
            <w:tcW w:w="360" w:type="dxa"/>
            <w:vAlign w:val="bottom"/>
          </w:tcPr>
          <w:p>
            <w:pPr>
              <w:spacing w:after="0"/>
              <w:rPr>
                <w:sz w:val="17"/>
                <w:szCs w:val="17"/>
                <w:color w:val="auto"/>
              </w:rPr>
            </w:pPr>
          </w:p>
        </w:tc>
        <w:tc>
          <w:tcPr>
            <w:tcW w:w="37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Allowance for returns and</w:t>
            </w:r>
          </w:p>
        </w:tc>
        <w:tc>
          <w:tcPr>
            <w:tcW w:w="148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03"/>
        </w:trPr>
        <w:tc>
          <w:tcPr>
            <w:tcW w:w="360" w:type="dxa"/>
            <w:vAlign w:val="bottom"/>
          </w:tcPr>
          <w:p>
            <w:pPr>
              <w:spacing w:after="0"/>
              <w:rPr>
                <w:sz w:val="17"/>
                <w:szCs w:val="17"/>
                <w:color w:val="auto"/>
              </w:rPr>
            </w:pPr>
          </w:p>
        </w:tc>
        <w:tc>
          <w:tcPr>
            <w:tcW w:w="37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discounts</w:t>
            </w:r>
          </w:p>
        </w:tc>
        <w:tc>
          <w:tcPr>
            <w:tcW w:w="14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(5,194)</w:t>
            </w:r>
          </w:p>
        </w:tc>
        <w:tc>
          <w:tcPr>
            <w:tcW w:w="1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(5,680)</w:t>
            </w:r>
          </w:p>
        </w:tc>
      </w:tr>
      <w:tr>
        <w:trPr>
          <w:trHeight w:val="203"/>
        </w:trPr>
        <w:tc>
          <w:tcPr>
            <w:tcW w:w="360" w:type="dxa"/>
            <w:vAlign w:val="bottom"/>
          </w:tcPr>
          <w:p>
            <w:pPr>
              <w:spacing w:after="0"/>
              <w:rPr>
                <w:sz w:val="17"/>
                <w:szCs w:val="17"/>
                <w:color w:val="auto"/>
              </w:rPr>
            </w:pPr>
          </w:p>
        </w:tc>
        <w:tc>
          <w:tcPr>
            <w:tcW w:w="37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Allowance for doubtful accounts</w:t>
            </w:r>
          </w:p>
        </w:tc>
        <w:tc>
          <w:tcPr>
            <w:tcW w:w="14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(1,777)</w:t>
            </w:r>
          </w:p>
        </w:tc>
        <w:tc>
          <w:tcPr>
            <w:tcW w:w="1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(1,789)</w:t>
            </w:r>
          </w:p>
        </w:tc>
      </w:tr>
      <w:tr>
        <w:trPr>
          <w:trHeight w:val="203"/>
        </w:trPr>
        <w:tc>
          <w:tcPr>
            <w:tcW w:w="360" w:type="dxa"/>
            <w:vAlign w:val="bottom"/>
          </w:tcPr>
          <w:p>
            <w:pPr>
              <w:spacing w:after="0"/>
              <w:rPr>
                <w:sz w:val="17"/>
                <w:szCs w:val="17"/>
                <w:color w:val="auto"/>
              </w:rPr>
            </w:pPr>
          </w:p>
        </w:tc>
        <w:tc>
          <w:tcPr>
            <w:tcW w:w="3740" w:type="dxa"/>
            <w:vAlign w:val="bottom"/>
          </w:tcPr>
          <w:p>
            <w:pPr>
              <w:spacing w:after="0"/>
              <w:rPr>
                <w:sz w:val="17"/>
                <w:szCs w:val="17"/>
                <w:color w:val="auto"/>
              </w:rPr>
            </w:pP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4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60" w:type="dxa"/>
            <w:vAlign w:val="bottom"/>
          </w:tcPr>
          <w:p>
            <w:pPr>
              <w:spacing w:after="0"/>
              <w:rPr>
                <w:sz w:val="17"/>
                <w:szCs w:val="17"/>
                <w:color w:val="auto"/>
              </w:rPr>
            </w:pPr>
          </w:p>
        </w:tc>
        <w:tc>
          <w:tcPr>
            <w:tcW w:w="3740" w:type="dxa"/>
            <w:vAlign w:val="bottom"/>
          </w:tcPr>
          <w:p>
            <w:pPr>
              <w:spacing w:after="0"/>
              <w:rPr>
                <w:sz w:val="17"/>
                <w:szCs w:val="17"/>
                <w:color w:val="auto"/>
              </w:rPr>
            </w:pP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$192,881</w:t>
            </w:r>
          </w:p>
        </w:tc>
        <w:tc>
          <w:tcPr>
            <w:tcW w:w="14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$154,686</w:t>
            </w:r>
          </w:p>
        </w:tc>
      </w:tr>
      <w:tr>
        <w:trPr>
          <w:trHeight w:val="203"/>
        </w:trPr>
        <w:tc>
          <w:tcPr>
            <w:tcW w:w="360" w:type="dxa"/>
            <w:vAlign w:val="bottom"/>
          </w:tcPr>
          <w:p>
            <w:pPr>
              <w:spacing w:after="0"/>
              <w:rPr>
                <w:sz w:val="17"/>
                <w:szCs w:val="17"/>
                <w:color w:val="auto"/>
              </w:rPr>
            </w:pPr>
          </w:p>
        </w:tc>
        <w:tc>
          <w:tcPr>
            <w:tcW w:w="3740" w:type="dxa"/>
            <w:vAlign w:val="bottom"/>
          </w:tcPr>
          <w:p>
            <w:pPr>
              <w:spacing w:after="0"/>
              <w:rPr>
                <w:sz w:val="17"/>
                <w:szCs w:val="17"/>
                <w:color w:val="auto"/>
              </w:rPr>
            </w:pP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4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60" w:type="dxa"/>
            <w:vAlign w:val="bottom"/>
          </w:tcPr>
          <w:p>
            <w:pPr>
              <w:jc w:val="right"/>
              <w:ind w:right="72"/>
              <w:spacing w:after="0"/>
              <w:rPr>
                <w:sz w:val="20"/>
                <w:szCs w:val="20"/>
                <w:color w:val="auto"/>
              </w:rPr>
            </w:pPr>
            <w:r>
              <w:rPr>
                <w:rFonts w:ascii="Courier New" w:cs="Courier New" w:eastAsia="Courier New" w:hAnsi="Courier New"/>
                <w:sz w:val="18"/>
                <w:szCs w:val="18"/>
                <w:color w:val="auto"/>
                <w:w w:val="83"/>
              </w:rPr>
              <w:t>3.</w:t>
            </w:r>
          </w:p>
        </w:tc>
        <w:tc>
          <w:tcPr>
            <w:tcW w:w="3740" w:type="dxa"/>
            <w:vAlign w:val="bottom"/>
          </w:tcPr>
          <w:p>
            <w:pPr>
              <w:ind w:left="160"/>
              <w:spacing w:after="0"/>
              <w:rPr>
                <w:sz w:val="20"/>
                <w:szCs w:val="20"/>
                <w:color w:val="auto"/>
              </w:rPr>
            </w:pPr>
            <w:r>
              <w:rPr>
                <w:rFonts w:ascii="Courier New" w:cs="Courier New" w:eastAsia="Courier New" w:hAnsi="Courier New"/>
                <w:sz w:val="18"/>
                <w:szCs w:val="18"/>
                <w:color w:val="auto"/>
              </w:rPr>
              <w:t>Inventories</w:t>
            </w:r>
          </w:p>
        </w:tc>
        <w:tc>
          <w:tcPr>
            <w:tcW w:w="148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405"/>
        </w:trPr>
        <w:tc>
          <w:tcPr>
            <w:tcW w:w="36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Courier New" w:cs="Courier New" w:eastAsia="Courier New" w:hAnsi="Courier New"/>
                <w:sz w:val="18"/>
                <w:szCs w:val="18"/>
                <w:color w:val="auto"/>
                <w:w w:val="97"/>
              </w:rPr>
              <w:t>March 3,</w:t>
            </w:r>
          </w:p>
        </w:tc>
        <w:tc>
          <w:tcPr>
            <w:tcW w:w="1460" w:type="dxa"/>
            <w:vAlign w:val="bottom"/>
          </w:tcPr>
          <w:p>
            <w:pPr>
              <w:jc w:val="center"/>
              <w:ind w:left="112"/>
              <w:spacing w:after="0"/>
              <w:rPr>
                <w:sz w:val="20"/>
                <w:szCs w:val="20"/>
                <w:color w:val="auto"/>
              </w:rPr>
            </w:pPr>
            <w:r>
              <w:rPr>
                <w:rFonts w:ascii="Courier New" w:cs="Courier New" w:eastAsia="Courier New" w:hAnsi="Courier New"/>
                <w:sz w:val="18"/>
                <w:szCs w:val="18"/>
                <w:color w:val="auto"/>
                <w:w w:val="97"/>
              </w:rPr>
              <w:t>September 2,</w:t>
            </w:r>
          </w:p>
        </w:tc>
      </w:tr>
      <w:tr>
        <w:trPr>
          <w:trHeight w:val="203"/>
        </w:trPr>
        <w:tc>
          <w:tcPr>
            <w:tcW w:w="360" w:type="dxa"/>
            <w:vAlign w:val="bottom"/>
          </w:tcPr>
          <w:p>
            <w:pPr>
              <w:spacing w:after="0"/>
              <w:rPr>
                <w:sz w:val="17"/>
                <w:szCs w:val="17"/>
                <w:color w:val="auto"/>
              </w:rPr>
            </w:pPr>
          </w:p>
        </w:tc>
        <w:tc>
          <w:tcPr>
            <w:tcW w:w="3740" w:type="dxa"/>
            <w:vAlign w:val="bottom"/>
          </w:tcPr>
          <w:p>
            <w:pPr>
              <w:spacing w:after="0"/>
              <w:rPr>
                <w:sz w:val="17"/>
                <w:szCs w:val="17"/>
                <w:color w:val="auto"/>
              </w:rPr>
            </w:pPr>
          </w:p>
        </w:tc>
        <w:tc>
          <w:tcPr>
            <w:tcW w:w="14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1994</w:t>
            </w:r>
          </w:p>
        </w:tc>
        <w:tc>
          <w:tcPr>
            <w:tcW w:w="1460" w:type="dxa"/>
            <w:vAlign w:val="bottom"/>
          </w:tcPr>
          <w:p>
            <w:pPr>
              <w:jc w:val="center"/>
              <w:ind w:left="112"/>
              <w:spacing w:after="0" w:line="203" w:lineRule="exact"/>
              <w:rPr>
                <w:sz w:val="20"/>
                <w:szCs w:val="20"/>
                <w:color w:val="auto"/>
              </w:rPr>
            </w:pPr>
            <w:r>
              <w:rPr>
                <w:rFonts w:ascii="Courier New" w:cs="Courier New" w:eastAsia="Courier New" w:hAnsi="Courier New"/>
                <w:sz w:val="18"/>
                <w:szCs w:val="18"/>
                <w:color w:val="auto"/>
                <w:w w:val="97"/>
              </w:rPr>
              <w:t>1993</w:t>
            </w:r>
          </w:p>
        </w:tc>
      </w:tr>
      <w:tr>
        <w:trPr>
          <w:trHeight w:val="203"/>
        </w:trPr>
        <w:tc>
          <w:tcPr>
            <w:tcW w:w="360" w:type="dxa"/>
            <w:vAlign w:val="bottom"/>
          </w:tcPr>
          <w:p>
            <w:pPr>
              <w:spacing w:after="0"/>
              <w:rPr>
                <w:sz w:val="17"/>
                <w:szCs w:val="17"/>
                <w:color w:val="auto"/>
              </w:rPr>
            </w:pPr>
          </w:p>
        </w:tc>
        <w:tc>
          <w:tcPr>
            <w:tcW w:w="3740" w:type="dxa"/>
            <w:vAlign w:val="bottom"/>
          </w:tcPr>
          <w:p>
            <w:pPr>
              <w:spacing w:after="0"/>
              <w:rPr>
                <w:sz w:val="17"/>
                <w:szCs w:val="17"/>
                <w:color w:val="auto"/>
              </w:rPr>
            </w:pP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460" w:type="dxa"/>
            <w:vAlign w:val="bottom"/>
          </w:tcPr>
          <w:p>
            <w:pPr>
              <w:jc w:val="center"/>
              <w:ind w:left="112"/>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360" w:type="dxa"/>
            <w:vAlign w:val="bottom"/>
          </w:tcPr>
          <w:p>
            <w:pPr>
              <w:spacing w:after="0"/>
              <w:rPr>
                <w:sz w:val="17"/>
                <w:szCs w:val="17"/>
                <w:color w:val="auto"/>
              </w:rPr>
            </w:pPr>
          </w:p>
        </w:tc>
        <w:tc>
          <w:tcPr>
            <w:tcW w:w="37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Finished goods</w:t>
            </w: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  6,533</w:t>
            </w:r>
          </w:p>
        </w:tc>
        <w:tc>
          <w:tcPr>
            <w:tcW w:w="14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  7,343</w:t>
            </w:r>
          </w:p>
        </w:tc>
      </w:tr>
      <w:tr>
        <w:trPr>
          <w:trHeight w:val="203"/>
        </w:trPr>
        <w:tc>
          <w:tcPr>
            <w:tcW w:w="360" w:type="dxa"/>
            <w:vAlign w:val="bottom"/>
          </w:tcPr>
          <w:p>
            <w:pPr>
              <w:spacing w:after="0"/>
              <w:rPr>
                <w:sz w:val="17"/>
                <w:szCs w:val="17"/>
                <w:color w:val="auto"/>
              </w:rPr>
            </w:pPr>
          </w:p>
        </w:tc>
        <w:tc>
          <w:tcPr>
            <w:tcW w:w="37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Work in progress</w:t>
            </w: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59,130</w:t>
            </w:r>
          </w:p>
        </w:tc>
        <w:tc>
          <w:tcPr>
            <w:tcW w:w="14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52,473</w:t>
            </w:r>
          </w:p>
        </w:tc>
      </w:tr>
      <w:tr>
        <w:trPr>
          <w:trHeight w:val="203"/>
        </w:trPr>
        <w:tc>
          <w:tcPr>
            <w:tcW w:w="360" w:type="dxa"/>
            <w:vAlign w:val="bottom"/>
          </w:tcPr>
          <w:p>
            <w:pPr>
              <w:spacing w:after="0"/>
              <w:rPr>
                <w:sz w:val="17"/>
                <w:szCs w:val="17"/>
                <w:color w:val="auto"/>
              </w:rPr>
            </w:pPr>
          </w:p>
        </w:tc>
        <w:tc>
          <w:tcPr>
            <w:tcW w:w="37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Raw materials and supplies</w:t>
            </w: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29,928</w:t>
            </w:r>
          </w:p>
        </w:tc>
        <w:tc>
          <w:tcPr>
            <w:tcW w:w="14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23,348</w:t>
            </w:r>
          </w:p>
        </w:tc>
      </w:tr>
      <w:tr>
        <w:trPr>
          <w:trHeight w:val="203"/>
        </w:trPr>
        <w:tc>
          <w:tcPr>
            <w:tcW w:w="360" w:type="dxa"/>
            <w:vAlign w:val="bottom"/>
          </w:tcPr>
          <w:p>
            <w:pPr>
              <w:spacing w:after="0"/>
              <w:rPr>
                <w:sz w:val="17"/>
                <w:szCs w:val="17"/>
                <w:color w:val="auto"/>
              </w:rPr>
            </w:pPr>
          </w:p>
        </w:tc>
        <w:tc>
          <w:tcPr>
            <w:tcW w:w="3740" w:type="dxa"/>
            <w:vAlign w:val="bottom"/>
          </w:tcPr>
          <w:p>
            <w:pPr>
              <w:spacing w:after="0"/>
              <w:rPr>
                <w:sz w:val="17"/>
                <w:szCs w:val="17"/>
                <w:color w:val="auto"/>
              </w:rPr>
            </w:pP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4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60" w:type="dxa"/>
            <w:vAlign w:val="bottom"/>
          </w:tcPr>
          <w:p>
            <w:pPr>
              <w:spacing w:after="0"/>
              <w:rPr>
                <w:sz w:val="17"/>
                <w:szCs w:val="17"/>
                <w:color w:val="auto"/>
              </w:rPr>
            </w:pPr>
          </w:p>
        </w:tc>
        <w:tc>
          <w:tcPr>
            <w:tcW w:w="3740" w:type="dxa"/>
            <w:vAlign w:val="bottom"/>
          </w:tcPr>
          <w:p>
            <w:pPr>
              <w:spacing w:after="0"/>
              <w:rPr>
                <w:sz w:val="17"/>
                <w:szCs w:val="17"/>
                <w:color w:val="auto"/>
              </w:rPr>
            </w:pP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$ 95,591</w:t>
            </w:r>
          </w:p>
        </w:tc>
        <w:tc>
          <w:tcPr>
            <w:tcW w:w="14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$ 83,164</w:t>
            </w:r>
          </w:p>
        </w:tc>
      </w:tr>
      <w:tr>
        <w:trPr>
          <w:trHeight w:val="203"/>
        </w:trPr>
        <w:tc>
          <w:tcPr>
            <w:tcW w:w="360" w:type="dxa"/>
            <w:vAlign w:val="bottom"/>
          </w:tcPr>
          <w:p>
            <w:pPr>
              <w:spacing w:after="0"/>
              <w:rPr>
                <w:sz w:val="17"/>
                <w:szCs w:val="17"/>
                <w:color w:val="auto"/>
              </w:rPr>
            </w:pPr>
          </w:p>
        </w:tc>
        <w:tc>
          <w:tcPr>
            <w:tcW w:w="3740" w:type="dxa"/>
            <w:vAlign w:val="bottom"/>
          </w:tcPr>
          <w:p>
            <w:pPr>
              <w:spacing w:after="0"/>
              <w:rPr>
                <w:sz w:val="17"/>
                <w:szCs w:val="17"/>
                <w:color w:val="auto"/>
              </w:rPr>
            </w:pP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4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3589"/>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9368"/>
          </w:cols>
          <w:pgMar w:left="1091" w:top="1325" w:right="1440" w:bottom="1440" w:gutter="0" w:footer="0" w:header="0"/>
        </w:sectPr>
      </w:pPr>
    </w:p>
    <w:bookmarkStart w:id="6" w:name="page7"/>
    <w:bookmarkEnd w:id="6"/>
    <w:p>
      <w:pPr>
        <w:ind w:left="840"/>
        <w:spacing w:after="0"/>
        <w:rPr>
          <w:sz w:val="20"/>
          <w:szCs w:val="20"/>
          <w:color w:val="auto"/>
        </w:rPr>
      </w:pPr>
      <w:r>
        <w:rPr>
          <w:rFonts w:ascii="Courier New" w:cs="Courier New" w:eastAsia="Courier New" w:hAnsi="Courier New"/>
          <w:sz w:val="18"/>
          <w:szCs w:val="18"/>
          <w:color w:val="auto"/>
        </w:rPr>
        <w:t>Notes to Consolidated Financial Statements, continued</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420" w:type="dxa"/>
            <w:vAlign w:val="bottom"/>
          </w:tcPr>
          <w:p>
            <w:pPr>
              <w:spacing w:after="0"/>
              <w:rPr>
                <w:sz w:val="20"/>
                <w:szCs w:val="20"/>
                <w:color w:val="auto"/>
              </w:rPr>
            </w:pPr>
            <w:r>
              <w:rPr>
                <w:rFonts w:ascii="Courier New" w:cs="Courier New" w:eastAsia="Courier New" w:hAnsi="Courier New"/>
                <w:sz w:val="18"/>
                <w:szCs w:val="18"/>
                <w:color w:val="auto"/>
              </w:rPr>
              <w:t>4.   Product and process technology, net</w:t>
            </w:r>
          </w:p>
        </w:tc>
        <w:tc>
          <w:tcPr>
            <w:tcW w:w="116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405"/>
        </w:trPr>
        <w:tc>
          <w:tcPr>
            <w:tcW w:w="4420" w:type="dxa"/>
            <w:vAlign w:val="bottom"/>
          </w:tcPr>
          <w:p>
            <w:pPr>
              <w:spacing w:after="0"/>
              <w:rPr>
                <w:sz w:val="24"/>
                <w:szCs w:val="24"/>
                <w:color w:val="auto"/>
              </w:rPr>
            </w:pPr>
          </w:p>
        </w:tc>
        <w:tc>
          <w:tcPr>
            <w:tcW w:w="1160" w:type="dxa"/>
            <w:vAlign w:val="bottom"/>
          </w:tcPr>
          <w:p>
            <w:pPr>
              <w:jc w:val="center"/>
              <w:ind w:right="232"/>
              <w:spacing w:after="0"/>
              <w:rPr>
                <w:sz w:val="20"/>
                <w:szCs w:val="20"/>
                <w:color w:val="auto"/>
              </w:rPr>
            </w:pPr>
            <w:r>
              <w:rPr>
                <w:rFonts w:ascii="Courier New" w:cs="Courier New" w:eastAsia="Courier New" w:hAnsi="Courier New"/>
                <w:sz w:val="18"/>
                <w:szCs w:val="18"/>
                <w:color w:val="auto"/>
                <w:w w:val="97"/>
              </w:rPr>
              <w:t>March 3,</w:t>
            </w:r>
          </w:p>
        </w:tc>
        <w:tc>
          <w:tcPr>
            <w:tcW w:w="1460" w:type="dxa"/>
            <w:vAlign w:val="bottom"/>
          </w:tcPr>
          <w:p>
            <w:pPr>
              <w:jc w:val="center"/>
              <w:ind w:left="112"/>
              <w:spacing w:after="0"/>
              <w:rPr>
                <w:sz w:val="20"/>
                <w:szCs w:val="20"/>
                <w:color w:val="auto"/>
              </w:rPr>
            </w:pPr>
            <w:r>
              <w:rPr>
                <w:rFonts w:ascii="Courier New" w:cs="Courier New" w:eastAsia="Courier New" w:hAnsi="Courier New"/>
                <w:sz w:val="18"/>
                <w:szCs w:val="18"/>
                <w:color w:val="auto"/>
                <w:w w:val="97"/>
              </w:rPr>
              <w:t>September 2,</w:t>
            </w:r>
          </w:p>
        </w:tc>
      </w:tr>
      <w:tr>
        <w:trPr>
          <w:trHeight w:val="203"/>
        </w:trPr>
        <w:tc>
          <w:tcPr>
            <w:tcW w:w="4420" w:type="dxa"/>
            <w:vAlign w:val="bottom"/>
          </w:tcPr>
          <w:p>
            <w:pPr>
              <w:spacing w:after="0"/>
              <w:rPr>
                <w:sz w:val="17"/>
                <w:szCs w:val="17"/>
                <w:color w:val="auto"/>
              </w:rPr>
            </w:pPr>
          </w:p>
        </w:tc>
        <w:tc>
          <w:tcPr>
            <w:tcW w:w="1160" w:type="dxa"/>
            <w:vAlign w:val="bottom"/>
          </w:tcPr>
          <w:p>
            <w:pPr>
              <w:jc w:val="center"/>
              <w:ind w:right="252"/>
              <w:spacing w:after="0" w:line="203" w:lineRule="exact"/>
              <w:rPr>
                <w:sz w:val="20"/>
                <w:szCs w:val="20"/>
                <w:color w:val="auto"/>
              </w:rPr>
            </w:pPr>
            <w:r>
              <w:rPr>
                <w:rFonts w:ascii="Courier New" w:cs="Courier New" w:eastAsia="Courier New" w:hAnsi="Courier New"/>
                <w:sz w:val="18"/>
                <w:szCs w:val="18"/>
                <w:color w:val="auto"/>
                <w:w w:val="97"/>
              </w:rPr>
              <w:t>1994</w:t>
            </w:r>
          </w:p>
        </w:tc>
        <w:tc>
          <w:tcPr>
            <w:tcW w:w="1460" w:type="dxa"/>
            <w:vAlign w:val="bottom"/>
          </w:tcPr>
          <w:p>
            <w:pPr>
              <w:jc w:val="center"/>
              <w:ind w:left="112"/>
              <w:spacing w:after="0" w:line="203" w:lineRule="exact"/>
              <w:rPr>
                <w:sz w:val="20"/>
                <w:szCs w:val="20"/>
                <w:color w:val="auto"/>
              </w:rPr>
            </w:pPr>
            <w:r>
              <w:rPr>
                <w:rFonts w:ascii="Courier New" w:cs="Courier New" w:eastAsia="Courier New" w:hAnsi="Courier New"/>
                <w:sz w:val="18"/>
                <w:szCs w:val="18"/>
                <w:color w:val="auto"/>
                <w:w w:val="97"/>
              </w:rPr>
              <w:t>1993</w:t>
            </w:r>
          </w:p>
        </w:tc>
      </w:tr>
      <w:tr>
        <w:trPr>
          <w:trHeight w:val="203"/>
        </w:trPr>
        <w:tc>
          <w:tcPr>
            <w:tcW w:w="4420" w:type="dxa"/>
            <w:vAlign w:val="bottom"/>
          </w:tcPr>
          <w:p>
            <w:pPr>
              <w:spacing w:after="0"/>
              <w:rPr>
                <w:sz w:val="17"/>
                <w:szCs w:val="17"/>
                <w:color w:val="auto"/>
              </w:rPr>
            </w:pP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4"/>
              </w:rPr>
              <w:t>--------</w:t>
            </w:r>
          </w:p>
        </w:tc>
        <w:tc>
          <w:tcPr>
            <w:tcW w:w="1460" w:type="dxa"/>
            <w:vAlign w:val="bottom"/>
          </w:tcPr>
          <w:p>
            <w:pPr>
              <w:jc w:val="center"/>
              <w:ind w:left="112"/>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442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Product and process technology,</w:t>
            </w:r>
          </w:p>
        </w:tc>
        <w:tc>
          <w:tcPr>
            <w:tcW w:w="116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03"/>
        </w:trPr>
        <w:tc>
          <w:tcPr>
            <w:tcW w:w="4420" w:type="dxa"/>
            <w:vAlign w:val="bottom"/>
          </w:tcPr>
          <w:p>
            <w:pPr>
              <w:ind w:left="620"/>
              <w:spacing w:after="0" w:line="203" w:lineRule="exact"/>
              <w:rPr>
                <w:sz w:val="20"/>
                <w:szCs w:val="20"/>
                <w:color w:val="auto"/>
              </w:rPr>
            </w:pPr>
            <w:r>
              <w:rPr>
                <w:rFonts w:ascii="Courier New" w:cs="Courier New" w:eastAsia="Courier New" w:hAnsi="Courier New"/>
                <w:sz w:val="18"/>
                <w:szCs w:val="18"/>
                <w:color w:val="auto"/>
              </w:rPr>
              <w:t>at cost</w:t>
            </w: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4"/>
              </w:rPr>
              <w:t>$139,881</w:t>
            </w:r>
          </w:p>
        </w:tc>
        <w:tc>
          <w:tcPr>
            <w:tcW w:w="14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$129,221</w:t>
            </w:r>
          </w:p>
        </w:tc>
      </w:tr>
      <w:tr>
        <w:trPr>
          <w:trHeight w:val="203"/>
        </w:trPr>
        <w:tc>
          <w:tcPr>
            <w:tcW w:w="442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Less accumulated amortization</w:t>
            </w: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(81,802)</w:t>
            </w:r>
          </w:p>
        </w:tc>
        <w:tc>
          <w:tcPr>
            <w:tcW w:w="1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(59,518)</w:t>
            </w:r>
          </w:p>
        </w:tc>
      </w:tr>
      <w:tr>
        <w:trPr>
          <w:trHeight w:val="203"/>
        </w:trPr>
        <w:tc>
          <w:tcPr>
            <w:tcW w:w="4420" w:type="dxa"/>
            <w:vAlign w:val="bottom"/>
          </w:tcPr>
          <w:p>
            <w:pPr>
              <w:spacing w:after="0"/>
              <w:rPr>
                <w:sz w:val="17"/>
                <w:szCs w:val="17"/>
                <w:color w:val="auto"/>
              </w:rPr>
            </w:pP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4"/>
              </w:rPr>
              <w:t>--------</w:t>
            </w:r>
          </w:p>
        </w:tc>
        <w:tc>
          <w:tcPr>
            <w:tcW w:w="14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420" w:type="dxa"/>
            <w:vAlign w:val="bottom"/>
          </w:tcPr>
          <w:p>
            <w:pPr>
              <w:spacing w:after="0"/>
              <w:rPr>
                <w:sz w:val="17"/>
                <w:szCs w:val="17"/>
                <w:color w:val="auto"/>
              </w:rPr>
            </w:pP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4"/>
              </w:rPr>
              <w:t>$ 58,079</w:t>
            </w:r>
          </w:p>
        </w:tc>
        <w:tc>
          <w:tcPr>
            <w:tcW w:w="14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$ 69,703</w:t>
            </w:r>
          </w:p>
        </w:tc>
      </w:tr>
      <w:tr>
        <w:trPr>
          <w:trHeight w:val="203"/>
        </w:trPr>
        <w:tc>
          <w:tcPr>
            <w:tcW w:w="4420" w:type="dxa"/>
            <w:vAlign w:val="bottom"/>
          </w:tcPr>
          <w:p>
            <w:pPr>
              <w:spacing w:after="0"/>
              <w:rPr>
                <w:sz w:val="17"/>
                <w:szCs w:val="17"/>
                <w:color w:val="auto"/>
              </w:rPr>
            </w:pP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4"/>
              </w:rPr>
              <w:t>========</w:t>
            </w:r>
          </w:p>
        </w:tc>
        <w:tc>
          <w:tcPr>
            <w:tcW w:w="14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420" w:type="dxa"/>
            <w:vAlign w:val="bottom"/>
          </w:tcPr>
          <w:p>
            <w:pPr>
              <w:spacing w:after="0"/>
              <w:rPr>
                <w:sz w:val="20"/>
                <w:szCs w:val="20"/>
                <w:color w:val="auto"/>
              </w:rPr>
            </w:pPr>
            <w:r>
              <w:rPr>
                <w:rFonts w:ascii="Courier New" w:cs="Courier New" w:eastAsia="Courier New" w:hAnsi="Courier New"/>
                <w:sz w:val="18"/>
                <w:szCs w:val="18"/>
                <w:color w:val="auto"/>
              </w:rPr>
              <w:t>5.   Property, plant, and equipment, net</w:t>
            </w:r>
          </w:p>
        </w:tc>
        <w:tc>
          <w:tcPr>
            <w:tcW w:w="116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405"/>
        </w:trPr>
        <w:tc>
          <w:tcPr>
            <w:tcW w:w="4420" w:type="dxa"/>
            <w:vAlign w:val="bottom"/>
          </w:tcPr>
          <w:p>
            <w:pPr>
              <w:spacing w:after="0"/>
              <w:rPr>
                <w:sz w:val="24"/>
                <w:szCs w:val="24"/>
                <w:color w:val="auto"/>
              </w:rPr>
            </w:pPr>
          </w:p>
        </w:tc>
        <w:tc>
          <w:tcPr>
            <w:tcW w:w="1160" w:type="dxa"/>
            <w:vAlign w:val="bottom"/>
          </w:tcPr>
          <w:p>
            <w:pPr>
              <w:jc w:val="center"/>
              <w:ind w:right="232"/>
              <w:spacing w:after="0"/>
              <w:rPr>
                <w:sz w:val="20"/>
                <w:szCs w:val="20"/>
                <w:color w:val="auto"/>
              </w:rPr>
            </w:pPr>
            <w:r>
              <w:rPr>
                <w:rFonts w:ascii="Courier New" w:cs="Courier New" w:eastAsia="Courier New" w:hAnsi="Courier New"/>
                <w:sz w:val="18"/>
                <w:szCs w:val="18"/>
                <w:color w:val="auto"/>
                <w:w w:val="97"/>
              </w:rPr>
              <w:t>March 3,</w:t>
            </w:r>
          </w:p>
        </w:tc>
        <w:tc>
          <w:tcPr>
            <w:tcW w:w="1460" w:type="dxa"/>
            <w:vAlign w:val="bottom"/>
          </w:tcPr>
          <w:p>
            <w:pPr>
              <w:jc w:val="center"/>
              <w:ind w:left="112"/>
              <w:spacing w:after="0"/>
              <w:rPr>
                <w:sz w:val="20"/>
                <w:szCs w:val="20"/>
                <w:color w:val="auto"/>
              </w:rPr>
            </w:pPr>
            <w:r>
              <w:rPr>
                <w:rFonts w:ascii="Courier New" w:cs="Courier New" w:eastAsia="Courier New" w:hAnsi="Courier New"/>
                <w:sz w:val="18"/>
                <w:szCs w:val="18"/>
                <w:color w:val="auto"/>
                <w:w w:val="97"/>
              </w:rPr>
              <w:t>September 2,</w:t>
            </w:r>
          </w:p>
        </w:tc>
      </w:tr>
      <w:tr>
        <w:trPr>
          <w:trHeight w:val="203"/>
        </w:trPr>
        <w:tc>
          <w:tcPr>
            <w:tcW w:w="4420" w:type="dxa"/>
            <w:vAlign w:val="bottom"/>
          </w:tcPr>
          <w:p>
            <w:pPr>
              <w:spacing w:after="0"/>
              <w:rPr>
                <w:sz w:val="17"/>
                <w:szCs w:val="17"/>
                <w:color w:val="auto"/>
              </w:rPr>
            </w:pPr>
          </w:p>
        </w:tc>
        <w:tc>
          <w:tcPr>
            <w:tcW w:w="1160" w:type="dxa"/>
            <w:vAlign w:val="bottom"/>
          </w:tcPr>
          <w:p>
            <w:pPr>
              <w:jc w:val="center"/>
              <w:ind w:right="252"/>
              <w:spacing w:after="0" w:line="203" w:lineRule="exact"/>
              <w:rPr>
                <w:sz w:val="20"/>
                <w:szCs w:val="20"/>
                <w:color w:val="auto"/>
              </w:rPr>
            </w:pPr>
            <w:r>
              <w:rPr>
                <w:rFonts w:ascii="Courier New" w:cs="Courier New" w:eastAsia="Courier New" w:hAnsi="Courier New"/>
                <w:sz w:val="18"/>
                <w:szCs w:val="18"/>
                <w:color w:val="auto"/>
                <w:w w:val="97"/>
              </w:rPr>
              <w:t>1994</w:t>
            </w:r>
          </w:p>
        </w:tc>
        <w:tc>
          <w:tcPr>
            <w:tcW w:w="1460" w:type="dxa"/>
            <w:vAlign w:val="bottom"/>
          </w:tcPr>
          <w:p>
            <w:pPr>
              <w:jc w:val="center"/>
              <w:ind w:left="112"/>
              <w:spacing w:after="0" w:line="203" w:lineRule="exact"/>
              <w:rPr>
                <w:sz w:val="20"/>
                <w:szCs w:val="20"/>
                <w:color w:val="auto"/>
              </w:rPr>
            </w:pPr>
            <w:r>
              <w:rPr>
                <w:rFonts w:ascii="Courier New" w:cs="Courier New" w:eastAsia="Courier New" w:hAnsi="Courier New"/>
                <w:sz w:val="18"/>
                <w:szCs w:val="18"/>
                <w:color w:val="auto"/>
                <w:w w:val="97"/>
              </w:rPr>
              <w:t>1993</w:t>
            </w:r>
          </w:p>
        </w:tc>
      </w:tr>
      <w:tr>
        <w:trPr>
          <w:trHeight w:val="203"/>
        </w:trPr>
        <w:tc>
          <w:tcPr>
            <w:tcW w:w="4420" w:type="dxa"/>
            <w:vAlign w:val="bottom"/>
          </w:tcPr>
          <w:p>
            <w:pPr>
              <w:spacing w:after="0"/>
              <w:rPr>
                <w:sz w:val="17"/>
                <w:szCs w:val="17"/>
                <w:color w:val="auto"/>
              </w:rPr>
            </w:pP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4"/>
              </w:rPr>
              <w:t>--------</w:t>
            </w:r>
          </w:p>
        </w:tc>
        <w:tc>
          <w:tcPr>
            <w:tcW w:w="1460" w:type="dxa"/>
            <w:vAlign w:val="bottom"/>
          </w:tcPr>
          <w:p>
            <w:pPr>
              <w:jc w:val="center"/>
              <w:ind w:left="112"/>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442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Land</w:t>
            </w: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4"/>
              </w:rPr>
              <w:t>$  7,968</w:t>
            </w:r>
          </w:p>
        </w:tc>
        <w:tc>
          <w:tcPr>
            <w:tcW w:w="14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  7,483</w:t>
            </w:r>
          </w:p>
        </w:tc>
      </w:tr>
      <w:tr>
        <w:trPr>
          <w:trHeight w:val="203"/>
        </w:trPr>
        <w:tc>
          <w:tcPr>
            <w:tcW w:w="442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Buildings</w:t>
            </w: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223,479</w:t>
            </w:r>
          </w:p>
        </w:tc>
        <w:tc>
          <w:tcPr>
            <w:tcW w:w="14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217,655</w:t>
            </w:r>
          </w:p>
        </w:tc>
      </w:tr>
      <w:tr>
        <w:trPr>
          <w:trHeight w:val="203"/>
        </w:trPr>
        <w:tc>
          <w:tcPr>
            <w:tcW w:w="442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Machinery and equipment</w:t>
            </w: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692,358</w:t>
            </w:r>
          </w:p>
        </w:tc>
        <w:tc>
          <w:tcPr>
            <w:tcW w:w="14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578,810</w:t>
            </w:r>
          </w:p>
        </w:tc>
      </w:tr>
      <w:tr>
        <w:trPr>
          <w:trHeight w:val="203"/>
        </w:trPr>
        <w:tc>
          <w:tcPr>
            <w:tcW w:w="442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Construction in progress</w:t>
            </w: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57,212</w:t>
            </w:r>
          </w:p>
        </w:tc>
        <w:tc>
          <w:tcPr>
            <w:tcW w:w="14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24,667</w:t>
            </w:r>
          </w:p>
        </w:tc>
      </w:tr>
      <w:tr>
        <w:trPr>
          <w:trHeight w:val="203"/>
        </w:trPr>
        <w:tc>
          <w:tcPr>
            <w:tcW w:w="4420" w:type="dxa"/>
            <w:vAlign w:val="bottom"/>
          </w:tcPr>
          <w:p>
            <w:pPr>
              <w:spacing w:after="0"/>
              <w:rPr>
                <w:sz w:val="17"/>
                <w:szCs w:val="17"/>
                <w:color w:val="auto"/>
              </w:rPr>
            </w:pP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4"/>
              </w:rPr>
              <w:t>--------</w:t>
            </w:r>
          </w:p>
        </w:tc>
        <w:tc>
          <w:tcPr>
            <w:tcW w:w="14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420" w:type="dxa"/>
            <w:vAlign w:val="bottom"/>
          </w:tcPr>
          <w:p>
            <w:pPr>
              <w:spacing w:after="0"/>
              <w:rPr>
                <w:sz w:val="17"/>
                <w:szCs w:val="17"/>
                <w:color w:val="auto"/>
              </w:rPr>
            </w:pP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981,017</w:t>
            </w:r>
          </w:p>
        </w:tc>
        <w:tc>
          <w:tcPr>
            <w:tcW w:w="14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828,615</w:t>
            </w:r>
          </w:p>
        </w:tc>
      </w:tr>
      <w:tr>
        <w:trPr>
          <w:trHeight w:val="203"/>
        </w:trPr>
        <w:tc>
          <w:tcPr>
            <w:tcW w:w="442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Less accumulated depreciation</w:t>
            </w:r>
          </w:p>
        </w:tc>
        <w:tc>
          <w:tcPr>
            <w:tcW w:w="116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03"/>
        </w:trPr>
        <w:tc>
          <w:tcPr>
            <w:tcW w:w="4420" w:type="dxa"/>
            <w:vAlign w:val="bottom"/>
          </w:tcPr>
          <w:p>
            <w:pPr>
              <w:ind w:left="620"/>
              <w:spacing w:after="0" w:line="203" w:lineRule="exact"/>
              <w:rPr>
                <w:sz w:val="20"/>
                <w:szCs w:val="20"/>
                <w:color w:val="auto"/>
              </w:rPr>
            </w:pPr>
            <w:r>
              <w:rPr>
                <w:rFonts w:ascii="Courier New" w:cs="Courier New" w:eastAsia="Courier New" w:hAnsi="Courier New"/>
                <w:sz w:val="18"/>
                <w:szCs w:val="18"/>
                <w:color w:val="auto"/>
              </w:rPr>
              <w:t>and amortization</w:t>
            </w: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4"/>
              </w:rPr>
              <w:t>(447,058)</w:t>
            </w:r>
          </w:p>
        </w:tc>
        <w:tc>
          <w:tcPr>
            <w:tcW w:w="1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(390,854)</w:t>
            </w:r>
          </w:p>
        </w:tc>
      </w:tr>
      <w:tr>
        <w:trPr>
          <w:trHeight w:val="203"/>
        </w:trPr>
        <w:tc>
          <w:tcPr>
            <w:tcW w:w="4420" w:type="dxa"/>
            <w:vAlign w:val="bottom"/>
          </w:tcPr>
          <w:p>
            <w:pPr>
              <w:spacing w:after="0"/>
              <w:rPr>
                <w:sz w:val="17"/>
                <w:szCs w:val="17"/>
                <w:color w:val="auto"/>
              </w:rPr>
            </w:pP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4"/>
              </w:rPr>
              <w:t>--------</w:t>
            </w:r>
          </w:p>
        </w:tc>
        <w:tc>
          <w:tcPr>
            <w:tcW w:w="14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420" w:type="dxa"/>
            <w:vAlign w:val="bottom"/>
          </w:tcPr>
          <w:p>
            <w:pPr>
              <w:spacing w:after="0"/>
              <w:rPr>
                <w:sz w:val="17"/>
                <w:szCs w:val="17"/>
                <w:color w:val="auto"/>
              </w:rPr>
            </w:pP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4"/>
              </w:rPr>
              <w:t>$533,959</w:t>
            </w:r>
          </w:p>
        </w:tc>
        <w:tc>
          <w:tcPr>
            <w:tcW w:w="14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$437,761</w:t>
            </w:r>
          </w:p>
        </w:tc>
      </w:tr>
      <w:tr>
        <w:trPr>
          <w:trHeight w:val="203"/>
        </w:trPr>
        <w:tc>
          <w:tcPr>
            <w:tcW w:w="4420" w:type="dxa"/>
            <w:vAlign w:val="bottom"/>
          </w:tcPr>
          <w:p>
            <w:pPr>
              <w:spacing w:after="0"/>
              <w:rPr>
                <w:sz w:val="17"/>
                <w:szCs w:val="17"/>
                <w:color w:val="auto"/>
              </w:rPr>
            </w:pP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4"/>
              </w:rPr>
              <w:t>========</w:t>
            </w:r>
          </w:p>
        </w:tc>
        <w:tc>
          <w:tcPr>
            <w:tcW w:w="14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420" w:type="dxa"/>
            <w:vAlign w:val="bottom"/>
          </w:tcPr>
          <w:p>
            <w:pPr>
              <w:spacing w:after="0"/>
              <w:rPr>
                <w:sz w:val="20"/>
                <w:szCs w:val="20"/>
                <w:color w:val="auto"/>
              </w:rPr>
            </w:pPr>
            <w:r>
              <w:rPr>
                <w:rFonts w:ascii="Courier New" w:cs="Courier New" w:eastAsia="Courier New" w:hAnsi="Courier New"/>
                <w:sz w:val="18"/>
                <w:szCs w:val="18"/>
                <w:color w:val="auto"/>
                <w:w w:val="96"/>
              </w:rPr>
              <w:t>6.   Accounts payable and accrued expenses</w:t>
            </w:r>
          </w:p>
        </w:tc>
        <w:tc>
          <w:tcPr>
            <w:tcW w:w="116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405"/>
        </w:trPr>
        <w:tc>
          <w:tcPr>
            <w:tcW w:w="4420" w:type="dxa"/>
            <w:vAlign w:val="bottom"/>
          </w:tcPr>
          <w:p>
            <w:pPr>
              <w:spacing w:after="0"/>
              <w:rPr>
                <w:sz w:val="24"/>
                <w:szCs w:val="24"/>
                <w:color w:val="auto"/>
              </w:rPr>
            </w:pPr>
          </w:p>
        </w:tc>
        <w:tc>
          <w:tcPr>
            <w:tcW w:w="1160" w:type="dxa"/>
            <w:vAlign w:val="bottom"/>
          </w:tcPr>
          <w:p>
            <w:pPr>
              <w:jc w:val="center"/>
              <w:ind w:right="232"/>
              <w:spacing w:after="0"/>
              <w:rPr>
                <w:sz w:val="20"/>
                <w:szCs w:val="20"/>
                <w:color w:val="auto"/>
              </w:rPr>
            </w:pPr>
            <w:r>
              <w:rPr>
                <w:rFonts w:ascii="Courier New" w:cs="Courier New" w:eastAsia="Courier New" w:hAnsi="Courier New"/>
                <w:sz w:val="18"/>
                <w:szCs w:val="18"/>
                <w:color w:val="auto"/>
                <w:w w:val="97"/>
              </w:rPr>
              <w:t>March 3,</w:t>
            </w:r>
          </w:p>
        </w:tc>
        <w:tc>
          <w:tcPr>
            <w:tcW w:w="1460" w:type="dxa"/>
            <w:vAlign w:val="bottom"/>
          </w:tcPr>
          <w:p>
            <w:pPr>
              <w:jc w:val="center"/>
              <w:ind w:left="112"/>
              <w:spacing w:after="0"/>
              <w:rPr>
                <w:sz w:val="20"/>
                <w:szCs w:val="20"/>
                <w:color w:val="auto"/>
              </w:rPr>
            </w:pPr>
            <w:r>
              <w:rPr>
                <w:rFonts w:ascii="Courier New" w:cs="Courier New" w:eastAsia="Courier New" w:hAnsi="Courier New"/>
                <w:sz w:val="18"/>
                <w:szCs w:val="18"/>
                <w:color w:val="auto"/>
                <w:w w:val="97"/>
              </w:rPr>
              <w:t>September 2,</w:t>
            </w:r>
          </w:p>
        </w:tc>
      </w:tr>
      <w:tr>
        <w:trPr>
          <w:trHeight w:val="203"/>
        </w:trPr>
        <w:tc>
          <w:tcPr>
            <w:tcW w:w="4420" w:type="dxa"/>
            <w:vAlign w:val="bottom"/>
          </w:tcPr>
          <w:p>
            <w:pPr>
              <w:spacing w:after="0"/>
              <w:rPr>
                <w:sz w:val="17"/>
                <w:szCs w:val="17"/>
                <w:color w:val="auto"/>
              </w:rPr>
            </w:pPr>
          </w:p>
        </w:tc>
        <w:tc>
          <w:tcPr>
            <w:tcW w:w="1160" w:type="dxa"/>
            <w:vAlign w:val="bottom"/>
          </w:tcPr>
          <w:p>
            <w:pPr>
              <w:jc w:val="center"/>
              <w:ind w:right="252"/>
              <w:spacing w:after="0" w:line="203" w:lineRule="exact"/>
              <w:rPr>
                <w:sz w:val="20"/>
                <w:szCs w:val="20"/>
                <w:color w:val="auto"/>
              </w:rPr>
            </w:pPr>
            <w:r>
              <w:rPr>
                <w:rFonts w:ascii="Courier New" w:cs="Courier New" w:eastAsia="Courier New" w:hAnsi="Courier New"/>
                <w:sz w:val="18"/>
                <w:szCs w:val="18"/>
                <w:color w:val="auto"/>
                <w:w w:val="97"/>
              </w:rPr>
              <w:t>1994</w:t>
            </w:r>
          </w:p>
        </w:tc>
        <w:tc>
          <w:tcPr>
            <w:tcW w:w="1460" w:type="dxa"/>
            <w:vAlign w:val="bottom"/>
          </w:tcPr>
          <w:p>
            <w:pPr>
              <w:jc w:val="center"/>
              <w:ind w:left="112"/>
              <w:spacing w:after="0" w:line="203" w:lineRule="exact"/>
              <w:rPr>
                <w:sz w:val="20"/>
                <w:szCs w:val="20"/>
                <w:color w:val="auto"/>
              </w:rPr>
            </w:pPr>
            <w:r>
              <w:rPr>
                <w:rFonts w:ascii="Courier New" w:cs="Courier New" w:eastAsia="Courier New" w:hAnsi="Courier New"/>
                <w:sz w:val="18"/>
                <w:szCs w:val="18"/>
                <w:color w:val="auto"/>
                <w:w w:val="97"/>
              </w:rPr>
              <w:t>1993</w:t>
            </w:r>
          </w:p>
        </w:tc>
      </w:tr>
      <w:tr>
        <w:trPr>
          <w:trHeight w:val="203"/>
        </w:trPr>
        <w:tc>
          <w:tcPr>
            <w:tcW w:w="4420" w:type="dxa"/>
            <w:vAlign w:val="bottom"/>
          </w:tcPr>
          <w:p>
            <w:pPr>
              <w:spacing w:after="0"/>
              <w:rPr>
                <w:sz w:val="17"/>
                <w:szCs w:val="17"/>
                <w:color w:val="auto"/>
              </w:rPr>
            </w:pP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4"/>
              </w:rPr>
              <w:t>--------</w:t>
            </w:r>
          </w:p>
        </w:tc>
        <w:tc>
          <w:tcPr>
            <w:tcW w:w="1460" w:type="dxa"/>
            <w:vAlign w:val="bottom"/>
          </w:tcPr>
          <w:p>
            <w:pPr>
              <w:jc w:val="center"/>
              <w:ind w:left="112"/>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442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Accounts payable</w:t>
            </w: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4"/>
              </w:rPr>
              <w:t>$ 39,174</w:t>
            </w:r>
          </w:p>
        </w:tc>
        <w:tc>
          <w:tcPr>
            <w:tcW w:w="14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$ 34,740</w:t>
            </w:r>
          </w:p>
        </w:tc>
      </w:tr>
      <w:tr>
        <w:trPr>
          <w:trHeight w:val="203"/>
        </w:trPr>
        <w:tc>
          <w:tcPr>
            <w:tcW w:w="442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Salaries, wages, and benefits</w:t>
            </w: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41,699</w:t>
            </w:r>
          </w:p>
        </w:tc>
        <w:tc>
          <w:tcPr>
            <w:tcW w:w="14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28,829</w:t>
            </w:r>
          </w:p>
        </w:tc>
      </w:tr>
      <w:tr>
        <w:trPr>
          <w:trHeight w:val="203"/>
        </w:trPr>
        <w:tc>
          <w:tcPr>
            <w:tcW w:w="442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Product and process technology</w:t>
            </w: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78,405</w:t>
            </w:r>
          </w:p>
        </w:tc>
        <w:tc>
          <w:tcPr>
            <w:tcW w:w="14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45,932</w:t>
            </w:r>
          </w:p>
        </w:tc>
      </w:tr>
      <w:tr>
        <w:trPr>
          <w:trHeight w:val="203"/>
        </w:trPr>
        <w:tc>
          <w:tcPr>
            <w:tcW w:w="442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Income taxes payable</w:t>
            </w: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1,568</w:t>
            </w:r>
          </w:p>
        </w:tc>
        <w:tc>
          <w:tcPr>
            <w:tcW w:w="14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30,581</w:t>
            </w:r>
          </w:p>
        </w:tc>
      </w:tr>
      <w:tr>
        <w:trPr>
          <w:trHeight w:val="203"/>
        </w:trPr>
        <w:tc>
          <w:tcPr>
            <w:tcW w:w="442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Commissions</w:t>
            </w: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6,822</w:t>
            </w:r>
          </w:p>
        </w:tc>
        <w:tc>
          <w:tcPr>
            <w:tcW w:w="14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4,675</w:t>
            </w:r>
          </w:p>
        </w:tc>
      </w:tr>
      <w:tr>
        <w:trPr>
          <w:trHeight w:val="203"/>
        </w:trPr>
        <w:tc>
          <w:tcPr>
            <w:tcW w:w="442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Other</w:t>
            </w: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12,252</w:t>
            </w:r>
          </w:p>
        </w:tc>
        <w:tc>
          <w:tcPr>
            <w:tcW w:w="14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10,206</w:t>
            </w:r>
          </w:p>
        </w:tc>
      </w:tr>
      <w:tr>
        <w:trPr>
          <w:trHeight w:val="203"/>
        </w:trPr>
        <w:tc>
          <w:tcPr>
            <w:tcW w:w="4420" w:type="dxa"/>
            <w:vAlign w:val="bottom"/>
          </w:tcPr>
          <w:p>
            <w:pPr>
              <w:spacing w:after="0"/>
              <w:rPr>
                <w:sz w:val="17"/>
                <w:szCs w:val="17"/>
                <w:color w:val="auto"/>
              </w:rPr>
            </w:pP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4"/>
              </w:rPr>
              <w:t>--------</w:t>
            </w:r>
          </w:p>
        </w:tc>
        <w:tc>
          <w:tcPr>
            <w:tcW w:w="14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420" w:type="dxa"/>
            <w:vAlign w:val="bottom"/>
          </w:tcPr>
          <w:p>
            <w:pPr>
              <w:spacing w:after="0"/>
              <w:rPr>
                <w:sz w:val="17"/>
                <w:szCs w:val="17"/>
                <w:color w:val="auto"/>
              </w:rPr>
            </w:pP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4"/>
              </w:rPr>
              <w:t>$179,920</w:t>
            </w:r>
          </w:p>
        </w:tc>
        <w:tc>
          <w:tcPr>
            <w:tcW w:w="14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$154,963</w:t>
            </w:r>
          </w:p>
        </w:tc>
      </w:tr>
      <w:tr>
        <w:trPr>
          <w:trHeight w:val="203"/>
        </w:trPr>
        <w:tc>
          <w:tcPr>
            <w:tcW w:w="4420" w:type="dxa"/>
            <w:vAlign w:val="bottom"/>
          </w:tcPr>
          <w:p>
            <w:pPr>
              <w:spacing w:after="0"/>
              <w:rPr>
                <w:sz w:val="17"/>
                <w:szCs w:val="17"/>
                <w:color w:val="auto"/>
              </w:rPr>
            </w:pP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4"/>
              </w:rPr>
              <w:t>========</w:t>
            </w:r>
          </w:p>
        </w:tc>
        <w:tc>
          <w:tcPr>
            <w:tcW w:w="14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9359"/>
          </w:cols>
          <w:pgMar w:left="1100" w:top="1325" w:right="1440" w:bottom="1440" w:gutter="0" w:footer="0" w:header="0"/>
        </w:sectPr>
      </w:pPr>
    </w:p>
    <w:bookmarkStart w:id="7" w:name="page8"/>
    <w:bookmarkEnd w:id="7"/>
    <w:p>
      <w:pPr>
        <w:ind w:left="849"/>
        <w:spacing w:after="0"/>
        <w:rPr>
          <w:sz w:val="20"/>
          <w:szCs w:val="20"/>
          <w:color w:val="auto"/>
        </w:rPr>
      </w:pPr>
      <w:r>
        <w:rPr>
          <w:rFonts w:ascii="Courier New" w:cs="Courier New" w:eastAsia="Courier New" w:hAnsi="Courier New"/>
          <w:sz w:val="18"/>
          <w:szCs w:val="18"/>
          <w:color w:val="auto"/>
        </w:rPr>
        <w:t>Notes to Consolidated Financial Statements, continued</w:t>
      </w:r>
    </w:p>
    <w:p>
      <w:pPr>
        <w:spacing w:after="0" w:line="200" w:lineRule="exact"/>
        <w:rPr>
          <w:sz w:val="20"/>
          <w:szCs w:val="20"/>
          <w:color w:val="auto"/>
        </w:rPr>
      </w:pPr>
    </w:p>
    <w:p>
      <w:pPr>
        <w:spacing w:after="0" w:line="204" w:lineRule="exact"/>
        <w:rPr>
          <w:sz w:val="20"/>
          <w:szCs w:val="20"/>
          <w:color w:val="auto"/>
        </w:rPr>
      </w:pPr>
    </w:p>
    <w:tbl>
      <w:tblPr>
        <w:tblLayout w:type="fixed"/>
        <w:tblInd w:w="9" w:type="dxa"/>
        <w:tblCellMar>
          <w:top w:w="0" w:type="dxa"/>
          <w:left w:w="0" w:type="dxa"/>
          <w:bottom w:w="0" w:type="dxa"/>
          <w:right w:w="0" w:type="dxa"/>
        </w:tblCellMar>
      </w:tblPr>
      <w:tr>
        <w:trPr>
          <w:trHeight w:val="204"/>
        </w:trPr>
        <w:tc>
          <w:tcPr>
            <w:tcW w:w="4200" w:type="dxa"/>
            <w:vAlign w:val="bottom"/>
          </w:tcPr>
          <w:p>
            <w:pPr>
              <w:spacing w:after="0"/>
              <w:rPr>
                <w:sz w:val="20"/>
                <w:szCs w:val="20"/>
                <w:color w:val="auto"/>
              </w:rPr>
            </w:pPr>
            <w:r>
              <w:rPr>
                <w:rFonts w:ascii="Courier New" w:cs="Courier New" w:eastAsia="Courier New" w:hAnsi="Courier New"/>
                <w:sz w:val="18"/>
                <w:szCs w:val="18"/>
                <w:color w:val="auto"/>
              </w:rPr>
              <w:t>7.   Long-term debt</w:t>
            </w:r>
          </w:p>
        </w:tc>
        <w:tc>
          <w:tcPr>
            <w:tcW w:w="142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4200" w:type="dxa"/>
            <w:vAlign w:val="bottom"/>
          </w:tcPr>
          <w:p>
            <w:pPr>
              <w:spacing w:after="0"/>
              <w:rPr>
                <w:sz w:val="17"/>
                <w:szCs w:val="17"/>
                <w:color w:val="auto"/>
              </w:rPr>
            </w:pPr>
          </w:p>
        </w:tc>
        <w:tc>
          <w:tcPr>
            <w:tcW w:w="14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March 3,</w:t>
            </w:r>
          </w:p>
        </w:tc>
        <w:tc>
          <w:tcPr>
            <w:tcW w:w="1420" w:type="dxa"/>
            <w:vAlign w:val="bottom"/>
          </w:tcPr>
          <w:p>
            <w:pPr>
              <w:jc w:val="center"/>
              <w:ind w:left="72"/>
              <w:spacing w:after="0" w:line="203" w:lineRule="exact"/>
              <w:rPr>
                <w:sz w:val="20"/>
                <w:szCs w:val="20"/>
                <w:color w:val="auto"/>
              </w:rPr>
            </w:pPr>
            <w:r>
              <w:rPr>
                <w:rFonts w:ascii="Courier New" w:cs="Courier New" w:eastAsia="Courier New" w:hAnsi="Courier New"/>
                <w:sz w:val="18"/>
                <w:szCs w:val="18"/>
                <w:color w:val="auto"/>
                <w:w w:val="97"/>
              </w:rPr>
              <w:t>September 2,</w:t>
            </w:r>
          </w:p>
        </w:tc>
      </w:tr>
      <w:tr>
        <w:trPr>
          <w:trHeight w:val="203"/>
        </w:trPr>
        <w:tc>
          <w:tcPr>
            <w:tcW w:w="4200" w:type="dxa"/>
            <w:vAlign w:val="bottom"/>
          </w:tcPr>
          <w:p>
            <w:pPr>
              <w:spacing w:after="0"/>
              <w:rPr>
                <w:sz w:val="17"/>
                <w:szCs w:val="17"/>
                <w:color w:val="auto"/>
              </w:rPr>
            </w:pPr>
          </w:p>
        </w:tc>
        <w:tc>
          <w:tcPr>
            <w:tcW w:w="14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1994</w:t>
            </w:r>
          </w:p>
        </w:tc>
        <w:tc>
          <w:tcPr>
            <w:tcW w:w="1420" w:type="dxa"/>
            <w:vAlign w:val="bottom"/>
          </w:tcPr>
          <w:p>
            <w:pPr>
              <w:jc w:val="center"/>
              <w:ind w:left="72"/>
              <w:spacing w:after="0" w:line="203" w:lineRule="exact"/>
              <w:rPr>
                <w:sz w:val="20"/>
                <w:szCs w:val="20"/>
                <w:color w:val="auto"/>
              </w:rPr>
            </w:pPr>
            <w:r>
              <w:rPr>
                <w:rFonts w:ascii="Courier New" w:cs="Courier New" w:eastAsia="Courier New" w:hAnsi="Courier New"/>
                <w:sz w:val="18"/>
                <w:szCs w:val="18"/>
                <w:color w:val="auto"/>
                <w:w w:val="97"/>
              </w:rPr>
              <w:t>1993</w:t>
            </w:r>
          </w:p>
        </w:tc>
      </w:tr>
      <w:tr>
        <w:trPr>
          <w:trHeight w:val="203"/>
        </w:trPr>
        <w:tc>
          <w:tcPr>
            <w:tcW w:w="4200" w:type="dxa"/>
            <w:vAlign w:val="bottom"/>
          </w:tcPr>
          <w:p>
            <w:pPr>
              <w:spacing w:after="0"/>
              <w:rPr>
                <w:sz w:val="17"/>
                <w:szCs w:val="17"/>
                <w:color w:val="auto"/>
              </w:rPr>
            </w:pPr>
          </w:p>
        </w:tc>
        <w:tc>
          <w:tcPr>
            <w:tcW w:w="14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center"/>
              <w:ind w:left="72"/>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42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Notes payable in monthly</w:t>
            </w:r>
          </w:p>
        </w:tc>
        <w:tc>
          <w:tcPr>
            <w:tcW w:w="142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4200" w:type="dxa"/>
            <w:vAlign w:val="bottom"/>
          </w:tcPr>
          <w:p>
            <w:pPr>
              <w:ind w:left="620"/>
              <w:spacing w:after="0" w:line="203" w:lineRule="exact"/>
              <w:rPr>
                <w:sz w:val="20"/>
                <w:szCs w:val="20"/>
                <w:color w:val="auto"/>
              </w:rPr>
            </w:pPr>
            <w:r>
              <w:rPr>
                <w:rFonts w:ascii="Courier New" w:cs="Courier New" w:eastAsia="Courier New" w:hAnsi="Courier New"/>
                <w:sz w:val="18"/>
                <w:szCs w:val="18"/>
                <w:color w:val="auto"/>
              </w:rPr>
              <w:t>installments through January</w:t>
            </w:r>
          </w:p>
        </w:tc>
        <w:tc>
          <w:tcPr>
            <w:tcW w:w="142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4200" w:type="dxa"/>
            <w:vAlign w:val="bottom"/>
          </w:tcPr>
          <w:p>
            <w:pPr>
              <w:ind w:left="620"/>
              <w:spacing w:after="0" w:line="203" w:lineRule="exact"/>
              <w:rPr>
                <w:sz w:val="20"/>
                <w:szCs w:val="20"/>
                <w:color w:val="auto"/>
              </w:rPr>
            </w:pPr>
            <w:r>
              <w:rPr>
                <w:rFonts w:ascii="Courier New" w:cs="Courier New" w:eastAsia="Courier New" w:hAnsi="Courier New"/>
                <w:sz w:val="18"/>
                <w:szCs w:val="18"/>
                <w:color w:val="auto"/>
              </w:rPr>
              <w:t>1999, weighted average interest</w:t>
            </w:r>
          </w:p>
        </w:tc>
        <w:tc>
          <w:tcPr>
            <w:tcW w:w="142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4200" w:type="dxa"/>
            <w:vAlign w:val="bottom"/>
          </w:tcPr>
          <w:p>
            <w:pPr>
              <w:ind w:left="620"/>
              <w:spacing w:after="0" w:line="203" w:lineRule="exact"/>
              <w:rPr>
                <w:sz w:val="20"/>
                <w:szCs w:val="20"/>
                <w:color w:val="auto"/>
              </w:rPr>
            </w:pPr>
            <w:r>
              <w:rPr>
                <w:rFonts w:ascii="Courier New" w:cs="Courier New" w:eastAsia="Courier New" w:hAnsi="Courier New"/>
                <w:sz w:val="18"/>
                <w:szCs w:val="18"/>
                <w:color w:val="auto"/>
              </w:rPr>
              <w:t>rate of 7.26% and 8.24%,</w:t>
            </w:r>
          </w:p>
        </w:tc>
        <w:tc>
          <w:tcPr>
            <w:tcW w:w="142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4200" w:type="dxa"/>
            <w:vAlign w:val="bottom"/>
          </w:tcPr>
          <w:p>
            <w:pPr>
              <w:ind w:left="620"/>
              <w:spacing w:after="0" w:line="203" w:lineRule="exact"/>
              <w:rPr>
                <w:sz w:val="20"/>
                <w:szCs w:val="20"/>
                <w:color w:val="auto"/>
              </w:rPr>
            </w:pPr>
            <w:r>
              <w:rPr>
                <w:rFonts w:ascii="Courier New" w:cs="Courier New" w:eastAsia="Courier New" w:hAnsi="Courier New"/>
                <w:sz w:val="18"/>
                <w:szCs w:val="18"/>
                <w:color w:val="auto"/>
              </w:rPr>
              <w:t>respectively</w:t>
            </w:r>
          </w:p>
        </w:tc>
        <w:tc>
          <w:tcPr>
            <w:tcW w:w="14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$40,033</w:t>
            </w:r>
          </w:p>
        </w:tc>
        <w:tc>
          <w:tcPr>
            <w:tcW w:w="1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$31,174</w:t>
            </w:r>
          </w:p>
        </w:tc>
      </w:tr>
      <w:tr>
        <w:trPr>
          <w:trHeight w:val="405"/>
        </w:trPr>
        <w:tc>
          <w:tcPr>
            <w:tcW w:w="4200" w:type="dxa"/>
            <w:vAlign w:val="bottom"/>
          </w:tcPr>
          <w:p>
            <w:pPr>
              <w:ind w:left="520"/>
              <w:spacing w:after="0"/>
              <w:rPr>
                <w:sz w:val="20"/>
                <w:szCs w:val="20"/>
                <w:color w:val="auto"/>
              </w:rPr>
            </w:pPr>
            <w:r>
              <w:rPr>
                <w:rFonts w:ascii="Courier New" w:cs="Courier New" w:eastAsia="Courier New" w:hAnsi="Courier New"/>
                <w:sz w:val="18"/>
                <w:szCs w:val="18"/>
                <w:color w:val="auto"/>
              </w:rPr>
              <w:t>Capitalized lease obligations</w:t>
            </w:r>
          </w:p>
        </w:tc>
        <w:tc>
          <w:tcPr>
            <w:tcW w:w="142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03"/>
        </w:trPr>
        <w:tc>
          <w:tcPr>
            <w:tcW w:w="4200" w:type="dxa"/>
            <w:vAlign w:val="bottom"/>
          </w:tcPr>
          <w:p>
            <w:pPr>
              <w:ind w:left="620"/>
              <w:spacing w:after="0" w:line="203" w:lineRule="exact"/>
              <w:rPr>
                <w:sz w:val="20"/>
                <w:szCs w:val="20"/>
                <w:color w:val="auto"/>
              </w:rPr>
            </w:pPr>
            <w:r>
              <w:rPr>
                <w:rFonts w:ascii="Courier New" w:cs="Courier New" w:eastAsia="Courier New" w:hAnsi="Courier New"/>
                <w:sz w:val="18"/>
                <w:szCs w:val="18"/>
                <w:color w:val="auto"/>
              </w:rPr>
              <w:t>payable in monthly installments</w:t>
            </w:r>
          </w:p>
        </w:tc>
        <w:tc>
          <w:tcPr>
            <w:tcW w:w="142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4200" w:type="dxa"/>
            <w:vAlign w:val="bottom"/>
          </w:tcPr>
          <w:p>
            <w:pPr>
              <w:ind w:left="620"/>
              <w:spacing w:after="0" w:line="203" w:lineRule="exact"/>
              <w:rPr>
                <w:sz w:val="20"/>
                <w:szCs w:val="20"/>
                <w:color w:val="auto"/>
              </w:rPr>
            </w:pPr>
            <w:r>
              <w:rPr>
                <w:rFonts w:ascii="Courier New" w:cs="Courier New" w:eastAsia="Courier New" w:hAnsi="Courier New"/>
                <w:sz w:val="18"/>
                <w:szCs w:val="18"/>
                <w:color w:val="auto"/>
              </w:rPr>
              <w:t>through April 1998, weighted</w:t>
            </w:r>
          </w:p>
        </w:tc>
        <w:tc>
          <w:tcPr>
            <w:tcW w:w="142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4200" w:type="dxa"/>
            <w:vAlign w:val="bottom"/>
          </w:tcPr>
          <w:p>
            <w:pPr>
              <w:ind w:left="620"/>
              <w:spacing w:after="0" w:line="203" w:lineRule="exact"/>
              <w:rPr>
                <w:sz w:val="20"/>
                <w:szCs w:val="20"/>
                <w:color w:val="auto"/>
              </w:rPr>
            </w:pPr>
            <w:r>
              <w:rPr>
                <w:rFonts w:ascii="Courier New" w:cs="Courier New" w:eastAsia="Courier New" w:hAnsi="Courier New"/>
                <w:sz w:val="18"/>
                <w:szCs w:val="18"/>
                <w:color w:val="auto"/>
              </w:rPr>
              <w:t>average interest rate of 7.96%</w:t>
            </w:r>
          </w:p>
        </w:tc>
        <w:tc>
          <w:tcPr>
            <w:tcW w:w="142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4200" w:type="dxa"/>
            <w:vAlign w:val="bottom"/>
          </w:tcPr>
          <w:p>
            <w:pPr>
              <w:ind w:left="620"/>
              <w:spacing w:after="0" w:line="203" w:lineRule="exact"/>
              <w:rPr>
                <w:sz w:val="20"/>
                <w:szCs w:val="20"/>
                <w:color w:val="auto"/>
              </w:rPr>
            </w:pPr>
            <w:r>
              <w:rPr>
                <w:rFonts w:ascii="Courier New" w:cs="Courier New" w:eastAsia="Courier New" w:hAnsi="Courier New"/>
                <w:sz w:val="18"/>
                <w:szCs w:val="18"/>
                <w:color w:val="auto"/>
              </w:rPr>
              <w:t>and 8.79%, respectively</w:t>
            </w:r>
          </w:p>
        </w:tc>
        <w:tc>
          <w:tcPr>
            <w:tcW w:w="14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13,880</w:t>
            </w:r>
          </w:p>
        </w:tc>
        <w:tc>
          <w:tcPr>
            <w:tcW w:w="1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28,550</w:t>
            </w:r>
          </w:p>
        </w:tc>
      </w:tr>
      <w:tr>
        <w:trPr>
          <w:trHeight w:val="405"/>
        </w:trPr>
        <w:tc>
          <w:tcPr>
            <w:tcW w:w="4200" w:type="dxa"/>
            <w:vAlign w:val="bottom"/>
          </w:tcPr>
          <w:p>
            <w:pPr>
              <w:ind w:left="520"/>
              <w:spacing w:after="0"/>
              <w:rPr>
                <w:sz w:val="20"/>
                <w:szCs w:val="20"/>
                <w:color w:val="auto"/>
              </w:rPr>
            </w:pPr>
            <w:r>
              <w:rPr>
                <w:rFonts w:ascii="Courier New" w:cs="Courier New" w:eastAsia="Courier New" w:hAnsi="Courier New"/>
                <w:sz w:val="18"/>
                <w:szCs w:val="18"/>
                <w:color w:val="auto"/>
              </w:rPr>
              <w:t>Noninterest bearing obligation,</w:t>
            </w:r>
          </w:p>
        </w:tc>
        <w:tc>
          <w:tcPr>
            <w:tcW w:w="142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03"/>
        </w:trPr>
        <w:tc>
          <w:tcPr>
            <w:tcW w:w="4200" w:type="dxa"/>
            <w:vAlign w:val="bottom"/>
          </w:tcPr>
          <w:p>
            <w:pPr>
              <w:ind w:left="620"/>
              <w:spacing w:after="0" w:line="203" w:lineRule="exact"/>
              <w:rPr>
                <w:sz w:val="20"/>
                <w:szCs w:val="20"/>
                <w:color w:val="auto"/>
              </w:rPr>
            </w:pPr>
            <w:r>
              <w:rPr>
                <w:rFonts w:ascii="Courier New" w:cs="Courier New" w:eastAsia="Courier New" w:hAnsi="Courier New"/>
                <w:sz w:val="18"/>
                <w:szCs w:val="18"/>
                <w:color w:val="auto"/>
              </w:rPr>
              <w:t>due in annual installments</w:t>
            </w:r>
          </w:p>
        </w:tc>
        <w:tc>
          <w:tcPr>
            <w:tcW w:w="142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4200" w:type="dxa"/>
            <w:vAlign w:val="bottom"/>
          </w:tcPr>
          <w:p>
            <w:pPr>
              <w:ind w:left="620"/>
              <w:spacing w:after="0" w:line="203" w:lineRule="exact"/>
              <w:rPr>
                <w:sz w:val="20"/>
                <w:szCs w:val="20"/>
                <w:color w:val="auto"/>
              </w:rPr>
            </w:pPr>
            <w:r>
              <w:rPr>
                <w:rFonts w:ascii="Courier New" w:cs="Courier New" w:eastAsia="Courier New" w:hAnsi="Courier New"/>
                <w:sz w:val="18"/>
                <w:szCs w:val="18"/>
                <w:color w:val="auto"/>
              </w:rPr>
              <w:t>through November 1994, original</w:t>
            </w:r>
          </w:p>
        </w:tc>
        <w:tc>
          <w:tcPr>
            <w:tcW w:w="142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4200" w:type="dxa"/>
            <w:vAlign w:val="bottom"/>
          </w:tcPr>
          <w:p>
            <w:pPr>
              <w:ind w:left="620"/>
              <w:spacing w:after="0" w:line="203" w:lineRule="exact"/>
              <w:rPr>
                <w:sz w:val="20"/>
                <w:szCs w:val="20"/>
                <w:color w:val="auto"/>
              </w:rPr>
            </w:pPr>
            <w:r>
              <w:rPr>
                <w:rFonts w:ascii="Courier New" w:cs="Courier New" w:eastAsia="Courier New" w:hAnsi="Courier New"/>
                <w:sz w:val="18"/>
                <w:szCs w:val="18"/>
                <w:color w:val="auto"/>
              </w:rPr>
              <w:t>face amount of $50.0 million</w:t>
            </w:r>
          </w:p>
        </w:tc>
        <w:tc>
          <w:tcPr>
            <w:tcW w:w="142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4200" w:type="dxa"/>
            <w:vAlign w:val="bottom"/>
          </w:tcPr>
          <w:p>
            <w:pPr>
              <w:ind w:left="620"/>
              <w:spacing w:after="0" w:line="203" w:lineRule="exact"/>
              <w:rPr>
                <w:sz w:val="20"/>
                <w:szCs w:val="20"/>
                <w:color w:val="auto"/>
              </w:rPr>
            </w:pPr>
            <w:r>
              <w:rPr>
                <w:rFonts w:ascii="Courier New" w:cs="Courier New" w:eastAsia="Courier New" w:hAnsi="Courier New"/>
                <w:sz w:val="18"/>
                <w:szCs w:val="18"/>
                <w:color w:val="auto"/>
              </w:rPr>
              <w:t>(net of discount based on</w:t>
            </w:r>
          </w:p>
        </w:tc>
        <w:tc>
          <w:tcPr>
            <w:tcW w:w="142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4200" w:type="dxa"/>
            <w:vAlign w:val="bottom"/>
          </w:tcPr>
          <w:p>
            <w:pPr>
              <w:ind w:left="620"/>
              <w:spacing w:after="0" w:line="203" w:lineRule="exact"/>
              <w:rPr>
                <w:sz w:val="20"/>
                <w:szCs w:val="20"/>
                <w:color w:val="auto"/>
              </w:rPr>
            </w:pPr>
            <w:r>
              <w:rPr>
                <w:rFonts w:ascii="Courier New" w:cs="Courier New" w:eastAsia="Courier New" w:hAnsi="Courier New"/>
                <w:sz w:val="18"/>
                <w:szCs w:val="18"/>
                <w:color w:val="auto"/>
              </w:rPr>
              <w:t>imputed interest rate of 10.25%)</w:t>
            </w:r>
          </w:p>
        </w:tc>
        <w:tc>
          <w:tcPr>
            <w:tcW w:w="14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9,310</w:t>
            </w:r>
          </w:p>
        </w:tc>
        <w:tc>
          <w:tcPr>
            <w:tcW w:w="1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18,775</w:t>
            </w:r>
          </w:p>
        </w:tc>
      </w:tr>
      <w:tr>
        <w:trPr>
          <w:trHeight w:val="405"/>
        </w:trPr>
        <w:tc>
          <w:tcPr>
            <w:tcW w:w="4200" w:type="dxa"/>
            <w:vAlign w:val="bottom"/>
          </w:tcPr>
          <w:p>
            <w:pPr>
              <w:ind w:left="520"/>
              <w:spacing w:after="0"/>
              <w:rPr>
                <w:sz w:val="20"/>
                <w:szCs w:val="20"/>
                <w:color w:val="auto"/>
              </w:rPr>
            </w:pPr>
            <w:r>
              <w:rPr>
                <w:rFonts w:ascii="Courier New" w:cs="Courier New" w:eastAsia="Courier New" w:hAnsi="Courier New"/>
                <w:sz w:val="18"/>
                <w:szCs w:val="18"/>
                <w:color w:val="auto"/>
              </w:rPr>
              <w:t>Noninterest bearing obligation,</w:t>
            </w:r>
          </w:p>
        </w:tc>
        <w:tc>
          <w:tcPr>
            <w:tcW w:w="142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03"/>
        </w:trPr>
        <w:tc>
          <w:tcPr>
            <w:tcW w:w="4200" w:type="dxa"/>
            <w:vAlign w:val="bottom"/>
          </w:tcPr>
          <w:p>
            <w:pPr>
              <w:ind w:left="620"/>
              <w:spacing w:after="0" w:line="203" w:lineRule="exact"/>
              <w:rPr>
                <w:sz w:val="20"/>
                <w:szCs w:val="20"/>
                <w:color w:val="auto"/>
              </w:rPr>
            </w:pPr>
            <w:r>
              <w:rPr>
                <w:rFonts w:ascii="Courier New" w:cs="Courier New" w:eastAsia="Courier New" w:hAnsi="Courier New"/>
                <w:sz w:val="18"/>
                <w:szCs w:val="18"/>
                <w:color w:val="auto"/>
              </w:rPr>
              <w:t>paid January 1994, (net of</w:t>
            </w:r>
          </w:p>
        </w:tc>
        <w:tc>
          <w:tcPr>
            <w:tcW w:w="142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4200" w:type="dxa"/>
            <w:vAlign w:val="bottom"/>
          </w:tcPr>
          <w:p>
            <w:pPr>
              <w:ind w:left="620"/>
              <w:spacing w:after="0" w:line="203" w:lineRule="exact"/>
              <w:rPr>
                <w:sz w:val="20"/>
                <w:szCs w:val="20"/>
                <w:color w:val="auto"/>
              </w:rPr>
            </w:pPr>
            <w:r>
              <w:rPr>
                <w:rFonts w:ascii="Courier New" w:cs="Courier New" w:eastAsia="Courier New" w:hAnsi="Courier New"/>
                <w:sz w:val="18"/>
                <w:szCs w:val="18"/>
                <w:color w:val="auto"/>
              </w:rPr>
              <w:t>discount based on imputed</w:t>
            </w:r>
          </w:p>
        </w:tc>
        <w:tc>
          <w:tcPr>
            <w:tcW w:w="142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4200" w:type="dxa"/>
            <w:vAlign w:val="bottom"/>
          </w:tcPr>
          <w:p>
            <w:pPr>
              <w:ind w:left="620"/>
              <w:spacing w:after="0" w:line="203" w:lineRule="exact"/>
              <w:rPr>
                <w:sz w:val="20"/>
                <w:szCs w:val="20"/>
                <w:color w:val="auto"/>
              </w:rPr>
            </w:pPr>
            <w:r>
              <w:rPr>
                <w:rFonts w:ascii="Courier New" w:cs="Courier New" w:eastAsia="Courier New" w:hAnsi="Courier New"/>
                <w:sz w:val="18"/>
                <w:szCs w:val="18"/>
                <w:color w:val="auto"/>
              </w:rPr>
              <w:t>interest rate of 7.41%)</w:t>
            </w:r>
          </w:p>
        </w:tc>
        <w:tc>
          <w:tcPr>
            <w:tcW w:w="142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1,269</w:t>
            </w:r>
          </w:p>
        </w:tc>
      </w:tr>
      <w:tr>
        <w:trPr>
          <w:trHeight w:val="203"/>
        </w:trPr>
        <w:tc>
          <w:tcPr>
            <w:tcW w:w="4200" w:type="dxa"/>
            <w:vAlign w:val="bottom"/>
          </w:tcPr>
          <w:p>
            <w:pPr>
              <w:spacing w:after="0"/>
              <w:rPr>
                <w:sz w:val="17"/>
                <w:szCs w:val="17"/>
                <w:color w:val="auto"/>
              </w:rPr>
            </w:pP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200" w:type="dxa"/>
            <w:vAlign w:val="bottom"/>
          </w:tcPr>
          <w:p>
            <w:pPr>
              <w:spacing w:after="0"/>
              <w:rPr>
                <w:sz w:val="17"/>
                <w:szCs w:val="17"/>
                <w:color w:val="auto"/>
              </w:rPr>
            </w:pPr>
          </w:p>
        </w:tc>
        <w:tc>
          <w:tcPr>
            <w:tcW w:w="14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63,223</w:t>
            </w:r>
          </w:p>
        </w:tc>
        <w:tc>
          <w:tcPr>
            <w:tcW w:w="1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79,768</w:t>
            </w:r>
          </w:p>
        </w:tc>
      </w:tr>
      <w:tr>
        <w:trPr>
          <w:trHeight w:val="203"/>
        </w:trPr>
        <w:tc>
          <w:tcPr>
            <w:tcW w:w="42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Less current portion</w:t>
            </w:r>
          </w:p>
        </w:tc>
        <w:tc>
          <w:tcPr>
            <w:tcW w:w="1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(20,635)</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(25,407)</w:t>
            </w:r>
          </w:p>
        </w:tc>
      </w:tr>
      <w:tr>
        <w:trPr>
          <w:trHeight w:val="203"/>
        </w:trPr>
        <w:tc>
          <w:tcPr>
            <w:tcW w:w="4200" w:type="dxa"/>
            <w:vAlign w:val="bottom"/>
          </w:tcPr>
          <w:p>
            <w:pPr>
              <w:spacing w:after="0"/>
              <w:rPr>
                <w:sz w:val="17"/>
                <w:szCs w:val="17"/>
                <w:color w:val="auto"/>
              </w:rPr>
            </w:pPr>
          </w:p>
        </w:tc>
        <w:tc>
          <w:tcPr>
            <w:tcW w:w="14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200" w:type="dxa"/>
            <w:vAlign w:val="bottom"/>
          </w:tcPr>
          <w:p>
            <w:pPr>
              <w:spacing w:after="0"/>
              <w:rPr>
                <w:sz w:val="17"/>
                <w:szCs w:val="17"/>
                <w:color w:val="auto"/>
              </w:rPr>
            </w:pPr>
          </w:p>
        </w:tc>
        <w:tc>
          <w:tcPr>
            <w:tcW w:w="14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$42,588</w:t>
            </w:r>
          </w:p>
        </w:tc>
        <w:tc>
          <w:tcPr>
            <w:tcW w:w="1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$54,361</w:t>
            </w:r>
          </w:p>
        </w:tc>
      </w:tr>
      <w:tr>
        <w:trPr>
          <w:trHeight w:val="203"/>
        </w:trPr>
        <w:tc>
          <w:tcPr>
            <w:tcW w:w="4200" w:type="dxa"/>
            <w:vAlign w:val="bottom"/>
          </w:tcPr>
          <w:p>
            <w:pPr>
              <w:spacing w:after="0"/>
              <w:rPr>
                <w:sz w:val="17"/>
                <w:szCs w:val="17"/>
                <w:color w:val="auto"/>
              </w:rPr>
            </w:pPr>
          </w:p>
        </w:tc>
        <w:tc>
          <w:tcPr>
            <w:tcW w:w="14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4" w:lineRule="exact"/>
        <w:rPr>
          <w:sz w:val="20"/>
          <w:szCs w:val="20"/>
          <w:color w:val="auto"/>
        </w:rPr>
      </w:pPr>
    </w:p>
    <w:p>
      <w:pPr>
        <w:ind w:left="529" w:hanging="529"/>
        <w:spacing w:after="0"/>
        <w:tabs>
          <w:tab w:leader="none" w:pos="529"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Earnings per share</w:t>
      </w:r>
    </w:p>
    <w:p>
      <w:pPr>
        <w:spacing w:after="0" w:line="207" w:lineRule="exact"/>
        <w:rPr>
          <w:sz w:val="20"/>
          <w:szCs w:val="20"/>
          <w:color w:val="auto"/>
        </w:rPr>
      </w:pPr>
    </w:p>
    <w:p>
      <w:pPr>
        <w:ind w:left="9" w:right="2099" w:firstLine="527"/>
        <w:spacing w:after="0" w:line="237" w:lineRule="auto"/>
        <w:rPr>
          <w:sz w:val="20"/>
          <w:szCs w:val="20"/>
          <w:color w:val="auto"/>
        </w:rPr>
      </w:pPr>
      <w:r>
        <w:rPr>
          <w:rFonts w:ascii="Courier New" w:cs="Courier New" w:eastAsia="Courier New" w:hAnsi="Courier New"/>
          <w:sz w:val="18"/>
          <w:szCs w:val="18"/>
          <w:color w:val="auto"/>
        </w:rPr>
        <w:t>Earnings per share is computed using the weighted average number of common and common equivalent shares outstanding. Common equivalent shares result from the assumed exercise of outstanding stock options and affect earnings per share when they have a dilutive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3589"/>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9368"/>
          </w:cols>
          <w:pgMar w:left="1091" w:top="1325" w:right="1440" w:bottom="1440" w:gutter="0" w:footer="0" w:header="0"/>
        </w:sectPr>
      </w:pPr>
    </w:p>
    <w:bookmarkStart w:id="8" w:name="page9"/>
    <w:bookmarkEnd w:id="8"/>
    <w:p>
      <w:pPr>
        <w:ind w:left="849"/>
        <w:spacing w:after="0"/>
        <w:rPr>
          <w:sz w:val="20"/>
          <w:szCs w:val="20"/>
          <w:color w:val="auto"/>
        </w:rPr>
      </w:pPr>
      <w:r>
        <w:rPr>
          <w:rFonts w:ascii="Courier New" w:cs="Courier New" w:eastAsia="Courier New" w:hAnsi="Courier New"/>
          <w:sz w:val="18"/>
          <w:szCs w:val="18"/>
          <w:color w:val="auto"/>
        </w:rPr>
        <w:t>Notes to Consolidated Financial Statements, continued</w:t>
      </w:r>
    </w:p>
    <w:p>
      <w:pPr>
        <w:spacing w:after="0" w:line="201" w:lineRule="exact"/>
        <w:rPr>
          <w:sz w:val="20"/>
          <w:szCs w:val="20"/>
          <w:color w:val="auto"/>
        </w:rPr>
      </w:pPr>
    </w:p>
    <w:p>
      <w:pPr>
        <w:ind w:left="529" w:hanging="529"/>
        <w:spacing w:after="0"/>
        <w:tabs>
          <w:tab w:leader="none" w:pos="529"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Income taxes</w:t>
      </w:r>
    </w:p>
    <w:p>
      <w:pPr>
        <w:spacing w:after="0" w:line="207" w:lineRule="exact"/>
        <w:rPr>
          <w:sz w:val="20"/>
          <w:szCs w:val="20"/>
          <w:color w:val="auto"/>
        </w:rPr>
      </w:pPr>
    </w:p>
    <w:p>
      <w:pPr>
        <w:ind w:left="9" w:right="2099" w:firstLine="527"/>
        <w:spacing w:after="0" w:line="237" w:lineRule="auto"/>
        <w:rPr>
          <w:sz w:val="20"/>
          <w:szCs w:val="20"/>
          <w:color w:val="auto"/>
        </w:rPr>
      </w:pPr>
      <w:r>
        <w:rPr>
          <w:rFonts w:ascii="Courier New" w:cs="Courier New" w:eastAsia="Courier New" w:hAnsi="Courier New"/>
          <w:sz w:val="18"/>
          <w:szCs w:val="18"/>
          <w:color w:val="auto"/>
        </w:rPr>
        <w:t>Effective September 3, 1993, the company adopted Statement of Financial Accounting Standards (SFAS) No. 109, "Accounting for Income Taxes." Adoption of SFAS No. 109 did not have a material effect on the company's financial position or results of operations. The estimated effective income tax rate for all periods presented was 36%.</w:t>
      </w:r>
    </w:p>
    <w:p>
      <w:pPr>
        <w:spacing w:after="0" w:line="210" w:lineRule="exact"/>
        <w:rPr>
          <w:sz w:val="20"/>
          <w:szCs w:val="20"/>
          <w:color w:val="auto"/>
        </w:rPr>
      </w:pPr>
    </w:p>
    <w:p>
      <w:pPr>
        <w:ind w:left="9" w:right="2739" w:firstLine="527"/>
        <w:spacing w:after="0" w:line="236" w:lineRule="auto"/>
        <w:rPr>
          <w:sz w:val="20"/>
          <w:szCs w:val="20"/>
          <w:color w:val="auto"/>
        </w:rPr>
      </w:pPr>
      <w:r>
        <w:rPr>
          <w:rFonts w:ascii="Courier New" w:cs="Courier New" w:eastAsia="Courier New" w:hAnsi="Courier New"/>
          <w:sz w:val="18"/>
          <w:szCs w:val="18"/>
          <w:color w:val="auto"/>
        </w:rPr>
        <w:t>The approximate tax effect of temporary differences and carryforwards which give rise to the net deferred tax asset and liability are as follows:</w:t>
      </w:r>
    </w:p>
    <w:p>
      <w:pPr>
        <w:spacing w:after="0" w:line="200" w:lineRule="exact"/>
        <w:rPr>
          <w:sz w:val="20"/>
          <w:szCs w:val="20"/>
          <w:color w:val="auto"/>
        </w:rPr>
      </w:pPr>
    </w:p>
    <w:p>
      <w:pPr>
        <w:spacing w:after="0" w:line="206" w:lineRule="exact"/>
        <w:rPr>
          <w:sz w:val="20"/>
          <w:szCs w:val="20"/>
          <w:color w:val="auto"/>
        </w:rPr>
      </w:pPr>
    </w:p>
    <w:tbl>
      <w:tblPr>
        <w:tblLayout w:type="fixed"/>
        <w:tblInd w:w="9" w:type="dxa"/>
        <w:tblCellMar>
          <w:top w:w="0" w:type="dxa"/>
          <w:left w:w="0" w:type="dxa"/>
          <w:bottom w:w="0" w:type="dxa"/>
          <w:right w:w="0" w:type="dxa"/>
        </w:tblCellMar>
      </w:tblPr>
      <w:tr>
        <w:trPr>
          <w:trHeight w:val="204"/>
        </w:trPr>
        <w:tc>
          <w:tcPr>
            <w:tcW w:w="42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March 3,</w:t>
            </w:r>
          </w:p>
        </w:tc>
      </w:tr>
      <w:tr>
        <w:trPr>
          <w:trHeight w:val="203"/>
        </w:trPr>
        <w:tc>
          <w:tcPr>
            <w:tcW w:w="4200" w:type="dxa"/>
            <w:vAlign w:val="bottom"/>
          </w:tcPr>
          <w:p>
            <w:pPr>
              <w:spacing w:after="0"/>
              <w:rPr>
                <w:sz w:val="17"/>
                <w:szCs w:val="17"/>
                <w:color w:val="auto"/>
              </w:rPr>
            </w:pP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1994</w:t>
            </w:r>
          </w:p>
        </w:tc>
      </w:tr>
      <w:tr>
        <w:trPr>
          <w:trHeight w:val="203"/>
        </w:trPr>
        <w:tc>
          <w:tcPr>
            <w:tcW w:w="420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200" w:type="dxa"/>
            <w:vAlign w:val="bottom"/>
          </w:tcPr>
          <w:p>
            <w:pPr>
              <w:spacing w:after="0"/>
              <w:rPr>
                <w:sz w:val="20"/>
                <w:szCs w:val="20"/>
                <w:color w:val="auto"/>
              </w:rPr>
            </w:pPr>
            <w:r>
              <w:rPr>
                <w:rFonts w:ascii="Courier New" w:cs="Courier New" w:eastAsia="Courier New" w:hAnsi="Courier New"/>
                <w:sz w:val="18"/>
                <w:szCs w:val="18"/>
                <w:color w:val="auto"/>
              </w:rPr>
              <w:t>Current deferred tax asset:</w:t>
            </w:r>
          </w:p>
        </w:tc>
        <w:tc>
          <w:tcPr>
            <w:tcW w:w="1160" w:type="dxa"/>
            <w:vAlign w:val="bottom"/>
          </w:tcPr>
          <w:p>
            <w:pPr>
              <w:spacing w:after="0"/>
              <w:rPr>
                <w:sz w:val="24"/>
                <w:szCs w:val="24"/>
                <w:color w:val="auto"/>
              </w:rPr>
            </w:pPr>
          </w:p>
        </w:tc>
      </w:tr>
      <w:tr>
        <w:trPr>
          <w:trHeight w:val="405"/>
        </w:trPr>
        <w:tc>
          <w:tcPr>
            <w:tcW w:w="4200" w:type="dxa"/>
            <w:vAlign w:val="bottom"/>
          </w:tcPr>
          <w:p>
            <w:pPr>
              <w:ind w:left="520"/>
              <w:spacing w:after="0"/>
              <w:rPr>
                <w:sz w:val="20"/>
                <w:szCs w:val="20"/>
                <w:color w:val="auto"/>
              </w:rPr>
            </w:pPr>
            <w:r>
              <w:rPr>
                <w:rFonts w:ascii="Courier New" w:cs="Courier New" w:eastAsia="Courier New" w:hAnsi="Courier New"/>
                <w:sz w:val="18"/>
                <w:szCs w:val="18"/>
                <w:color w:val="auto"/>
              </w:rPr>
              <w:t>Accrued compensation</w:t>
            </w:r>
          </w:p>
        </w:tc>
        <w:tc>
          <w:tcPr>
            <w:tcW w:w="11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3,097</w:t>
            </w:r>
          </w:p>
        </w:tc>
      </w:tr>
      <w:tr>
        <w:trPr>
          <w:trHeight w:val="203"/>
        </w:trPr>
        <w:tc>
          <w:tcPr>
            <w:tcW w:w="42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Deferred income</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1,931</w:t>
            </w:r>
          </w:p>
        </w:tc>
      </w:tr>
      <w:tr>
        <w:trPr>
          <w:trHeight w:val="203"/>
        </w:trPr>
        <w:tc>
          <w:tcPr>
            <w:tcW w:w="42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Other</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8,902</w:t>
            </w:r>
          </w:p>
        </w:tc>
      </w:tr>
      <w:tr>
        <w:trPr>
          <w:trHeight w:val="203"/>
        </w:trPr>
        <w:tc>
          <w:tcPr>
            <w:tcW w:w="420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200" w:type="dxa"/>
            <w:vAlign w:val="bottom"/>
          </w:tcPr>
          <w:p>
            <w:pPr>
              <w:ind w:left="720"/>
              <w:spacing w:after="0" w:line="203" w:lineRule="exact"/>
              <w:rPr>
                <w:sz w:val="20"/>
                <w:szCs w:val="20"/>
                <w:color w:val="auto"/>
              </w:rPr>
            </w:pPr>
            <w:r>
              <w:rPr>
                <w:rFonts w:ascii="Courier New" w:cs="Courier New" w:eastAsia="Courier New" w:hAnsi="Courier New"/>
                <w:sz w:val="18"/>
                <w:szCs w:val="18"/>
                <w:color w:val="auto"/>
              </w:rPr>
              <w:t>Net deferred tax asset</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$ 13,930</w:t>
            </w:r>
          </w:p>
        </w:tc>
      </w:tr>
      <w:tr>
        <w:trPr>
          <w:trHeight w:val="203"/>
        </w:trPr>
        <w:tc>
          <w:tcPr>
            <w:tcW w:w="420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200" w:type="dxa"/>
            <w:vAlign w:val="bottom"/>
          </w:tcPr>
          <w:p>
            <w:pPr>
              <w:spacing w:after="0"/>
              <w:rPr>
                <w:sz w:val="20"/>
                <w:szCs w:val="20"/>
                <w:color w:val="auto"/>
              </w:rPr>
            </w:pPr>
            <w:r>
              <w:rPr>
                <w:rFonts w:ascii="Courier New" w:cs="Courier New" w:eastAsia="Courier New" w:hAnsi="Courier New"/>
                <w:sz w:val="18"/>
                <w:szCs w:val="18"/>
                <w:color w:val="auto"/>
              </w:rPr>
              <w:t>Noncurrent deferred tax liability:</w:t>
            </w:r>
          </w:p>
        </w:tc>
        <w:tc>
          <w:tcPr>
            <w:tcW w:w="1160" w:type="dxa"/>
            <w:vAlign w:val="bottom"/>
          </w:tcPr>
          <w:p>
            <w:pPr>
              <w:spacing w:after="0"/>
              <w:rPr>
                <w:sz w:val="24"/>
                <w:szCs w:val="24"/>
                <w:color w:val="auto"/>
              </w:rPr>
            </w:pPr>
          </w:p>
        </w:tc>
      </w:tr>
      <w:tr>
        <w:trPr>
          <w:trHeight w:val="203"/>
        </w:trPr>
        <w:tc>
          <w:tcPr>
            <w:tcW w:w="42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Excess tax over book depreciation</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$(50,263)</w:t>
            </w:r>
          </w:p>
        </w:tc>
      </w:tr>
      <w:tr>
        <w:trPr>
          <w:trHeight w:val="203"/>
        </w:trPr>
        <w:tc>
          <w:tcPr>
            <w:tcW w:w="42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Deferred internal patent charges</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(2,182)</w:t>
            </w:r>
          </w:p>
        </w:tc>
      </w:tr>
      <w:tr>
        <w:trPr>
          <w:trHeight w:val="203"/>
        </w:trPr>
        <w:tc>
          <w:tcPr>
            <w:tcW w:w="42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Accrued compensation</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5,794</w:t>
            </w:r>
          </w:p>
        </w:tc>
      </w:tr>
      <w:tr>
        <w:trPr>
          <w:trHeight w:val="203"/>
        </w:trPr>
        <w:tc>
          <w:tcPr>
            <w:tcW w:w="42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Product and process technology</w:t>
            </w:r>
          </w:p>
        </w:tc>
        <w:tc>
          <w:tcPr>
            <w:tcW w:w="1160" w:type="dxa"/>
            <w:vAlign w:val="bottom"/>
          </w:tcPr>
          <w:p>
            <w:pPr>
              <w:spacing w:after="0"/>
              <w:rPr>
                <w:sz w:val="17"/>
                <w:szCs w:val="17"/>
                <w:color w:val="auto"/>
              </w:rPr>
            </w:pPr>
          </w:p>
        </w:tc>
      </w:tr>
      <w:tr>
        <w:trPr>
          <w:trHeight w:val="203"/>
        </w:trPr>
        <w:tc>
          <w:tcPr>
            <w:tcW w:w="4200" w:type="dxa"/>
            <w:vAlign w:val="bottom"/>
          </w:tcPr>
          <w:p>
            <w:pPr>
              <w:ind w:left="720"/>
              <w:spacing w:after="0" w:line="203" w:lineRule="exact"/>
              <w:rPr>
                <w:sz w:val="20"/>
                <w:szCs w:val="20"/>
                <w:color w:val="auto"/>
              </w:rPr>
            </w:pPr>
            <w:r>
              <w:rPr>
                <w:rFonts w:ascii="Courier New" w:cs="Courier New" w:eastAsia="Courier New" w:hAnsi="Courier New"/>
                <w:sz w:val="18"/>
                <w:szCs w:val="18"/>
                <w:color w:val="auto"/>
              </w:rPr>
              <w:t>amortization</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2,724</w:t>
            </w:r>
          </w:p>
        </w:tc>
      </w:tr>
      <w:tr>
        <w:trPr>
          <w:trHeight w:val="203"/>
        </w:trPr>
        <w:tc>
          <w:tcPr>
            <w:tcW w:w="42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Other</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(2,006)</w:t>
            </w:r>
          </w:p>
        </w:tc>
      </w:tr>
      <w:tr>
        <w:trPr>
          <w:trHeight w:val="203"/>
        </w:trPr>
        <w:tc>
          <w:tcPr>
            <w:tcW w:w="420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200" w:type="dxa"/>
            <w:vAlign w:val="bottom"/>
          </w:tcPr>
          <w:p>
            <w:pPr>
              <w:ind w:left="720"/>
              <w:spacing w:after="0" w:line="203" w:lineRule="exact"/>
              <w:rPr>
                <w:sz w:val="20"/>
                <w:szCs w:val="20"/>
                <w:color w:val="auto"/>
              </w:rPr>
            </w:pPr>
            <w:r>
              <w:rPr>
                <w:rFonts w:ascii="Courier New" w:cs="Courier New" w:eastAsia="Courier New" w:hAnsi="Courier New"/>
                <w:sz w:val="18"/>
                <w:szCs w:val="18"/>
                <w:color w:val="auto"/>
              </w:rPr>
              <w:t>Net deferred tax liability</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$(45,933)</w:t>
            </w:r>
          </w:p>
        </w:tc>
      </w:tr>
      <w:tr>
        <w:trPr>
          <w:trHeight w:val="203"/>
        </w:trPr>
        <w:tc>
          <w:tcPr>
            <w:tcW w:w="420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4" w:lineRule="exact"/>
        <w:rPr>
          <w:sz w:val="20"/>
          <w:szCs w:val="20"/>
          <w:color w:val="auto"/>
        </w:rPr>
      </w:pPr>
    </w:p>
    <w:p>
      <w:pPr>
        <w:ind w:left="529" w:hanging="529"/>
        <w:spacing w:after="0"/>
        <w:tabs>
          <w:tab w:leader="none" w:pos="529"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Commitments</w:t>
      </w:r>
    </w:p>
    <w:p>
      <w:pPr>
        <w:spacing w:after="0" w:line="207" w:lineRule="exact"/>
        <w:rPr>
          <w:sz w:val="20"/>
          <w:szCs w:val="20"/>
          <w:color w:val="auto"/>
        </w:rPr>
      </w:pPr>
    </w:p>
    <w:p>
      <w:pPr>
        <w:ind w:left="9" w:right="2839" w:firstLine="527"/>
        <w:spacing w:after="0" w:line="236" w:lineRule="auto"/>
        <w:rPr>
          <w:sz w:val="20"/>
          <w:szCs w:val="20"/>
          <w:color w:val="auto"/>
        </w:rPr>
      </w:pPr>
      <w:r>
        <w:rPr>
          <w:rFonts w:ascii="Courier New" w:cs="Courier New" w:eastAsia="Courier New" w:hAnsi="Courier New"/>
          <w:sz w:val="18"/>
          <w:szCs w:val="18"/>
          <w:color w:val="auto"/>
        </w:rPr>
        <w:t>As of March 3, 1994, the company had commitments of approximately $165.1 million for equipment purchases and $60.0 million for the construction of buildings.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3589"/>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9368"/>
          </w:cols>
          <w:pgMar w:left="1091" w:top="1122" w:right="1440" w:bottom="1440" w:gutter="0" w:footer="0" w:header="0"/>
        </w:sectPr>
      </w:pPr>
    </w:p>
    <w:bookmarkStart w:id="9" w:name="page10"/>
    <w:bookmarkEnd w:id="9"/>
    <w:p>
      <w:pPr>
        <w:ind w:left="849"/>
        <w:spacing w:after="0"/>
        <w:rPr>
          <w:sz w:val="20"/>
          <w:szCs w:val="20"/>
          <w:color w:val="auto"/>
        </w:rPr>
      </w:pPr>
      <w:r>
        <w:rPr>
          <w:rFonts w:ascii="Courier New" w:cs="Courier New" w:eastAsia="Courier New" w:hAnsi="Courier New"/>
          <w:sz w:val="18"/>
          <w:szCs w:val="18"/>
          <w:color w:val="auto"/>
        </w:rPr>
        <w:t>Notes to Consolidated Financial Statements, continued</w:t>
      </w:r>
    </w:p>
    <w:p>
      <w:pPr>
        <w:spacing w:after="0" w:line="201" w:lineRule="exact"/>
        <w:rPr>
          <w:sz w:val="20"/>
          <w:szCs w:val="20"/>
          <w:color w:val="auto"/>
        </w:rPr>
      </w:pPr>
    </w:p>
    <w:p>
      <w:pPr>
        <w:ind w:left="529" w:hanging="529"/>
        <w:spacing w:after="0"/>
        <w:tabs>
          <w:tab w:leader="none" w:pos="529"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Contingencies</w:t>
      </w:r>
    </w:p>
    <w:p>
      <w:pPr>
        <w:spacing w:after="0" w:line="207" w:lineRule="exact"/>
        <w:rPr>
          <w:sz w:val="20"/>
          <w:szCs w:val="20"/>
          <w:color w:val="auto"/>
        </w:rPr>
      </w:pPr>
    </w:p>
    <w:p>
      <w:pPr>
        <w:ind w:left="9" w:right="2099" w:firstLine="527"/>
        <w:spacing w:after="0" w:line="270" w:lineRule="auto"/>
        <w:rPr>
          <w:sz w:val="20"/>
          <w:szCs w:val="20"/>
          <w:color w:val="auto"/>
        </w:rPr>
      </w:pPr>
      <w:r>
        <w:rPr>
          <w:rFonts w:ascii="Courier New" w:cs="Courier New" w:eastAsia="Courier New" w:hAnsi="Courier New"/>
          <w:sz w:val="16"/>
          <w:szCs w:val="16"/>
          <w:color w:val="auto"/>
        </w:rPr>
        <w:t>Periodically, the company is made aware that technology used by the company in the manufacture of some or all of its products may infringe on product or process technology rights held by others. The company has accrued a liability and charged operations for the estimated costs of settlement or adjudication of asserted and unasserted claims for infringement prior to the balance sheet date. Management can give no assurance that the amounts accrued have been adequate and cannot estimate the range of additional possible loss, if any, from resolution of these uncertainties. Resolution of whether the company's manufacture of products has infringed on valid rights held by others may have a material adverse effect on the company's financial position or results of operations, and may require material changes in production processes and products.</w:t>
      </w:r>
    </w:p>
    <w:p>
      <w:pPr>
        <w:spacing w:after="0" w:line="389" w:lineRule="exact"/>
        <w:rPr>
          <w:sz w:val="20"/>
          <w:szCs w:val="20"/>
          <w:color w:val="auto"/>
        </w:rPr>
      </w:pPr>
    </w:p>
    <w:p>
      <w:pPr>
        <w:ind w:left="9" w:right="2099" w:firstLine="527"/>
        <w:spacing w:after="0" w:line="237" w:lineRule="auto"/>
        <w:rPr>
          <w:sz w:val="20"/>
          <w:szCs w:val="20"/>
          <w:color w:val="auto"/>
        </w:rPr>
      </w:pPr>
      <w:r>
        <w:rPr>
          <w:rFonts w:ascii="Courier New" w:cs="Courier New" w:eastAsia="Courier New" w:hAnsi="Courier New"/>
          <w:sz w:val="18"/>
          <w:szCs w:val="18"/>
          <w:color w:val="auto"/>
        </w:rPr>
        <w:t>On March 9, 1994, the company entered into a patent cross-license agreement with Texas Instruments Incorporated ("TI"). As a result of this agreement, the various patent lawsuits between Micron Semiconductor, Inc., and TI in Idaho, Texas, and Delaware have been settled. Similar to a prior cross-license agreement between the parties which expired in 1992, the company will pay ongoing royalties to TI based on sales of DRAMs and other semiconductor devices. The company has accrued a sufficient amount to pay the royalties related to sales for periods from expiration of the previous cross-license to the date of the settlement.</w:t>
      </w:r>
    </w:p>
    <w:p>
      <w:pPr>
        <w:spacing w:after="0" w:line="215" w:lineRule="exact"/>
        <w:rPr>
          <w:sz w:val="20"/>
          <w:szCs w:val="20"/>
          <w:color w:val="auto"/>
        </w:rPr>
      </w:pPr>
    </w:p>
    <w:p>
      <w:pPr>
        <w:ind w:left="9" w:right="2099" w:firstLine="527"/>
        <w:spacing w:after="0" w:line="237" w:lineRule="auto"/>
        <w:rPr>
          <w:sz w:val="20"/>
          <w:szCs w:val="20"/>
          <w:color w:val="auto"/>
        </w:rPr>
      </w:pPr>
      <w:r>
        <w:rPr>
          <w:rFonts w:ascii="Courier New" w:cs="Courier New" w:eastAsia="Courier New" w:hAnsi="Courier New"/>
          <w:sz w:val="18"/>
          <w:szCs w:val="18"/>
          <w:color w:val="auto"/>
        </w:rPr>
        <w:t>On November 13, 1992, Micron Semiconductor, Inc., filed a patent infringement action with the United States International Trade Commission ("ITC") against Goldstar Electron Company, Ltd., and Goldstar Electron America, Inc. (collectively, "Goldstar"), and Hyundai Electronics Industries Co., Ltd., and Hyundai Electronics America, Inc. (collectively, "Hyundai"). The Company has since entered into patent cross-license agreements with Goldstar and Hyundai. The ITC action against Goldstar and Hyundai has been dismissed.</w:t>
      </w:r>
    </w:p>
    <w:p>
      <w:pPr>
        <w:spacing w:after="0" w:line="214" w:lineRule="exact"/>
        <w:rPr>
          <w:sz w:val="20"/>
          <w:szCs w:val="20"/>
          <w:color w:val="auto"/>
        </w:rPr>
      </w:pPr>
    </w:p>
    <w:p>
      <w:pPr>
        <w:ind w:left="9" w:right="2099" w:firstLine="527"/>
        <w:spacing w:after="0" w:line="237" w:lineRule="auto"/>
        <w:rPr>
          <w:sz w:val="20"/>
          <w:szCs w:val="20"/>
          <w:color w:val="auto"/>
        </w:rPr>
      </w:pPr>
      <w:r>
        <w:rPr>
          <w:rFonts w:ascii="Courier New" w:cs="Courier New" w:eastAsia="Courier New" w:hAnsi="Courier New"/>
          <w:sz w:val="18"/>
          <w:szCs w:val="18"/>
          <w:color w:val="auto"/>
        </w:rPr>
        <w:t>The company is a party to various other legal actions arising out of the normal course of business, none of which is expected to have a material effect on the company's financial position or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3589"/>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9368"/>
          </w:cols>
          <w:pgMar w:left="1091" w:top="1122" w:right="1440" w:bottom="1440" w:gutter="0" w:footer="0" w:header="0"/>
        </w:sectPr>
      </w:pPr>
    </w:p>
    <w:bookmarkStart w:id="10" w:name="page11"/>
    <w:bookmarkEnd w:id="10"/>
    <w:p>
      <w:pPr>
        <w:ind w:right="2199"/>
        <w:spacing w:after="0" w:line="235" w:lineRule="auto"/>
        <w:rPr>
          <w:sz w:val="20"/>
          <w:szCs w:val="20"/>
          <w:color w:val="auto"/>
        </w:rPr>
      </w:pPr>
      <w:r>
        <w:rPr>
          <w:rFonts w:ascii="Courier New" w:cs="Courier New" w:eastAsia="Courier New" w:hAnsi="Courier New"/>
          <w:sz w:val="18"/>
          <w:szCs w:val="18"/>
          <w:color w:val="auto"/>
        </w:rPr>
        <w:t>Item 2. Management's Discussion and Analysis of Financial Condition and Results of Operations</w:t>
      </w:r>
    </w:p>
    <w:p>
      <w:pPr>
        <w:spacing w:after="0" w:line="200" w:lineRule="exact"/>
        <w:rPr>
          <w:sz w:val="20"/>
          <w:szCs w:val="20"/>
          <w:color w:val="auto"/>
        </w:rPr>
      </w:pPr>
    </w:p>
    <w:p>
      <w:pPr>
        <w:spacing w:after="0" w:line="211" w:lineRule="exact"/>
        <w:rPr>
          <w:sz w:val="20"/>
          <w:szCs w:val="20"/>
          <w:color w:val="auto"/>
        </w:rPr>
      </w:pPr>
    </w:p>
    <w:p>
      <w:pPr>
        <w:jc w:val="both"/>
        <w:ind w:right="2319" w:firstLine="527"/>
        <w:spacing w:after="0" w:line="236" w:lineRule="auto"/>
        <w:rPr>
          <w:sz w:val="20"/>
          <w:szCs w:val="20"/>
          <w:color w:val="auto"/>
        </w:rPr>
      </w:pPr>
      <w:r>
        <w:rPr>
          <w:rFonts w:ascii="Courier New" w:cs="Courier New" w:eastAsia="Courier New" w:hAnsi="Courier New"/>
          <w:sz w:val="18"/>
          <w:szCs w:val="18"/>
          <w:color w:val="auto"/>
        </w:rPr>
        <w:t>All references are to the company's fiscal periods ended March 3, 1994 and March 4, 1993, unless otherwise indicated. All tabular dollar amounts are stated in thousands.</w:t>
      </w:r>
    </w:p>
    <w:p>
      <w:pPr>
        <w:spacing w:after="0" w:line="209"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The company reported net income of $86.8 million, or $2.07 per fully diluted share, on net sales of $390.5 million for the second quarter of 1994, and net income of $154.3 million, or $3.70 per fully diluted share, on net sales of $710.6 million for the first six months of 1994. For the second quarter a year ago, the company reported net income of $9.0 million, or $0.22 per share, on net sales of $176.4 million, and for the first six months of 1993 reported net income of $11.7 million, or $0.29 per share, on net sales of $307.4 million.</w:t>
      </w:r>
    </w:p>
    <w:p>
      <w:pPr>
        <w:spacing w:after="0" w:line="214" w:lineRule="exact"/>
        <w:rPr>
          <w:sz w:val="20"/>
          <w:szCs w:val="20"/>
          <w:color w:val="auto"/>
        </w:rPr>
      </w:pPr>
    </w:p>
    <w:p>
      <w:pPr>
        <w:ind w:right="2099" w:firstLine="527"/>
        <w:spacing w:after="0" w:line="238" w:lineRule="auto"/>
        <w:rPr>
          <w:sz w:val="20"/>
          <w:szCs w:val="20"/>
          <w:color w:val="auto"/>
        </w:rPr>
      </w:pPr>
      <w:r>
        <w:rPr>
          <w:rFonts w:ascii="Courier New" w:cs="Courier New" w:eastAsia="Courier New" w:hAnsi="Courier New"/>
          <w:sz w:val="18"/>
          <w:szCs w:val="18"/>
          <w:color w:val="auto"/>
        </w:rPr>
        <w:t>Net sales and profits in the first two quarters of fiscal 1994 were substantially higher than in comparable periods of fiscal 1993 reflecting favorable market conditions, improved productivity, and increased fab capacity. The company continues to benefit from strong market conditions for the 4 Meg DRAM which is responsible for a substantial portion of the company's net sales and net income. To date, only a limited portion of the company's production has been converted to the reduced die size 4 Meg DRAM. The company has begun to produce a limited number of 16 Meg DRAMs in a 400 mil package and is continuing to develop a reduced die size 16 Meg DRAM in a 300 mil package. The company expects that the 300 mil package will be required to meet volume market requirements. Any downturn in the market for 4 Meg DRAMs or a rapid transition to the 16 Meg DRAM as the industry's primary product would likely have a negative impact on the company's results of operations.</w:t>
      </w:r>
    </w:p>
    <w:p>
      <w:pPr>
        <w:spacing w:after="0" w:line="208" w:lineRule="exact"/>
        <w:rPr>
          <w:sz w:val="20"/>
          <w:szCs w:val="20"/>
          <w:color w:val="auto"/>
        </w:rPr>
      </w:pPr>
    </w:p>
    <w:p>
      <w:pPr>
        <w:ind w:right="2199" w:firstLine="527"/>
        <w:spacing w:after="0" w:line="237" w:lineRule="auto"/>
        <w:rPr>
          <w:sz w:val="20"/>
          <w:szCs w:val="20"/>
          <w:color w:val="auto"/>
        </w:rPr>
      </w:pPr>
      <w:r>
        <w:rPr>
          <w:rFonts w:ascii="Courier New" w:cs="Courier New" w:eastAsia="Courier New" w:hAnsi="Courier New"/>
          <w:sz w:val="18"/>
          <w:szCs w:val="18"/>
          <w:color w:val="auto"/>
        </w:rPr>
        <w:t>The semiconductor industry has historically experienced significant volatility. As has occurred in the past in reaction to improved market conditions, the company and several competitors have recently announced expansions of semiconductor manufacturing capacity.</w:t>
      </w:r>
    </w:p>
    <w:p>
      <w:pPr>
        <w:spacing w:after="0" w:line="209" w:lineRule="exact"/>
        <w:rPr>
          <w:sz w:val="20"/>
          <w:szCs w:val="20"/>
          <w:color w:val="auto"/>
        </w:rPr>
      </w:pPr>
    </w:p>
    <w:p>
      <w:pPr>
        <w:ind w:right="2319" w:firstLine="527"/>
        <w:spacing w:after="0" w:line="271" w:lineRule="auto"/>
        <w:rPr>
          <w:sz w:val="20"/>
          <w:szCs w:val="20"/>
          <w:color w:val="auto"/>
        </w:rPr>
      </w:pPr>
      <w:r>
        <w:rPr>
          <w:rFonts w:ascii="Courier New" w:cs="Courier New" w:eastAsia="Courier New" w:hAnsi="Courier New"/>
          <w:sz w:val="16"/>
          <w:szCs w:val="16"/>
          <w:color w:val="auto"/>
        </w:rPr>
        <w:t>Future operating results could be influenced by potentially adverse market conditions, expansion of total industry capacity faster than total industry demand, continuing high capital spending requirements to remain competitive in the industry, manufacturing yield fluctuations, patent litigation claims and litigation against the company, an inability of the company to keep pace with technological advances by competitors, and currency fluctuations resulting in a strengthening dollar against the yen. The market price for the company's common stock has been, and is expected to continue to be, extremely volatile. See "Certain Factors".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9359"/>
          </w:cols>
          <w:pgMar w:left="1100" w:top="1128" w:right="1440" w:bottom="1440" w:gutter="0" w:footer="0" w:header="0"/>
        </w:sectPr>
      </w:pPr>
    </w:p>
    <w:bookmarkStart w:id="11" w:name="page12"/>
    <w:bookmarkEnd w:id="11"/>
    <w:p>
      <w:pPr>
        <w:spacing w:after="0"/>
        <w:rPr>
          <w:sz w:val="20"/>
          <w:szCs w:val="20"/>
          <w:color w:val="auto"/>
        </w:rPr>
      </w:pPr>
      <w:r>
        <w:rPr>
          <w:rFonts w:ascii="Courier New" w:cs="Courier New" w:eastAsia="Courier New" w:hAnsi="Courier New"/>
          <w:sz w:val="18"/>
          <w:szCs w:val="18"/>
          <w:color w:val="auto"/>
        </w:rPr>
        <w:t>Results of Operations</w:t>
      </w:r>
    </w:p>
    <w:p>
      <w:pPr>
        <w:spacing w:after="0" w:line="200" w:lineRule="exact"/>
        <w:rPr>
          <w:sz w:val="20"/>
          <w:szCs w:val="20"/>
          <w:color w:val="auto"/>
        </w:rPr>
      </w:pPr>
    </w:p>
    <w:p>
      <w:pPr>
        <w:spacing w:after="0" w:line="204" w:lineRule="exact"/>
        <w:rPr>
          <w:sz w:val="20"/>
          <w:szCs w:val="20"/>
          <w:color w:val="auto"/>
        </w:rPr>
      </w:pPr>
    </w:p>
    <w:p>
      <w:pPr>
        <w:ind w:left="2620"/>
        <w:spacing w:after="0"/>
        <w:tabs>
          <w:tab w:leader="none" w:pos="5140" w:val="left"/>
        </w:tabs>
        <w:rPr>
          <w:sz w:val="20"/>
          <w:szCs w:val="20"/>
          <w:color w:val="auto"/>
        </w:rPr>
      </w:pPr>
      <w:r>
        <w:rPr>
          <w:rFonts w:ascii="Courier New" w:cs="Courier New" w:eastAsia="Courier New" w:hAnsi="Courier New"/>
          <w:sz w:val="18"/>
          <w:szCs w:val="18"/>
          <w:color w:val="auto"/>
        </w:rPr>
        <w:t>Second Quarter</w:t>
      </w:r>
      <w:r>
        <w:rPr>
          <w:sz w:val="20"/>
          <w:szCs w:val="20"/>
          <w:color w:val="auto"/>
        </w:rPr>
        <w:tab/>
      </w:r>
      <w:r>
        <w:rPr>
          <w:rFonts w:ascii="Courier New" w:cs="Courier New" w:eastAsia="Courier New" w:hAnsi="Courier New"/>
          <w:sz w:val="16"/>
          <w:szCs w:val="16"/>
          <w:color w:val="auto"/>
        </w:rPr>
        <w:t>Six Months Ended</w:t>
      </w:r>
    </w:p>
    <w:p>
      <w:pPr>
        <w:spacing w:after="0" w:line="4" w:lineRule="exact"/>
        <w:rPr>
          <w:sz w:val="20"/>
          <w:szCs w:val="20"/>
          <w:color w:val="auto"/>
        </w:rPr>
      </w:pPr>
    </w:p>
    <w:p>
      <w:pPr>
        <w:ind w:left="2100"/>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2300"/>
        <w:spacing w:after="0"/>
        <w:tabs>
          <w:tab w:leader="none" w:pos="2920" w:val="left"/>
          <w:tab w:leader="none" w:pos="3980" w:val="left"/>
          <w:tab w:leader="none" w:pos="4920" w:val="left"/>
          <w:tab w:leader="none" w:pos="5560" w:val="left"/>
          <w:tab w:leader="none" w:pos="6600" w:val="left"/>
        </w:tabs>
        <w:rPr>
          <w:sz w:val="20"/>
          <w:szCs w:val="20"/>
          <w:color w:val="auto"/>
        </w:rPr>
      </w:pPr>
      <w:r>
        <w:rPr>
          <w:rFonts w:ascii="Courier New" w:cs="Courier New" w:eastAsia="Courier New" w:hAnsi="Courier New"/>
          <w:sz w:val="18"/>
          <w:szCs w:val="18"/>
          <w:color w:val="auto"/>
        </w:rPr>
        <w:t>1994</w:t>
        <w:tab/>
        <w:t>% Change</w:t>
        <w:tab/>
        <w:t>1993</w:t>
      </w:r>
      <w:r>
        <w:rPr>
          <w:sz w:val="20"/>
          <w:szCs w:val="20"/>
          <w:color w:val="auto"/>
        </w:rPr>
        <w:tab/>
      </w:r>
      <w:r>
        <w:rPr>
          <w:rFonts w:ascii="Courier New" w:cs="Courier New" w:eastAsia="Courier New" w:hAnsi="Courier New"/>
          <w:sz w:val="18"/>
          <w:szCs w:val="18"/>
          <w:color w:val="auto"/>
        </w:rPr>
        <w:t>1994</w:t>
        <w:tab/>
        <w:t>% Change</w:t>
      </w:r>
      <w:r>
        <w:rPr>
          <w:sz w:val="20"/>
          <w:szCs w:val="20"/>
          <w:color w:val="auto"/>
        </w:rPr>
        <w:tab/>
      </w:r>
      <w:r>
        <w:rPr>
          <w:rFonts w:ascii="Courier New" w:cs="Courier New" w:eastAsia="Courier New" w:hAnsi="Courier New"/>
          <w:sz w:val="16"/>
          <w:szCs w:val="16"/>
          <w:color w:val="auto"/>
        </w:rPr>
        <w:t>1993</w:t>
      </w:r>
    </w:p>
    <w:p>
      <w:pPr>
        <w:spacing w:after="0" w:line="4" w:lineRule="exact"/>
        <w:rPr>
          <w:sz w:val="20"/>
          <w:szCs w:val="20"/>
          <w:color w:val="auto"/>
        </w:rPr>
      </w:pPr>
    </w:p>
    <w:p>
      <w:pPr>
        <w:ind w:left="2100"/>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9359"/>
          </w:cols>
          <w:pgMar w:left="1100" w:top="1325" w:right="1440" w:bottom="970" w:gutter="0" w:footer="0" w:header="0"/>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Net sales</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$390,459 121.3% $176,410 $710,597 131.2% $307,378</w:t>
      </w:r>
    </w:p>
    <w:p>
      <w:pPr>
        <w:spacing w:after="0" w:line="200" w:lineRule="exact"/>
        <w:rPr>
          <w:sz w:val="20"/>
          <w:szCs w:val="20"/>
          <w:color w:val="auto"/>
        </w:rPr>
      </w:pPr>
    </w:p>
    <w:p>
      <w:pPr>
        <w:sectPr>
          <w:pgSz w:w="11900" w:h="16838" w:orient="portrait"/>
          <w:cols w:equalWidth="0" w:num="2">
            <w:col w:w="1380" w:space="720"/>
            <w:col w:w="7259"/>
          </w:cols>
          <w:pgMar w:left="1100" w:top="1325" w:right="1440" w:bottom="970" w:gutter="0" w:footer="0" w:header="0"/>
          <w:type w:val="continuous"/>
        </w:sectPr>
      </w:pPr>
    </w:p>
    <w:p>
      <w:pPr>
        <w:spacing w:after="0" w:line="226" w:lineRule="exact"/>
        <w:rPr>
          <w:sz w:val="20"/>
          <w:szCs w:val="20"/>
          <w:color w:val="auto"/>
        </w:rPr>
      </w:pPr>
    </w:p>
    <w:p>
      <w:pPr>
        <w:ind w:right="2099" w:firstLine="527"/>
        <w:spacing w:after="0" w:line="238" w:lineRule="auto"/>
        <w:rPr>
          <w:sz w:val="20"/>
          <w:szCs w:val="20"/>
          <w:color w:val="auto"/>
        </w:rPr>
      </w:pPr>
      <w:r>
        <w:rPr>
          <w:rFonts w:ascii="Courier New" w:cs="Courier New" w:eastAsia="Courier New" w:hAnsi="Courier New"/>
          <w:sz w:val="18"/>
          <w:szCs w:val="18"/>
          <w:color w:val="auto"/>
        </w:rPr>
        <w:t>Net sales for the second quarter and first six months of fiscal 1994 were significantly higher than for the comparable periods of 1993 principally due to favorable market conditions resulting in higher average selling prices for 4 Meg and 1 Meg DRAM products, and increased sales of higher density memory products. Selling prices on average were lower for 2 Meg VRAM and 1 Meg SRAM products. Sales of 4 Meg DRAMs represented a substantial portion of the company's net sales for the second quarter of 1994. Memory volumes were higher for the second quarter and first six months of 1994 as compared to the corresponding periods of 1993 through shrinks of existing products, transitions to higher density memory products, increased wafer output, and yield improvements.</w:t>
      </w:r>
    </w:p>
    <w:p>
      <w:pPr>
        <w:spacing w:after="0" w:line="207" w:lineRule="exact"/>
        <w:rPr>
          <w:sz w:val="20"/>
          <w:szCs w:val="20"/>
          <w:color w:val="auto"/>
        </w:rPr>
      </w:pPr>
    </w:p>
    <w:p>
      <w:pPr>
        <w:ind w:right="2099" w:firstLine="527"/>
        <w:spacing w:after="0" w:line="271" w:lineRule="auto"/>
        <w:rPr>
          <w:sz w:val="20"/>
          <w:szCs w:val="20"/>
          <w:color w:val="auto"/>
        </w:rPr>
      </w:pPr>
      <w:r>
        <w:rPr>
          <w:rFonts w:ascii="Courier New" w:cs="Courier New" w:eastAsia="Courier New" w:hAnsi="Courier New"/>
          <w:sz w:val="16"/>
          <w:szCs w:val="16"/>
          <w:color w:val="auto"/>
        </w:rPr>
        <w:t>The company's principal products for the first six months of 1994 were 4 Meg and 1 Meg DRAMs, 1 Meg SRAM, and 2 Meg and 1 Meg specialty DRAMs. SRAM net sales increased in both the second quarter and first six months of 1994, but declined as a percentage of total net sales to approximately 9% for the second quarter and first six months of 1994. SRAM net sales for the second quarter and first six months of 1993 were 15% and 17% of total net sales, respectively.</w:t>
      </w:r>
    </w:p>
    <w:p>
      <w:pPr>
        <w:spacing w:after="0" w:line="200" w:lineRule="exact"/>
        <w:rPr>
          <w:sz w:val="20"/>
          <w:szCs w:val="20"/>
          <w:color w:val="auto"/>
        </w:rPr>
      </w:pP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000" w:type="dxa"/>
            <w:vAlign w:val="bottom"/>
          </w:tcPr>
          <w:p>
            <w:pPr>
              <w:spacing w:after="0"/>
              <w:rPr>
                <w:sz w:val="17"/>
                <w:szCs w:val="17"/>
                <w:color w:val="auto"/>
              </w:rPr>
            </w:pPr>
          </w:p>
        </w:tc>
        <w:tc>
          <w:tcPr>
            <w:tcW w:w="2680" w:type="dxa"/>
            <w:vAlign w:val="bottom"/>
            <w:gridSpan w:val="2"/>
          </w:tcPr>
          <w:p>
            <w:pPr>
              <w:jc w:val="right"/>
              <w:ind w:right="492"/>
              <w:spacing w:after="0"/>
              <w:rPr>
                <w:sz w:val="20"/>
                <w:szCs w:val="20"/>
                <w:color w:val="auto"/>
              </w:rPr>
            </w:pPr>
            <w:r>
              <w:rPr>
                <w:rFonts w:ascii="Courier New" w:cs="Courier New" w:eastAsia="Courier New" w:hAnsi="Courier New"/>
                <w:sz w:val="18"/>
                <w:szCs w:val="18"/>
                <w:color w:val="auto"/>
              </w:rPr>
              <w:t>Second Quarter</w:t>
            </w:r>
          </w:p>
        </w:tc>
        <w:tc>
          <w:tcPr>
            <w:tcW w:w="2580" w:type="dxa"/>
            <w:vAlign w:val="bottom"/>
            <w:gridSpan w:val="2"/>
          </w:tcPr>
          <w:p>
            <w:pPr>
              <w:jc w:val="right"/>
              <w:ind w:right="332"/>
              <w:spacing w:after="0"/>
              <w:rPr>
                <w:sz w:val="20"/>
                <w:szCs w:val="20"/>
                <w:color w:val="auto"/>
              </w:rPr>
            </w:pPr>
            <w:r>
              <w:rPr>
                <w:rFonts w:ascii="Courier New" w:cs="Courier New" w:eastAsia="Courier New" w:hAnsi="Courier New"/>
                <w:sz w:val="18"/>
                <w:szCs w:val="18"/>
                <w:color w:val="auto"/>
              </w:rPr>
              <w:t>Six Months Ended</w:t>
            </w:r>
          </w:p>
        </w:tc>
      </w:tr>
      <w:tr>
        <w:trPr>
          <w:trHeight w:val="203"/>
        </w:trPr>
        <w:tc>
          <w:tcPr>
            <w:tcW w:w="2000" w:type="dxa"/>
            <w:vAlign w:val="bottom"/>
          </w:tcPr>
          <w:p>
            <w:pPr>
              <w:spacing w:after="0"/>
              <w:rPr>
                <w:sz w:val="17"/>
                <w:szCs w:val="17"/>
                <w:color w:val="auto"/>
              </w:rPr>
            </w:pPr>
          </w:p>
        </w:tc>
        <w:tc>
          <w:tcPr>
            <w:tcW w:w="26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5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8"/>
              </w:rPr>
              <w:t>------------------------</w:t>
            </w:r>
          </w:p>
        </w:tc>
      </w:tr>
      <w:tr>
        <w:trPr>
          <w:trHeight w:val="203"/>
        </w:trPr>
        <w:tc>
          <w:tcPr>
            <w:tcW w:w="2000" w:type="dxa"/>
            <w:vAlign w:val="bottom"/>
          </w:tcPr>
          <w:p>
            <w:pPr>
              <w:spacing w:after="0"/>
              <w:rPr>
                <w:sz w:val="17"/>
                <w:szCs w:val="17"/>
                <w:color w:val="auto"/>
              </w:rPr>
            </w:pPr>
          </w:p>
        </w:tc>
        <w:tc>
          <w:tcPr>
            <w:tcW w:w="94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1994</w:t>
            </w:r>
          </w:p>
        </w:tc>
        <w:tc>
          <w:tcPr>
            <w:tcW w:w="17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6"/>
              </w:rPr>
              <w:t>% Change  1993</w:t>
            </w:r>
          </w:p>
        </w:tc>
        <w:tc>
          <w:tcPr>
            <w:tcW w:w="9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1994</w:t>
            </w:r>
          </w:p>
        </w:tc>
        <w:tc>
          <w:tcPr>
            <w:tcW w:w="16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5"/>
              </w:rPr>
              <w:t>% Change  1993</w:t>
            </w:r>
          </w:p>
        </w:tc>
      </w:tr>
      <w:tr>
        <w:trPr>
          <w:trHeight w:val="203"/>
        </w:trPr>
        <w:tc>
          <w:tcPr>
            <w:tcW w:w="2000" w:type="dxa"/>
            <w:vAlign w:val="bottom"/>
          </w:tcPr>
          <w:p>
            <w:pPr>
              <w:spacing w:after="0"/>
              <w:rPr>
                <w:sz w:val="17"/>
                <w:szCs w:val="17"/>
                <w:color w:val="auto"/>
              </w:rPr>
            </w:pPr>
          </w:p>
        </w:tc>
        <w:tc>
          <w:tcPr>
            <w:tcW w:w="26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5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8"/>
              </w:rPr>
              <w:t>------------------------</w:t>
            </w:r>
          </w:p>
        </w:tc>
      </w:tr>
      <w:tr>
        <w:trPr>
          <w:trHeight w:val="405"/>
        </w:trPr>
        <w:tc>
          <w:tcPr>
            <w:tcW w:w="2000" w:type="dxa"/>
            <w:vAlign w:val="bottom"/>
          </w:tcPr>
          <w:p>
            <w:pPr>
              <w:spacing w:after="0"/>
              <w:rPr>
                <w:sz w:val="20"/>
                <w:szCs w:val="20"/>
                <w:color w:val="auto"/>
              </w:rPr>
            </w:pPr>
            <w:r>
              <w:rPr>
                <w:rFonts w:ascii="Courier New" w:cs="Courier New" w:eastAsia="Courier New" w:hAnsi="Courier New"/>
                <w:sz w:val="18"/>
                <w:szCs w:val="18"/>
                <w:color w:val="auto"/>
              </w:rPr>
              <w:t>Cost of goods sold</w:t>
            </w:r>
          </w:p>
        </w:tc>
        <w:tc>
          <w:tcPr>
            <w:tcW w:w="940" w:type="dxa"/>
            <w:vAlign w:val="bottom"/>
          </w:tcPr>
          <w:p>
            <w:pPr>
              <w:jc w:val="right"/>
              <w:spacing w:after="0"/>
              <w:rPr>
                <w:sz w:val="20"/>
                <w:szCs w:val="20"/>
                <w:color w:val="auto"/>
              </w:rPr>
            </w:pPr>
            <w:r>
              <w:rPr>
                <w:rFonts w:ascii="Courier New" w:cs="Courier New" w:eastAsia="Courier New" w:hAnsi="Courier New"/>
                <w:sz w:val="18"/>
                <w:szCs w:val="18"/>
                <w:color w:val="auto"/>
              </w:rPr>
              <w:t>$204,105</w:t>
            </w:r>
          </w:p>
        </w:tc>
        <w:tc>
          <w:tcPr>
            <w:tcW w:w="1740" w:type="dxa"/>
            <w:vAlign w:val="bottom"/>
          </w:tcPr>
          <w:p>
            <w:pPr>
              <w:jc w:val="right"/>
              <w:spacing w:after="0"/>
              <w:rPr>
                <w:sz w:val="20"/>
                <w:szCs w:val="20"/>
                <w:color w:val="auto"/>
              </w:rPr>
            </w:pPr>
            <w:r>
              <w:rPr>
                <w:rFonts w:ascii="Courier New" w:cs="Courier New" w:eastAsia="Courier New" w:hAnsi="Courier New"/>
                <w:sz w:val="18"/>
                <w:szCs w:val="18"/>
                <w:color w:val="auto"/>
              </w:rPr>
              <w:t>64.9% $123,738</w:t>
            </w:r>
          </w:p>
        </w:tc>
        <w:tc>
          <w:tcPr>
            <w:tcW w:w="900" w:type="dxa"/>
            <w:vAlign w:val="bottom"/>
          </w:tcPr>
          <w:p>
            <w:pPr>
              <w:jc w:val="right"/>
              <w:spacing w:after="0"/>
              <w:rPr>
                <w:sz w:val="20"/>
                <w:szCs w:val="20"/>
                <w:color w:val="auto"/>
              </w:rPr>
            </w:pPr>
            <w:r>
              <w:rPr>
                <w:rFonts w:ascii="Courier New" w:cs="Courier New" w:eastAsia="Courier New" w:hAnsi="Courier New"/>
                <w:sz w:val="18"/>
                <w:szCs w:val="18"/>
                <w:color w:val="auto"/>
              </w:rPr>
              <w:t>$370,693</w:t>
            </w:r>
          </w:p>
        </w:tc>
        <w:tc>
          <w:tcPr>
            <w:tcW w:w="1680" w:type="dxa"/>
            <w:vAlign w:val="bottom"/>
          </w:tcPr>
          <w:p>
            <w:pPr>
              <w:jc w:val="right"/>
              <w:spacing w:after="0"/>
              <w:rPr>
                <w:sz w:val="20"/>
                <w:szCs w:val="20"/>
                <w:color w:val="auto"/>
              </w:rPr>
            </w:pPr>
            <w:r>
              <w:rPr>
                <w:rFonts w:ascii="Courier New" w:cs="Courier New" w:eastAsia="Courier New" w:hAnsi="Courier New"/>
                <w:sz w:val="18"/>
                <w:szCs w:val="18"/>
                <w:color w:val="auto"/>
              </w:rPr>
              <w:t>67.3% $221,513</w:t>
            </w:r>
          </w:p>
        </w:tc>
      </w:tr>
      <w:tr>
        <w:trPr>
          <w:trHeight w:val="203"/>
        </w:trPr>
        <w:tc>
          <w:tcPr>
            <w:tcW w:w="2000" w:type="dxa"/>
            <w:vAlign w:val="bottom"/>
          </w:tcPr>
          <w:p>
            <w:pPr>
              <w:spacing w:after="0" w:line="203" w:lineRule="exact"/>
              <w:rPr>
                <w:sz w:val="20"/>
                <w:szCs w:val="20"/>
                <w:color w:val="auto"/>
              </w:rPr>
            </w:pPr>
            <w:r>
              <w:rPr>
                <w:rFonts w:ascii="Courier New" w:cs="Courier New" w:eastAsia="Courier New" w:hAnsi="Courier New"/>
                <w:sz w:val="18"/>
                <w:szCs w:val="18"/>
                <w:color w:val="auto"/>
              </w:rPr>
              <w:t>Gross margin %</w:t>
            </w:r>
          </w:p>
        </w:tc>
        <w:tc>
          <w:tcPr>
            <w:tcW w:w="94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47.7%</w:t>
            </w:r>
          </w:p>
        </w:tc>
        <w:tc>
          <w:tcPr>
            <w:tcW w:w="17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29.9%</w:t>
            </w:r>
          </w:p>
        </w:tc>
        <w:tc>
          <w:tcPr>
            <w:tcW w:w="9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47.8%</w:t>
            </w:r>
          </w:p>
        </w:tc>
        <w:tc>
          <w:tcPr>
            <w:tcW w:w="1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27.9%</w:t>
            </w:r>
          </w:p>
        </w:tc>
      </w:tr>
    </w:tbl>
    <w:p>
      <w:pPr>
        <w:spacing w:after="0" w:line="200" w:lineRule="exact"/>
        <w:rPr>
          <w:sz w:val="20"/>
          <w:szCs w:val="20"/>
          <w:color w:val="auto"/>
        </w:rPr>
      </w:pPr>
    </w:p>
    <w:p>
      <w:pPr>
        <w:spacing w:after="0" w:line="209" w:lineRule="exact"/>
        <w:rPr>
          <w:sz w:val="20"/>
          <w:szCs w:val="20"/>
          <w:color w:val="auto"/>
        </w:rPr>
      </w:pPr>
    </w:p>
    <w:p>
      <w:pPr>
        <w:ind w:right="2099" w:firstLine="527"/>
        <w:spacing w:after="0" w:line="269" w:lineRule="auto"/>
        <w:rPr>
          <w:sz w:val="20"/>
          <w:szCs w:val="20"/>
          <w:color w:val="auto"/>
        </w:rPr>
      </w:pPr>
      <w:r>
        <w:rPr>
          <w:rFonts w:ascii="Courier New" w:cs="Courier New" w:eastAsia="Courier New" w:hAnsi="Courier New"/>
          <w:sz w:val="16"/>
          <w:szCs w:val="16"/>
          <w:color w:val="auto"/>
        </w:rPr>
        <w:t>The company's overall gross margin percentage improved significantly, comparing both the second quarter and first six months of 1994 to the corresponding periods of 1993, due to generally higher selling prices and reductions in cost per unit of memory sold for DRAM products. Reductions in cost per unit sold were realized primarily from die shrinks, transition to higher density memory products, increased wafer output, and yield improvements. The company continues to transition to shrink versions of existing products. To date, only a limited portion of the company's production of 4 Meg DRAMs has been converted to the reduced die size version. The company has begun to produce a limited number of 16 Meg DRAMs in a 400 mil package and is continuing to develop a reduced die size 16 Meg DRAM in a 300 mil package. The company expects that the 300 mil device will become the industry's primary 16 Meg product. As is typical with product and process transitions, the company may experience volatility in manufacturing yields or other difficulties in ramping production of the 16 Meg DRAM to commercial volumes. The company's operating results are highly dependent on increasing yields at an acceptable rate and to an acceptable level, of which there can be no assurance.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9359"/>
          </w:cols>
          <w:pgMar w:left="1100" w:top="1325" w:right="1440" w:bottom="970" w:gutter="0" w:footer="0" w:header="0"/>
          <w:type w:val="continuous"/>
        </w:sectPr>
      </w:pPr>
    </w:p>
    <w:bookmarkStart w:id="12" w:name="page13"/>
    <w:bookmarkEnd w:id="12"/>
    <w:p>
      <w:pPr>
        <w:ind w:right="2199" w:firstLine="527"/>
        <w:spacing w:after="0" w:line="272" w:lineRule="auto"/>
        <w:rPr>
          <w:sz w:val="20"/>
          <w:szCs w:val="20"/>
          <w:color w:val="auto"/>
        </w:rPr>
      </w:pPr>
      <w:r>
        <w:rPr>
          <w:rFonts w:ascii="Courier New" w:cs="Courier New" w:eastAsia="Courier New" w:hAnsi="Courier New"/>
          <w:sz w:val="16"/>
          <w:szCs w:val="16"/>
          <w:color w:val="auto"/>
        </w:rPr>
        <w:t>Sales of personal computers accounted for approximately 6% of total net sales for the second quarter and first six months of 1994. Gross margin percentages for personal computer sales are substantially lower than for the company's other products. Should sales of personal computers increase as a percentage of total net sales, the company's overall gross margin percentage would decrease.</w:t>
      </w:r>
    </w:p>
    <w:p>
      <w:pPr>
        <w:spacing w:after="0" w:line="186" w:lineRule="exact"/>
        <w:rPr>
          <w:sz w:val="20"/>
          <w:szCs w:val="20"/>
          <w:color w:val="auto"/>
        </w:rPr>
      </w:pPr>
    </w:p>
    <w:p>
      <w:pPr>
        <w:ind w:right="2199" w:firstLine="527"/>
        <w:spacing w:after="0" w:line="238" w:lineRule="auto"/>
        <w:rPr>
          <w:sz w:val="20"/>
          <w:szCs w:val="20"/>
          <w:color w:val="auto"/>
        </w:rPr>
      </w:pPr>
      <w:r>
        <w:rPr>
          <w:rFonts w:ascii="Courier New" w:cs="Courier New" w:eastAsia="Courier New" w:hAnsi="Courier New"/>
          <w:sz w:val="18"/>
          <w:szCs w:val="18"/>
          <w:color w:val="auto"/>
        </w:rPr>
        <w:t>Cost of goods sold includes estimated costs of settlement or adjudication of asserted and unasserted claims for patent infringement prior to the balance sheet date, and costs of product and process technology licensing arrangements. The company recently settled various legal proceedings with Texas Instruments Incorporated. The company has accrued a sufficient amount to pay the royalties under the settlement agreement related to sales for periods from expiration of the previous cross-license to the date of the settlement. The charges for product and process technology have remained, and are expected to remain, relatively constant as a percentage of net sales. Future product and process technology charges may fluctuate, however, as a result of claims that may be asserted in the future. See "Certain Factors".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040" w:type="dxa"/>
            <w:vAlign w:val="bottom"/>
          </w:tcPr>
          <w:p>
            <w:pPr>
              <w:spacing w:after="0"/>
              <w:rPr>
                <w:sz w:val="17"/>
                <w:szCs w:val="17"/>
                <w:color w:val="auto"/>
              </w:rPr>
            </w:pPr>
          </w:p>
        </w:tc>
        <w:tc>
          <w:tcPr>
            <w:tcW w:w="2640" w:type="dxa"/>
            <w:vAlign w:val="bottom"/>
            <w:gridSpan w:val="3"/>
          </w:tcPr>
          <w:p>
            <w:pPr>
              <w:jc w:val="center"/>
              <w:spacing w:after="0"/>
              <w:rPr>
                <w:sz w:val="20"/>
                <w:szCs w:val="20"/>
                <w:color w:val="auto"/>
              </w:rPr>
            </w:pPr>
            <w:r>
              <w:rPr>
                <w:rFonts w:ascii="Courier New" w:cs="Courier New" w:eastAsia="Courier New" w:hAnsi="Courier New"/>
                <w:sz w:val="18"/>
                <w:szCs w:val="18"/>
                <w:color w:val="auto"/>
                <w:w w:val="97"/>
              </w:rPr>
              <w:t>Second Quarter</w:t>
            </w:r>
          </w:p>
        </w:tc>
        <w:tc>
          <w:tcPr>
            <w:tcW w:w="2580" w:type="dxa"/>
            <w:vAlign w:val="bottom"/>
            <w:gridSpan w:val="2"/>
          </w:tcPr>
          <w:p>
            <w:pPr>
              <w:jc w:val="right"/>
              <w:ind w:right="332"/>
              <w:spacing w:after="0"/>
              <w:rPr>
                <w:sz w:val="20"/>
                <w:szCs w:val="20"/>
                <w:color w:val="auto"/>
              </w:rPr>
            </w:pPr>
            <w:r>
              <w:rPr>
                <w:rFonts w:ascii="Courier New" w:cs="Courier New" w:eastAsia="Courier New" w:hAnsi="Courier New"/>
                <w:sz w:val="18"/>
                <w:szCs w:val="18"/>
                <w:color w:val="auto"/>
              </w:rPr>
              <w:t>Six Months Ended</w:t>
            </w:r>
          </w:p>
        </w:tc>
      </w:tr>
      <w:tr>
        <w:trPr>
          <w:trHeight w:val="203"/>
        </w:trPr>
        <w:tc>
          <w:tcPr>
            <w:tcW w:w="2040" w:type="dxa"/>
            <w:vAlign w:val="bottom"/>
          </w:tcPr>
          <w:p>
            <w:pPr>
              <w:spacing w:after="0"/>
              <w:rPr>
                <w:sz w:val="17"/>
                <w:szCs w:val="17"/>
                <w:color w:val="auto"/>
              </w:rPr>
            </w:pPr>
          </w:p>
        </w:tc>
        <w:tc>
          <w:tcPr>
            <w:tcW w:w="1800" w:type="dxa"/>
            <w:vAlign w:val="bottom"/>
            <w:gridSpan w:val="2"/>
          </w:tcPr>
          <w:p>
            <w:pPr>
              <w:ind w:left="60"/>
              <w:spacing w:after="0"/>
              <w:rPr>
                <w:sz w:val="20"/>
                <w:szCs w:val="20"/>
                <w:color w:val="auto"/>
              </w:rPr>
            </w:pPr>
            <w:r>
              <w:rPr>
                <w:rFonts w:ascii="Courier New" w:cs="Courier New" w:eastAsia="Courier New" w:hAnsi="Courier New"/>
                <w:sz w:val="16"/>
                <w:szCs w:val="16"/>
                <w:color w:val="auto"/>
                <w:w w:val="74"/>
              </w:rPr>
              <w:t>------------------------</w:t>
            </w:r>
          </w:p>
        </w:tc>
        <w:tc>
          <w:tcPr>
            <w:tcW w:w="840" w:type="dxa"/>
            <w:vAlign w:val="bottom"/>
          </w:tcPr>
          <w:p>
            <w:pPr>
              <w:spacing w:after="0"/>
              <w:rPr>
                <w:sz w:val="17"/>
                <w:szCs w:val="17"/>
                <w:color w:val="auto"/>
              </w:rPr>
            </w:pPr>
          </w:p>
        </w:tc>
        <w:tc>
          <w:tcPr>
            <w:tcW w:w="25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8"/>
              </w:rPr>
              <w:t>------------------------</w:t>
            </w:r>
          </w:p>
        </w:tc>
      </w:tr>
      <w:tr>
        <w:trPr>
          <w:trHeight w:val="203"/>
        </w:trPr>
        <w:tc>
          <w:tcPr>
            <w:tcW w:w="2040" w:type="dxa"/>
            <w:vAlign w:val="bottom"/>
          </w:tcPr>
          <w:p>
            <w:pPr>
              <w:spacing w:after="0"/>
              <w:rPr>
                <w:sz w:val="17"/>
                <w:szCs w:val="17"/>
                <w:color w:val="auto"/>
              </w:rPr>
            </w:pPr>
          </w:p>
        </w:tc>
        <w:tc>
          <w:tcPr>
            <w:tcW w:w="900" w:type="dxa"/>
            <w:vAlign w:val="bottom"/>
          </w:tcPr>
          <w:p>
            <w:pPr>
              <w:jc w:val="right"/>
              <w:ind w:right="134"/>
              <w:spacing w:after="0" w:line="203" w:lineRule="exact"/>
              <w:rPr>
                <w:sz w:val="20"/>
                <w:szCs w:val="20"/>
                <w:color w:val="auto"/>
              </w:rPr>
            </w:pPr>
            <w:r>
              <w:rPr>
                <w:rFonts w:ascii="Courier New" w:cs="Courier New" w:eastAsia="Courier New" w:hAnsi="Courier New"/>
                <w:sz w:val="18"/>
                <w:szCs w:val="18"/>
                <w:color w:val="auto"/>
              </w:rPr>
              <w:t>1994</w:t>
            </w:r>
          </w:p>
        </w:tc>
        <w:tc>
          <w:tcPr>
            <w:tcW w:w="9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 Change</w:t>
            </w:r>
          </w:p>
        </w:tc>
        <w:tc>
          <w:tcPr>
            <w:tcW w:w="8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1993</w:t>
            </w:r>
          </w:p>
        </w:tc>
        <w:tc>
          <w:tcPr>
            <w:tcW w:w="9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1994</w:t>
            </w:r>
          </w:p>
        </w:tc>
        <w:tc>
          <w:tcPr>
            <w:tcW w:w="16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5"/>
              </w:rPr>
              <w:t>% Change  1993</w:t>
            </w:r>
          </w:p>
        </w:tc>
      </w:tr>
      <w:tr>
        <w:trPr>
          <w:trHeight w:val="203"/>
        </w:trPr>
        <w:tc>
          <w:tcPr>
            <w:tcW w:w="2040" w:type="dxa"/>
            <w:vAlign w:val="bottom"/>
          </w:tcPr>
          <w:p>
            <w:pPr>
              <w:spacing w:after="0"/>
              <w:rPr>
                <w:sz w:val="17"/>
                <w:szCs w:val="17"/>
                <w:color w:val="auto"/>
              </w:rPr>
            </w:pPr>
          </w:p>
        </w:tc>
        <w:tc>
          <w:tcPr>
            <w:tcW w:w="1800" w:type="dxa"/>
            <w:vAlign w:val="bottom"/>
            <w:gridSpan w:val="2"/>
          </w:tcPr>
          <w:p>
            <w:pPr>
              <w:ind w:left="60"/>
              <w:spacing w:after="0"/>
              <w:rPr>
                <w:sz w:val="20"/>
                <w:szCs w:val="20"/>
                <w:color w:val="auto"/>
              </w:rPr>
            </w:pPr>
            <w:r>
              <w:rPr>
                <w:rFonts w:ascii="Courier New" w:cs="Courier New" w:eastAsia="Courier New" w:hAnsi="Courier New"/>
                <w:sz w:val="16"/>
                <w:szCs w:val="16"/>
                <w:color w:val="auto"/>
                <w:w w:val="74"/>
              </w:rPr>
              <w:t>------------------------</w:t>
            </w:r>
          </w:p>
        </w:tc>
        <w:tc>
          <w:tcPr>
            <w:tcW w:w="840" w:type="dxa"/>
            <w:vAlign w:val="bottom"/>
          </w:tcPr>
          <w:p>
            <w:pPr>
              <w:spacing w:after="0"/>
              <w:rPr>
                <w:sz w:val="17"/>
                <w:szCs w:val="17"/>
                <w:color w:val="auto"/>
              </w:rPr>
            </w:pPr>
          </w:p>
        </w:tc>
        <w:tc>
          <w:tcPr>
            <w:tcW w:w="25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8"/>
              </w:rPr>
              <w:t>------------------------</w:t>
            </w:r>
          </w:p>
        </w:tc>
      </w:tr>
      <w:tr>
        <w:trPr>
          <w:trHeight w:val="405"/>
        </w:trPr>
        <w:tc>
          <w:tcPr>
            <w:tcW w:w="2040" w:type="dxa"/>
            <w:vAlign w:val="bottom"/>
          </w:tcPr>
          <w:p>
            <w:pPr>
              <w:spacing w:after="0"/>
              <w:rPr>
                <w:sz w:val="20"/>
                <w:szCs w:val="20"/>
                <w:color w:val="auto"/>
              </w:rPr>
            </w:pPr>
            <w:r>
              <w:rPr>
                <w:rFonts w:ascii="Courier New" w:cs="Courier New" w:eastAsia="Courier New" w:hAnsi="Courier New"/>
                <w:sz w:val="18"/>
                <w:szCs w:val="18"/>
                <w:color w:val="auto"/>
              </w:rPr>
              <w:t>Selling, general,</w:t>
            </w:r>
          </w:p>
        </w:tc>
        <w:tc>
          <w:tcPr>
            <w:tcW w:w="9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203"/>
        </w:trPr>
        <w:tc>
          <w:tcPr>
            <w:tcW w:w="2040" w:type="dxa"/>
            <w:vAlign w:val="bottom"/>
          </w:tcPr>
          <w:p>
            <w:pPr>
              <w:spacing w:after="0" w:line="203" w:lineRule="exact"/>
              <w:rPr>
                <w:sz w:val="20"/>
                <w:szCs w:val="20"/>
                <w:color w:val="auto"/>
              </w:rPr>
            </w:pPr>
            <w:r>
              <w:rPr>
                <w:rFonts w:ascii="Courier New" w:cs="Courier New" w:eastAsia="Courier New" w:hAnsi="Courier New"/>
                <w:sz w:val="18"/>
                <w:szCs w:val="18"/>
                <w:color w:val="auto"/>
              </w:rPr>
              <w:t>and administrative</w:t>
            </w:r>
          </w:p>
        </w:tc>
        <w:tc>
          <w:tcPr>
            <w:tcW w:w="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4"/>
              </w:rPr>
              <w:t>$ 33,094</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40.6%</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$23,545</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$ 67,185</w:t>
            </w:r>
          </w:p>
        </w:tc>
        <w:tc>
          <w:tcPr>
            <w:tcW w:w="1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68.6% $ 39,845</w:t>
            </w:r>
          </w:p>
        </w:tc>
      </w:tr>
      <w:tr>
        <w:trPr>
          <w:trHeight w:val="203"/>
        </w:trPr>
        <w:tc>
          <w:tcPr>
            <w:tcW w:w="204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as a % of net sales</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8.5%</w:t>
            </w:r>
          </w:p>
        </w:tc>
        <w:tc>
          <w:tcPr>
            <w:tcW w:w="90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13.3%</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9.5%</w:t>
            </w:r>
          </w:p>
        </w:tc>
        <w:tc>
          <w:tcPr>
            <w:tcW w:w="1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13.0%</w:t>
            </w:r>
          </w:p>
        </w:tc>
      </w:tr>
    </w:tbl>
    <w:p>
      <w:pPr>
        <w:spacing w:after="0" w:line="200" w:lineRule="exact"/>
        <w:rPr>
          <w:sz w:val="20"/>
          <w:szCs w:val="20"/>
          <w:color w:val="auto"/>
        </w:rPr>
      </w:pPr>
    </w:p>
    <w:p>
      <w:pPr>
        <w:spacing w:after="0" w:line="209"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Selling, general, and administrative expenses increased significantly in the second quarter and first six months of 1994 over the comparable periods of 1993, primarily as a result of higher personnel costs, increased commissions based on a higher level of net sales, increased costs incurred in conjunction with the company's action before the International Trade Commission and patent litigation, and a higher level of bad debt expense. These increases were partially offset by a $3 million pre-tax benefit realized in the second quarter of fiscal 1994 from an insurance reimbursement arising from settlement of the shareholders' consolidated class action lawsuit.</w:t>
      </w:r>
    </w:p>
    <w:p>
      <w:pPr>
        <w:spacing w:after="0" w:line="8"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12</w:t>
      </w:r>
    </w:p>
    <w:p>
      <w:pPr>
        <w:sectPr>
          <w:pgSz w:w="11900" w:h="16838" w:orient="portrait"/>
          <w:cols w:equalWidth="0" w:num="1">
            <w:col w:w="9359"/>
          </w:cols>
          <w:pgMar w:left="1100" w:top="1128" w:right="1440"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04"/>
        </w:trPr>
        <w:tc>
          <w:tcPr>
            <w:tcW w:w="2040" w:type="dxa"/>
            <w:vAlign w:val="bottom"/>
          </w:tcPr>
          <w:p>
            <w:pPr>
              <w:spacing w:after="0"/>
              <w:rPr>
                <w:sz w:val="17"/>
                <w:szCs w:val="17"/>
                <w:color w:val="auto"/>
              </w:rPr>
            </w:pPr>
          </w:p>
        </w:tc>
        <w:tc>
          <w:tcPr>
            <w:tcW w:w="2640" w:type="dxa"/>
            <w:vAlign w:val="bottom"/>
            <w:gridSpan w:val="2"/>
          </w:tcPr>
          <w:p>
            <w:pPr>
              <w:jc w:val="right"/>
              <w:ind w:right="492"/>
              <w:spacing w:after="0"/>
              <w:rPr>
                <w:sz w:val="20"/>
                <w:szCs w:val="20"/>
                <w:color w:val="auto"/>
              </w:rPr>
            </w:pPr>
            <w:r>
              <w:rPr>
                <w:rFonts w:ascii="Courier New" w:cs="Courier New" w:eastAsia="Courier New" w:hAnsi="Courier New"/>
                <w:sz w:val="18"/>
                <w:szCs w:val="18"/>
                <w:color w:val="auto"/>
              </w:rPr>
              <w:t>Second Quarter</w:t>
            </w:r>
          </w:p>
        </w:tc>
        <w:tc>
          <w:tcPr>
            <w:tcW w:w="2580" w:type="dxa"/>
            <w:vAlign w:val="bottom"/>
            <w:gridSpan w:val="2"/>
          </w:tcPr>
          <w:p>
            <w:pPr>
              <w:jc w:val="right"/>
              <w:ind w:right="332"/>
              <w:spacing w:after="0"/>
              <w:rPr>
                <w:sz w:val="20"/>
                <w:szCs w:val="20"/>
                <w:color w:val="auto"/>
              </w:rPr>
            </w:pPr>
            <w:r>
              <w:rPr>
                <w:rFonts w:ascii="Courier New" w:cs="Courier New" w:eastAsia="Courier New" w:hAnsi="Courier New"/>
                <w:sz w:val="18"/>
                <w:szCs w:val="18"/>
                <w:color w:val="auto"/>
              </w:rPr>
              <w:t>Six Months Ended</w:t>
            </w:r>
          </w:p>
        </w:tc>
      </w:tr>
      <w:tr>
        <w:trPr>
          <w:trHeight w:val="203"/>
        </w:trPr>
        <w:tc>
          <w:tcPr>
            <w:tcW w:w="2040" w:type="dxa"/>
            <w:vAlign w:val="bottom"/>
          </w:tcPr>
          <w:p>
            <w:pPr>
              <w:spacing w:after="0"/>
              <w:rPr>
                <w:sz w:val="17"/>
                <w:szCs w:val="17"/>
                <w:color w:val="auto"/>
              </w:rPr>
            </w:pPr>
          </w:p>
        </w:tc>
        <w:tc>
          <w:tcPr>
            <w:tcW w:w="26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8"/>
              </w:rPr>
              <w:t>------------------------</w:t>
            </w:r>
          </w:p>
        </w:tc>
        <w:tc>
          <w:tcPr>
            <w:tcW w:w="25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8"/>
              </w:rPr>
              <w:t>------------------------</w:t>
            </w:r>
          </w:p>
        </w:tc>
      </w:tr>
      <w:tr>
        <w:trPr>
          <w:trHeight w:val="203"/>
        </w:trPr>
        <w:tc>
          <w:tcPr>
            <w:tcW w:w="2040" w:type="dxa"/>
            <w:vAlign w:val="bottom"/>
          </w:tcPr>
          <w:p>
            <w:pPr>
              <w:spacing w:after="0"/>
              <w:rPr>
                <w:sz w:val="17"/>
                <w:szCs w:val="17"/>
                <w:color w:val="auto"/>
              </w:rPr>
            </w:pPr>
          </w:p>
        </w:tc>
        <w:tc>
          <w:tcPr>
            <w:tcW w:w="9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1994</w:t>
            </w:r>
          </w:p>
        </w:tc>
        <w:tc>
          <w:tcPr>
            <w:tcW w:w="17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6"/>
              </w:rPr>
              <w:t>% Change  1993</w:t>
            </w:r>
          </w:p>
        </w:tc>
        <w:tc>
          <w:tcPr>
            <w:tcW w:w="9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1994</w:t>
            </w:r>
          </w:p>
        </w:tc>
        <w:tc>
          <w:tcPr>
            <w:tcW w:w="16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5"/>
              </w:rPr>
              <w:t>% Change  1993</w:t>
            </w:r>
          </w:p>
        </w:tc>
      </w:tr>
      <w:tr>
        <w:trPr>
          <w:trHeight w:val="203"/>
        </w:trPr>
        <w:tc>
          <w:tcPr>
            <w:tcW w:w="2040" w:type="dxa"/>
            <w:vAlign w:val="bottom"/>
          </w:tcPr>
          <w:p>
            <w:pPr>
              <w:spacing w:after="0"/>
              <w:rPr>
                <w:sz w:val="17"/>
                <w:szCs w:val="17"/>
                <w:color w:val="auto"/>
              </w:rPr>
            </w:pPr>
          </w:p>
        </w:tc>
        <w:tc>
          <w:tcPr>
            <w:tcW w:w="26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8"/>
              </w:rPr>
              <w:t>------------------------</w:t>
            </w:r>
          </w:p>
        </w:tc>
        <w:tc>
          <w:tcPr>
            <w:tcW w:w="25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8"/>
              </w:rPr>
              <w:t>------------------------</w:t>
            </w:r>
          </w:p>
        </w:tc>
      </w:tr>
      <w:tr>
        <w:trPr>
          <w:trHeight w:val="405"/>
        </w:trPr>
        <w:tc>
          <w:tcPr>
            <w:tcW w:w="2040" w:type="dxa"/>
            <w:vAlign w:val="bottom"/>
          </w:tcPr>
          <w:p>
            <w:pPr>
              <w:spacing w:after="0"/>
              <w:rPr>
                <w:sz w:val="20"/>
                <w:szCs w:val="20"/>
                <w:color w:val="auto"/>
              </w:rPr>
            </w:pPr>
            <w:r>
              <w:rPr>
                <w:rFonts w:ascii="Courier New" w:cs="Courier New" w:eastAsia="Courier New" w:hAnsi="Courier New"/>
                <w:sz w:val="18"/>
                <w:szCs w:val="18"/>
                <w:color w:val="auto"/>
              </w:rPr>
              <w:t>Research and</w:t>
            </w:r>
          </w:p>
        </w:tc>
        <w:tc>
          <w:tcPr>
            <w:tcW w:w="9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203"/>
        </w:trPr>
        <w:tc>
          <w:tcPr>
            <w:tcW w:w="20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development</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$ 18,714</w:t>
            </w:r>
          </w:p>
        </w:tc>
        <w:tc>
          <w:tcPr>
            <w:tcW w:w="1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35.0% $ 13,861</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$ 33,048</w:t>
            </w:r>
          </w:p>
        </w:tc>
        <w:tc>
          <w:tcPr>
            <w:tcW w:w="1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29.6% $ 25,496</w:t>
            </w:r>
          </w:p>
        </w:tc>
      </w:tr>
      <w:tr>
        <w:trPr>
          <w:trHeight w:val="203"/>
        </w:trPr>
        <w:tc>
          <w:tcPr>
            <w:tcW w:w="204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as a % of net sales</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4.8%</w:t>
            </w:r>
          </w:p>
        </w:tc>
        <w:tc>
          <w:tcPr>
            <w:tcW w:w="1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7.9%</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4.7%</w:t>
            </w:r>
          </w:p>
        </w:tc>
        <w:tc>
          <w:tcPr>
            <w:tcW w:w="1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8.3%</w:t>
            </w:r>
          </w:p>
        </w:tc>
      </w:tr>
    </w:tbl>
    <w:p>
      <w:pPr>
        <w:spacing w:after="0" w:line="200" w:lineRule="exact"/>
        <w:rPr>
          <w:sz w:val="20"/>
          <w:szCs w:val="20"/>
          <w:color w:val="auto"/>
        </w:rPr>
      </w:pPr>
    </w:p>
    <w:p>
      <w:pPr>
        <w:spacing w:after="0" w:line="209" w:lineRule="exact"/>
        <w:rPr>
          <w:sz w:val="20"/>
          <w:szCs w:val="20"/>
          <w:color w:val="auto"/>
        </w:rPr>
      </w:pPr>
    </w:p>
    <w:p>
      <w:pPr>
        <w:ind w:right="2099" w:firstLine="527"/>
        <w:spacing w:after="0" w:line="269" w:lineRule="auto"/>
        <w:rPr>
          <w:sz w:val="20"/>
          <w:szCs w:val="20"/>
          <w:color w:val="auto"/>
        </w:rPr>
      </w:pPr>
      <w:r>
        <w:rPr>
          <w:rFonts w:ascii="Courier New" w:cs="Courier New" w:eastAsia="Courier New" w:hAnsi="Courier New"/>
          <w:sz w:val="16"/>
          <w:szCs w:val="16"/>
          <w:color w:val="auto"/>
        </w:rPr>
        <w:t>Research and development expenses, which vary primarily with the number of wafers and personnel dedicated to new product and process development, increased in absolute dollars while decreasing as a percentage of net sales for the second quarter and first six months of 1994 compared to the corresponding periods of 1993. Efforts in the current quarter were focused primarily on development of the 16 Meg DRAM, and design and development of the 64 Meg DRAM, and of the 4 Meg and 16 Meg SRAMs. Development of VRAMs beyond the company's current 2 Meg generation has been terminated as the company pursues more cost-effective alternatives for graphics applications. The company expects that the absolute level of research and development expenses for fiscal 1994 will be higher than fiscal 1993 as additional resources are dedicated to development of the 16 Meg DRAM and design and development of the 64 Meg DRAMs as well as design and development of radio frequency identification products, non-volatile semiconductor memory devices, and new technologies relating to field emission flat panel displays.</w:t>
      </w:r>
    </w:p>
    <w:p>
      <w:pPr>
        <w:spacing w:after="0" w:line="396" w:lineRule="exact"/>
        <w:rPr>
          <w:sz w:val="20"/>
          <w:szCs w:val="20"/>
          <w:color w:val="auto"/>
        </w:rPr>
      </w:pPr>
    </w:p>
    <w:p>
      <w:pPr>
        <w:ind w:right="2099" w:firstLine="527"/>
        <w:spacing w:after="0" w:line="268" w:lineRule="auto"/>
        <w:rPr>
          <w:sz w:val="20"/>
          <w:szCs w:val="20"/>
          <w:color w:val="auto"/>
        </w:rPr>
      </w:pPr>
      <w:r>
        <w:rPr>
          <w:rFonts w:ascii="Courier New" w:cs="Courier New" w:eastAsia="Courier New" w:hAnsi="Courier New"/>
          <w:sz w:val="16"/>
          <w:szCs w:val="16"/>
          <w:color w:val="auto"/>
        </w:rPr>
        <w:t>The company has begun to produce a limited number of 16 Meg DRAMs in a 400 mil package and is continuing to develop a reduced die size 16 Meg DRAM in a 300 mil package. The company expects that the 300 mil device will become the industry's primary 16 Meg product.</w:t>
      </w:r>
    </w:p>
    <w:p>
      <w:pPr>
        <w:spacing w:after="0" w:line="1" w:lineRule="exact"/>
        <w:rPr>
          <w:sz w:val="20"/>
          <w:szCs w:val="20"/>
          <w:color w:val="auto"/>
        </w:rPr>
      </w:pPr>
    </w:p>
    <w:p>
      <w:pPr>
        <w:ind w:right="2099"/>
        <w:spacing w:after="0" w:line="236" w:lineRule="auto"/>
        <w:rPr>
          <w:sz w:val="20"/>
          <w:szCs w:val="20"/>
          <w:color w:val="auto"/>
        </w:rPr>
      </w:pPr>
      <w:r>
        <w:rPr>
          <w:rFonts w:ascii="Courier New" w:cs="Courier New" w:eastAsia="Courier New" w:hAnsi="Courier New"/>
          <w:sz w:val="18"/>
          <w:szCs w:val="18"/>
          <w:color w:val="auto"/>
        </w:rPr>
        <w:t>Future results of operations may be adversely impacted if the company is unable to transition to these products in commercial volume in a timely fashion.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620" w:type="dxa"/>
            <w:vAlign w:val="bottom"/>
          </w:tcPr>
          <w:p>
            <w:pPr>
              <w:spacing w:after="0"/>
              <w:rPr>
                <w:sz w:val="17"/>
                <w:szCs w:val="17"/>
                <w:color w:val="auto"/>
              </w:rPr>
            </w:pPr>
          </w:p>
        </w:tc>
        <w:tc>
          <w:tcPr>
            <w:tcW w:w="3060" w:type="dxa"/>
            <w:vAlign w:val="bottom"/>
            <w:gridSpan w:val="3"/>
          </w:tcPr>
          <w:p>
            <w:pPr>
              <w:jc w:val="center"/>
              <w:ind w:left="332"/>
              <w:spacing w:after="0"/>
              <w:rPr>
                <w:sz w:val="20"/>
                <w:szCs w:val="20"/>
                <w:color w:val="auto"/>
              </w:rPr>
            </w:pPr>
            <w:r>
              <w:rPr>
                <w:rFonts w:ascii="Courier New" w:cs="Courier New" w:eastAsia="Courier New" w:hAnsi="Courier New"/>
                <w:sz w:val="18"/>
                <w:szCs w:val="18"/>
                <w:color w:val="auto"/>
                <w:w w:val="97"/>
              </w:rPr>
              <w:t>Second Quarter</w:t>
            </w:r>
          </w:p>
        </w:tc>
        <w:tc>
          <w:tcPr>
            <w:tcW w:w="2580" w:type="dxa"/>
            <w:vAlign w:val="bottom"/>
            <w:gridSpan w:val="3"/>
          </w:tcPr>
          <w:p>
            <w:pPr>
              <w:jc w:val="right"/>
              <w:ind w:right="332"/>
              <w:spacing w:after="0"/>
              <w:rPr>
                <w:sz w:val="20"/>
                <w:szCs w:val="20"/>
                <w:color w:val="auto"/>
              </w:rPr>
            </w:pPr>
            <w:r>
              <w:rPr>
                <w:rFonts w:ascii="Courier New" w:cs="Courier New" w:eastAsia="Courier New" w:hAnsi="Courier New"/>
                <w:sz w:val="18"/>
                <w:szCs w:val="18"/>
                <w:color w:val="auto"/>
              </w:rPr>
              <w:t>Six Months Ended</w:t>
            </w:r>
          </w:p>
        </w:tc>
      </w:tr>
      <w:tr>
        <w:trPr>
          <w:trHeight w:val="203"/>
        </w:trPr>
        <w:tc>
          <w:tcPr>
            <w:tcW w:w="1620" w:type="dxa"/>
            <w:vAlign w:val="bottom"/>
          </w:tcPr>
          <w:p>
            <w:pPr>
              <w:spacing w:after="0"/>
              <w:rPr>
                <w:sz w:val="17"/>
                <w:szCs w:val="17"/>
                <w:color w:val="auto"/>
              </w:rPr>
            </w:pPr>
          </w:p>
        </w:tc>
        <w:tc>
          <w:tcPr>
            <w:tcW w:w="232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w w:val="70"/>
              </w:rPr>
              <w:t>------------------------</w:t>
            </w:r>
          </w:p>
        </w:tc>
        <w:tc>
          <w:tcPr>
            <w:tcW w:w="740" w:type="dxa"/>
            <w:vAlign w:val="bottom"/>
          </w:tcPr>
          <w:p>
            <w:pPr>
              <w:spacing w:after="0"/>
              <w:rPr>
                <w:sz w:val="17"/>
                <w:szCs w:val="17"/>
                <w:color w:val="auto"/>
              </w:rPr>
            </w:pPr>
          </w:p>
        </w:tc>
        <w:tc>
          <w:tcPr>
            <w:tcW w:w="258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8"/>
              </w:rPr>
              <w:t>------------------------</w:t>
            </w:r>
          </w:p>
        </w:tc>
      </w:tr>
      <w:tr>
        <w:trPr>
          <w:trHeight w:val="203"/>
        </w:trPr>
        <w:tc>
          <w:tcPr>
            <w:tcW w:w="1620" w:type="dxa"/>
            <w:vAlign w:val="bottom"/>
          </w:tcPr>
          <w:p>
            <w:pPr>
              <w:spacing w:after="0"/>
              <w:rPr>
                <w:sz w:val="17"/>
                <w:szCs w:val="17"/>
                <w:color w:val="auto"/>
              </w:rPr>
            </w:pPr>
          </w:p>
        </w:tc>
        <w:tc>
          <w:tcPr>
            <w:tcW w:w="13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1994</w:t>
            </w:r>
          </w:p>
        </w:tc>
        <w:tc>
          <w:tcPr>
            <w:tcW w:w="100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w w:val="97"/>
              </w:rPr>
              <w:t>% Change</w:t>
            </w:r>
          </w:p>
        </w:tc>
        <w:tc>
          <w:tcPr>
            <w:tcW w:w="7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1993</w:t>
            </w:r>
          </w:p>
        </w:tc>
        <w:tc>
          <w:tcPr>
            <w:tcW w:w="9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1994</w:t>
            </w:r>
          </w:p>
        </w:tc>
        <w:tc>
          <w:tcPr>
            <w:tcW w:w="8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 Change</w:t>
            </w:r>
          </w:p>
        </w:tc>
        <w:tc>
          <w:tcPr>
            <w:tcW w:w="8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1993</w:t>
            </w:r>
          </w:p>
        </w:tc>
      </w:tr>
      <w:tr>
        <w:trPr>
          <w:trHeight w:val="203"/>
        </w:trPr>
        <w:tc>
          <w:tcPr>
            <w:tcW w:w="1620" w:type="dxa"/>
            <w:vAlign w:val="bottom"/>
          </w:tcPr>
          <w:p>
            <w:pPr>
              <w:spacing w:after="0"/>
              <w:rPr>
                <w:sz w:val="17"/>
                <w:szCs w:val="17"/>
                <w:color w:val="auto"/>
              </w:rPr>
            </w:pPr>
          </w:p>
        </w:tc>
        <w:tc>
          <w:tcPr>
            <w:tcW w:w="232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w w:val="70"/>
              </w:rPr>
              <w:t>------------------------</w:t>
            </w:r>
          </w:p>
        </w:tc>
        <w:tc>
          <w:tcPr>
            <w:tcW w:w="740" w:type="dxa"/>
            <w:vAlign w:val="bottom"/>
          </w:tcPr>
          <w:p>
            <w:pPr>
              <w:spacing w:after="0"/>
              <w:rPr>
                <w:sz w:val="17"/>
                <w:szCs w:val="17"/>
                <w:color w:val="auto"/>
              </w:rPr>
            </w:pPr>
          </w:p>
        </w:tc>
        <w:tc>
          <w:tcPr>
            <w:tcW w:w="258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8"/>
              </w:rPr>
              <w:t>------------------------</w:t>
            </w:r>
          </w:p>
        </w:tc>
      </w:tr>
      <w:tr>
        <w:trPr>
          <w:trHeight w:val="405"/>
        </w:trPr>
        <w:tc>
          <w:tcPr>
            <w:tcW w:w="1620" w:type="dxa"/>
            <w:vAlign w:val="bottom"/>
          </w:tcPr>
          <w:p>
            <w:pPr>
              <w:spacing w:after="0"/>
              <w:rPr>
                <w:sz w:val="20"/>
                <w:szCs w:val="20"/>
                <w:color w:val="auto"/>
              </w:rPr>
            </w:pPr>
            <w:r>
              <w:rPr>
                <w:rFonts w:ascii="Courier New" w:cs="Courier New" w:eastAsia="Courier New" w:hAnsi="Courier New"/>
                <w:sz w:val="18"/>
                <w:szCs w:val="18"/>
                <w:color w:val="auto"/>
              </w:rPr>
              <w:t>Income tax</w:t>
            </w:r>
          </w:p>
        </w:tc>
        <w:tc>
          <w:tcPr>
            <w:tcW w:w="1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03"/>
        </w:trPr>
        <w:tc>
          <w:tcPr>
            <w:tcW w:w="16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provision</w:t>
            </w:r>
          </w:p>
        </w:tc>
        <w:tc>
          <w:tcPr>
            <w:tcW w:w="132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w w:val="94"/>
              </w:rPr>
              <w:t>$ 48,800</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860% $</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5,082</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$ 86,799</w:t>
            </w:r>
          </w:p>
        </w:tc>
        <w:tc>
          <w:tcPr>
            <w:tcW w:w="8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1,215%</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$ 6,599</w:t>
            </w:r>
          </w:p>
        </w:tc>
      </w:tr>
    </w:tbl>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Effective September 3, 1993, the company adopted Statement of Financial Accounting Standards (SFAS) No. 109, "Accounting for Income Taxes." Adoption of SFAS No. 109 did not have a material effect on the company's financial position or results of operations. The effective tax rate for the second quarter and first six months of 1994 and 1993 was 36%.</w:t>
      </w:r>
    </w:p>
    <w:p>
      <w:pPr>
        <w:spacing w:after="0" w:line="2"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13</w:t>
      </w:r>
    </w:p>
    <w:p>
      <w:pPr>
        <w:sectPr>
          <w:pgSz w:w="11900" w:h="16838" w:orient="portrait"/>
          <w:cols w:equalWidth="0" w:num="1">
            <w:col w:w="9359"/>
          </w:cols>
          <w:pgMar w:left="1100" w:top="1122" w:right="1440" w:bottom="1440" w:gutter="0" w:footer="0" w:header="0"/>
        </w:sectPr>
      </w:pPr>
    </w:p>
    <w:bookmarkStart w:id="14" w:name="page15"/>
    <w:bookmarkEnd w:id="14"/>
    <w:p>
      <w:pPr>
        <w:spacing w:after="0"/>
        <w:rPr>
          <w:sz w:val="20"/>
          <w:szCs w:val="20"/>
          <w:color w:val="auto"/>
        </w:rPr>
      </w:pPr>
      <w:r>
        <w:rPr>
          <w:rFonts w:ascii="Courier New" w:cs="Courier New" w:eastAsia="Courier New" w:hAnsi="Courier New"/>
          <w:sz w:val="18"/>
          <w:szCs w:val="18"/>
          <w:color w:val="auto"/>
        </w:rPr>
        <w:t>Liquidity and Capital Resources</w:t>
      </w:r>
    </w:p>
    <w:p>
      <w:pPr>
        <w:spacing w:after="0" w:line="207" w:lineRule="exact"/>
        <w:rPr>
          <w:sz w:val="20"/>
          <w:szCs w:val="20"/>
          <w:color w:val="auto"/>
        </w:rPr>
      </w:pPr>
    </w:p>
    <w:p>
      <w:pPr>
        <w:ind w:right="2099" w:firstLine="527"/>
        <w:spacing w:after="0" w:line="238" w:lineRule="auto"/>
        <w:rPr>
          <w:sz w:val="20"/>
          <w:szCs w:val="20"/>
          <w:color w:val="auto"/>
        </w:rPr>
      </w:pPr>
      <w:r>
        <w:rPr>
          <w:rFonts w:ascii="Courier New" w:cs="Courier New" w:eastAsia="Courier New" w:hAnsi="Courier New"/>
          <w:sz w:val="18"/>
          <w:szCs w:val="18"/>
          <w:color w:val="auto"/>
        </w:rPr>
        <w:t>The company had cash and liquid investments of $223.2 million at March 3, 1994, representing an increase of $37.4 million during the first six months of 1994. The company's principal sources of liquidity during the first six months of 1994 were cash flows from operations of $229.3 million, equipment financing of $57.0 million, long-term debt of $20.3 million, and proceeds of $6.8 million from the issuance of common stock in connection with the company's employee stock purchase and stock option plans. The principal uses of funds in the first six months of 1994 were $106.7 million for property, plant, and equipment expenditures, $62.5 million for payments on equipment contracts, $37.5 million for payments on long-term debt, and $10.0 million for acquisition of product and process technology.</w:t>
      </w:r>
    </w:p>
    <w:p>
      <w:pPr>
        <w:spacing w:after="0" w:line="207" w:lineRule="exact"/>
        <w:rPr>
          <w:sz w:val="20"/>
          <w:szCs w:val="20"/>
          <w:color w:val="auto"/>
        </w:rPr>
      </w:pPr>
    </w:p>
    <w:p>
      <w:pPr>
        <w:ind w:right="2099" w:firstLine="527"/>
        <w:spacing w:after="0" w:line="238" w:lineRule="auto"/>
        <w:rPr>
          <w:sz w:val="20"/>
          <w:szCs w:val="20"/>
          <w:color w:val="auto"/>
        </w:rPr>
      </w:pPr>
      <w:r>
        <w:rPr>
          <w:rFonts w:ascii="Courier New" w:cs="Courier New" w:eastAsia="Courier New" w:hAnsi="Courier New"/>
          <w:sz w:val="18"/>
          <w:szCs w:val="18"/>
          <w:color w:val="auto"/>
        </w:rPr>
        <w:t>On March 9, 1994, the company entered into a patent cross-license agreement with Texas Instruments Incorporated ("TI"). As a result of this agreement, the various lawsuits between the Micron Semiconductor, Inc., and TI in Idaho, Texas, and Delaware have been settled. Similar to a prior cross-license agreement between the parties which expired in 1992, the company will pay ongoing royalties to TI based on sales of DRAM and other semiconductor devices. The company has accrued a sufficient amount to pay the royalties related to sales for periods from expiration of the previous cross-license agreement to the date of the settlement. Royalties accrued from expiration of the prior cross-license to January 1, 1994, the effective date of the current agreement, will be paid in the third quarter of fiscal 1994.</w:t>
      </w:r>
    </w:p>
    <w:p>
      <w:pPr>
        <w:spacing w:after="0" w:line="207"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As of March 3, 1994, the company had commitments of approximately $165.1 million for equipment purchases and approximately $60.0 million for the construction of buildings. Anticipated capital expenditures include remodels and upgrades of existing fabrication facilities and equipment, and the construction of a central ion implant facility and an additional central utilities plant. Completion of these and future projects as currently anticipated will require substantial cash resources including significant payments out of the company's cash flow from operations for the current and upcoming fiscal year.</w:t>
      </w:r>
    </w:p>
    <w:p>
      <w:pPr>
        <w:spacing w:after="0" w:line="215" w:lineRule="exact"/>
        <w:rPr>
          <w:sz w:val="20"/>
          <w:szCs w:val="20"/>
          <w:color w:val="auto"/>
        </w:rPr>
      </w:pPr>
    </w:p>
    <w:p>
      <w:pPr>
        <w:ind w:right="2099" w:firstLine="527"/>
        <w:spacing w:after="0" w:line="238" w:lineRule="auto"/>
        <w:rPr>
          <w:sz w:val="20"/>
          <w:szCs w:val="20"/>
          <w:color w:val="auto"/>
        </w:rPr>
      </w:pPr>
      <w:r>
        <w:rPr>
          <w:rFonts w:ascii="Courier New" w:cs="Courier New" w:eastAsia="Courier New" w:hAnsi="Courier New"/>
          <w:sz w:val="18"/>
          <w:szCs w:val="18"/>
          <w:color w:val="auto"/>
        </w:rPr>
        <w:t>In the second quarter of fiscal 1994, the company revised its bank credit agreement to increase the number of banks from two to four, increase the total borrowings available, and to change the collateral pledged. The revised agreement provides for borrowings up to $120 million under a revolving loan expiring January 1997. All equipment, accounts receivable, and inventories of Micron Technology, Inc., and Micron Semiconductor, Inc., not otherwise pledged as collateral for other notes payable and capital leases are pledged as collateral under the agreement. The agreement restricts, except with prior approval, declaration and payment of cash dividends or repurchase of common stock to an amount not in excess of the greater of $3.0 million or 25% of net income earned after September 2, 1993, and contains working capital requirements and other covenants. As of March 3, 1994, the company had no borrowings outstanding under the agreement.</w:t>
      </w:r>
    </w:p>
    <w:p>
      <w:pPr>
        <w:ind w:left="3580"/>
        <w:spacing w:after="0"/>
        <w:rPr>
          <w:sz w:val="20"/>
          <w:szCs w:val="20"/>
          <w:color w:val="auto"/>
        </w:rPr>
      </w:pPr>
      <w:r>
        <w:rPr>
          <w:rFonts w:ascii="Courier New" w:cs="Courier New" w:eastAsia="Courier New" w:hAnsi="Courier New"/>
          <w:sz w:val="18"/>
          <w:szCs w:val="18"/>
          <w:color w:val="auto"/>
        </w:rPr>
        <w:t>14</w:t>
      </w:r>
    </w:p>
    <w:p>
      <w:pPr>
        <w:sectPr>
          <w:pgSz w:w="11900" w:h="16838" w:orient="portrait"/>
          <w:cols w:equalWidth="0" w:num="1">
            <w:col w:w="9359"/>
          </w:cols>
          <w:pgMar w:left="1100" w:top="717" w:right="1440" w:bottom="1440" w:gutter="0" w:footer="0" w:header="0"/>
        </w:sectPr>
      </w:pPr>
    </w:p>
    <w:bookmarkStart w:id="15" w:name="page16"/>
    <w:bookmarkEnd w:id="15"/>
    <w:p>
      <w:pPr>
        <w:ind w:right="2199" w:firstLine="527"/>
        <w:spacing w:after="0" w:line="270" w:lineRule="auto"/>
        <w:rPr>
          <w:sz w:val="20"/>
          <w:szCs w:val="20"/>
          <w:color w:val="auto"/>
        </w:rPr>
      </w:pPr>
      <w:r>
        <w:rPr>
          <w:rFonts w:ascii="Courier New" w:cs="Courier New" w:eastAsia="Courier New" w:hAnsi="Courier New"/>
          <w:sz w:val="16"/>
          <w:szCs w:val="16"/>
          <w:color w:val="auto"/>
        </w:rPr>
        <w:t>The company believes continuing investments in manufacturing technology, capital equipment, research and development, and product and process technology are necessary to support future growth, achieve operating efficiencies, and maintain product quality. Although external sources of cash have been required historically to supplement the company's cash flows from operations to fund these ongoing investments, the company currently expects that it will be able to fund its near-term liquidity needs through cash flows from operations, existing cash and liquid investment balances, and equipment financings. Depending on overall market conditions, the company may borrow amounts available under the bank credit agreement or pursue other external sources of liquidity.</w:t>
      </w:r>
    </w:p>
    <w:p>
      <w:pPr>
        <w:spacing w:after="0" w:line="38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Certain Factors</w:t>
      </w:r>
    </w:p>
    <w:p>
      <w:pPr>
        <w:spacing w:after="0" w:line="207" w:lineRule="exact"/>
        <w:rPr>
          <w:sz w:val="20"/>
          <w:szCs w:val="20"/>
          <w:color w:val="auto"/>
        </w:rPr>
      </w:pPr>
    </w:p>
    <w:p>
      <w:pPr>
        <w:ind w:right="2099" w:firstLine="527"/>
        <w:spacing w:after="0" w:line="238" w:lineRule="auto"/>
        <w:rPr>
          <w:sz w:val="20"/>
          <w:szCs w:val="20"/>
          <w:color w:val="auto"/>
        </w:rPr>
      </w:pPr>
      <w:r>
        <w:rPr>
          <w:rFonts w:ascii="Courier New" w:cs="Courier New" w:eastAsia="Courier New" w:hAnsi="Courier New"/>
          <w:sz w:val="18"/>
          <w:szCs w:val="18"/>
          <w:color w:val="auto"/>
        </w:rPr>
        <w:t>The semiconductor memory industry is characterized by rapid technological change, frequent product introductions and enhancements, difficult product transitions, relatively short product life cycles, and volatile market conditions as evidenced by significantly fluctuating product pricing. These circumstances historically have made the semiconductor industry highly cyclical, particularly in the market for DRAMs and SRAMs, which are the company's primary products. The company has recently benefited from supply and demand relationships resulting in favorable pricing and increased volume for the company's products. However, the company expects product pricing to return to the long-term historical declining trend line at some point in the future. The company experiences intense competition from a number of substantially larger foreign and domestic companies, which are reportedly adding significant semiconductor manufacturing capacity. Several of these new facilities use 8-inch wafers which contain greater than 70% more surface area than the company's exclusively used 6-inch wafer facility. Use of 8-inch wafers could result in a comparative cost advantage. A substantial increase in overall industry production capacity, adverse market conditions, and currency fluctuations resulting in a strengthening dollar against the yen, could result in downward pricing pressure. A decline in the current favorable product pricing could have a material adverse effect on the company's results of operations. Historically, severe downward movements in product pricing have resulted in decreases in the market value for the company's stock.</w:t>
      </w:r>
    </w:p>
    <w:p>
      <w:pPr>
        <w:spacing w:after="0" w:line="212" w:lineRule="exact"/>
        <w:rPr>
          <w:sz w:val="20"/>
          <w:szCs w:val="20"/>
          <w:color w:val="auto"/>
        </w:rPr>
      </w:pPr>
    </w:p>
    <w:p>
      <w:pPr>
        <w:ind w:right="2099" w:firstLine="527"/>
        <w:spacing w:after="0" w:line="238" w:lineRule="auto"/>
        <w:rPr>
          <w:sz w:val="20"/>
          <w:szCs w:val="20"/>
          <w:color w:val="auto"/>
        </w:rPr>
      </w:pPr>
      <w:r>
        <w:rPr>
          <w:rFonts w:ascii="Courier New" w:cs="Courier New" w:eastAsia="Courier New" w:hAnsi="Courier New"/>
          <w:sz w:val="18"/>
          <w:szCs w:val="18"/>
          <w:color w:val="auto"/>
        </w:rPr>
        <w:t>The manufacture of the company's products is a complex process and involves a number of precise steps, including wafer fabrication, assembly in a variety of packages, burn-in, and final test. From time to time, the company has experienced volatility in its manufacturing yields, as it is not unusual to encounter difficulties in ramping shrink versions of existing devices or new generation devices to commercial volumes. The company's net sales and operating results are highly dependent on increasing yields at an acceptable rate and to an acceptable level, of which there can be no assurance. Future results of operations may be adversely impacted if the company is unable to transition to future generation products in a timely fashion.</w:t>
      </w:r>
    </w:p>
    <w:p>
      <w:pPr>
        <w:spacing w:after="0" w:line="201"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15</w:t>
      </w:r>
    </w:p>
    <w:p>
      <w:pPr>
        <w:sectPr>
          <w:pgSz w:w="11900" w:h="16838" w:orient="portrait"/>
          <w:cols w:equalWidth="0" w:num="1">
            <w:col w:w="9359"/>
          </w:cols>
          <w:pgMar w:left="1100" w:top="520" w:right="1440" w:bottom="1440" w:gutter="0" w:footer="0" w:header="0"/>
        </w:sectPr>
      </w:pPr>
    </w:p>
    <w:bookmarkStart w:id="16" w:name="page17"/>
    <w:bookmarkEnd w:id="16"/>
    <w:p>
      <w:pPr>
        <w:ind w:right="2099" w:firstLine="527"/>
        <w:spacing w:after="0" w:line="270" w:lineRule="auto"/>
        <w:rPr>
          <w:sz w:val="20"/>
          <w:szCs w:val="20"/>
          <w:color w:val="auto"/>
        </w:rPr>
      </w:pPr>
      <w:r>
        <w:rPr>
          <w:rFonts w:ascii="Courier New" w:cs="Courier New" w:eastAsia="Courier New" w:hAnsi="Courier New"/>
          <w:sz w:val="16"/>
          <w:szCs w:val="16"/>
          <w:color w:val="auto"/>
        </w:rPr>
        <w:t>Periodically, the company is made aware that technology used by the company in the manufacture of some or all of its products may infringe on product or process technology rights held by others. The company has accrued a liability and charged operations for the estimated costs of settlement or adjudication of asserted and unasserted claims for infringement prior to the balance sheet date. Management can give no assurance that the amounts accrued have been adequate and cannot estimate the range of additional possible loss, if any, from resolution of these uncertainties. Resolution of whether the company's manufacture of products has infringed on valid rights held by others may have a material adverse effect on the company's financial position or results of operations, and may require material changes in production processes and products.</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16</w:t>
      </w:r>
    </w:p>
    <w:p>
      <w:pPr>
        <w:sectPr>
          <w:pgSz w:w="11900" w:h="16838" w:orient="portrait"/>
          <w:cols w:equalWidth="0" w:num="1">
            <w:col w:w="9359"/>
          </w:cols>
          <w:pgMar w:left="1100" w:top="520" w:right="1440" w:bottom="1440" w:gutter="0" w:footer="0" w:header="0"/>
        </w:sectPr>
      </w:pPr>
    </w:p>
    <w:bookmarkStart w:id="17" w:name="page18"/>
    <w:bookmarkEnd w:id="17"/>
    <w:p>
      <w:pPr>
        <w:ind w:left="2200"/>
        <w:spacing w:after="0"/>
        <w:tabs>
          <w:tab w:leader="none" w:pos="3240" w:val="left"/>
        </w:tabs>
        <w:rPr>
          <w:sz w:val="20"/>
          <w:szCs w:val="20"/>
          <w:color w:val="auto"/>
        </w:rPr>
      </w:pPr>
      <w:r>
        <w:rPr>
          <w:rFonts w:ascii="Courier New" w:cs="Courier New" w:eastAsia="Courier New" w:hAnsi="Courier New"/>
          <w:sz w:val="18"/>
          <w:szCs w:val="18"/>
          <w:color w:val="auto"/>
        </w:rPr>
        <w:t>Part II.</w:t>
      </w:r>
      <w:r>
        <w:rPr>
          <w:sz w:val="20"/>
          <w:szCs w:val="20"/>
          <w:color w:val="auto"/>
        </w:rPr>
        <w:tab/>
      </w:r>
      <w:r>
        <w:rPr>
          <w:rFonts w:ascii="Courier New" w:cs="Courier New" w:eastAsia="Courier New" w:hAnsi="Courier New"/>
          <w:sz w:val="16"/>
          <w:szCs w:val="16"/>
          <w:color w:val="auto"/>
        </w:rPr>
        <w:t>OTHER INFORMATION</w:t>
      </w:r>
    </w:p>
    <w:p>
      <w:pPr>
        <w:spacing w:after="0" w:line="200" w:lineRule="exact"/>
        <w:rPr>
          <w:sz w:val="20"/>
          <w:szCs w:val="20"/>
          <w:color w:val="auto"/>
        </w:rPr>
      </w:pPr>
    </w:p>
    <w:p>
      <w:pPr>
        <w:spacing w:after="0" w:line="204" w:lineRule="exact"/>
        <w:rPr>
          <w:sz w:val="20"/>
          <w:szCs w:val="20"/>
          <w:color w:val="auto"/>
        </w:rPr>
      </w:pPr>
    </w:p>
    <w:p>
      <w:pPr>
        <w:spacing w:after="0"/>
        <w:tabs>
          <w:tab w:leader="none" w:pos="920" w:val="left"/>
        </w:tabs>
        <w:rPr>
          <w:sz w:val="20"/>
          <w:szCs w:val="20"/>
          <w:color w:val="auto"/>
        </w:rPr>
      </w:pPr>
      <w:r>
        <w:rPr>
          <w:rFonts w:ascii="Courier New" w:cs="Courier New" w:eastAsia="Courier New" w:hAnsi="Courier New"/>
          <w:sz w:val="18"/>
          <w:szCs w:val="18"/>
          <w:color w:val="auto"/>
        </w:rPr>
        <w:t>Item 1.</w:t>
      </w:r>
      <w:r>
        <w:rPr>
          <w:sz w:val="20"/>
          <w:szCs w:val="20"/>
          <w:color w:val="auto"/>
        </w:rPr>
        <w:tab/>
      </w:r>
      <w:r>
        <w:rPr>
          <w:rFonts w:ascii="Courier New" w:cs="Courier New" w:eastAsia="Courier New" w:hAnsi="Courier New"/>
          <w:sz w:val="16"/>
          <w:szCs w:val="16"/>
          <w:color w:val="auto"/>
        </w:rPr>
        <w:t>Legal Proceedings</w:t>
      </w:r>
    </w:p>
    <w:p>
      <w:pPr>
        <w:spacing w:after="0" w:line="200" w:lineRule="exact"/>
        <w:rPr>
          <w:sz w:val="20"/>
          <w:szCs w:val="20"/>
          <w:color w:val="auto"/>
        </w:rPr>
      </w:pPr>
    </w:p>
    <w:p>
      <w:pPr>
        <w:spacing w:after="0" w:line="209" w:lineRule="exact"/>
        <w:rPr>
          <w:sz w:val="20"/>
          <w:szCs w:val="20"/>
          <w:color w:val="auto"/>
        </w:rPr>
      </w:pPr>
    </w:p>
    <w:p>
      <w:pPr>
        <w:ind w:right="2099" w:firstLine="527"/>
        <w:spacing w:after="0" w:line="269" w:lineRule="auto"/>
        <w:rPr>
          <w:sz w:val="20"/>
          <w:szCs w:val="20"/>
          <w:color w:val="auto"/>
        </w:rPr>
      </w:pPr>
      <w:r>
        <w:rPr>
          <w:rFonts w:ascii="Courier New" w:cs="Courier New" w:eastAsia="Courier New" w:hAnsi="Courier New"/>
          <w:sz w:val="16"/>
          <w:szCs w:val="16"/>
          <w:color w:val="auto"/>
        </w:rPr>
        <w:t>Micron Technology, Inc.'s patent cross-license agreement with Texas Instruments, Inc. ("TI"), expired on September 3, 1992. Attempts to negotiate a new cross-license agreement on terms acceptable to the company were unsuccessful. On September 2, 1992, Micron Semiconductor, Inc. ("MSI"), filed suit against TI in the United States District Court for the District of Idaho to have thirty-nine TI patents declared invalid or not infringed. This suit was amended on September 4, 1992, to include a claim against TI for infringement of one of MSI's patents. TI counterclaimed for infringement of the thirty-nine TI patents for the period since the expiration of the cross-license. On September 25, 1992, TI instituted a suit against Micron Technology, Inc., MSI, Hyundai Electronics Industries, Co., Ltd., Hyundai Electronics America, Inc., and Nova Marketing Incorporated in the United States District Court for the Eastern District of Texas alleging infringement of two of TI's patents. That suit was stayed pending the outcome of the Idaho case. On October 1, 1992, TI filed an amended complaint (amending an earlier unserved complaint filed on September 3, 1992) against MSI in the United States District Court for the Northern District of Texas to have certain MSI patents declared invalid or not infringed. On June 16, 1993, the Court in that action transferred TI's suit to the United States District Court in Idaho. On May 5, 1993, TI filed an additional suit against MSI in the United States District Court for the Eastern District of Texas alleging infringement of three TI patents not previously cited in TI's earlier suits. On September 20, 1993, MSI filed a counterclaim alleging infringement by TI of one of MSI's patents. On December 20, 1993, MSI filed a motion to amend its counterclaim alleging infringement by TI of three additional MSI patents. Simultaneously, on December 20, 1993, MSI filed a complaint against TI in the United States District Court for the District of Delaware alleging infringement by TI of the same three patents.</w:t>
      </w:r>
    </w:p>
    <w:p>
      <w:pPr>
        <w:spacing w:after="0" w:line="389"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MSI's infringement suit against TI and TI's infringement suit against MSI sought injunctive relief, compensatory damages, including treble damages, and attorneys' fees and costs. On March 9, 1994, the company entered into a patent cross-license agreement with TI. As a result of this agreement, the various patent lawsuits between MSI and TI in Idaho, Texas, and Delaware have been settled and will be dismissed with prejudice as to all claims of both parties, with each party to pay its own fees and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17</w:t>
      </w:r>
    </w:p>
    <w:p>
      <w:pPr>
        <w:sectPr>
          <w:pgSz w:w="11900" w:h="16838" w:orient="portrait"/>
          <w:cols w:equalWidth="0" w:num="1">
            <w:col w:w="9359"/>
          </w:cols>
          <w:pgMar w:left="1100" w:top="1325" w:right="1440" w:bottom="1440" w:gutter="0" w:footer="0" w:header="0"/>
        </w:sectPr>
      </w:pPr>
    </w:p>
    <w:bookmarkStart w:id="18" w:name="page19"/>
    <w:bookmarkEnd w:id="18"/>
    <w:p>
      <w:pPr>
        <w:ind w:right="2099" w:firstLine="527"/>
        <w:spacing w:after="0" w:line="270" w:lineRule="auto"/>
        <w:rPr>
          <w:sz w:val="20"/>
          <w:szCs w:val="20"/>
          <w:color w:val="auto"/>
        </w:rPr>
      </w:pPr>
      <w:r>
        <w:rPr>
          <w:rFonts w:ascii="Courier New" w:cs="Courier New" w:eastAsia="Courier New" w:hAnsi="Courier New"/>
          <w:sz w:val="16"/>
          <w:szCs w:val="16"/>
          <w:color w:val="auto"/>
        </w:rPr>
        <w:t>On November 13, 1992, MSI filed a patent infringement action with the United States International Trade Commission ("ITC") against Hyundai Electronics Industries Co., Ltd., Hyundai Electronics America, Inc., Goldstar Electron Co., Ltd., and Goldstar Electron America, Inc. On June 2, 1993, Micron Technology, Inc., and Goldstar Electron Co., Ltd., entered into a cross-licensing agreement. As a result of this agreement, the ITC action against Goldstar Electron Co., Ltd., and Goldstar Electron America, Inc., was terminated on August 3, 1993. Trial for the ITC action against Hyundai Electronics Industries Co., Ltd., and Hyundai Electronics America, Inc., (together, "Hyundai") was held before the ITC administrative law judge. On February 3, 1994, the company entered into a cross-license agreement with Hyundai. As a result of this agreement, the ITC action against Hyundai was terminated on March 9, 1994.</w:t>
      </w:r>
    </w:p>
    <w:p>
      <w:pPr>
        <w:spacing w:after="0" w:line="388" w:lineRule="exact"/>
        <w:rPr>
          <w:sz w:val="20"/>
          <w:szCs w:val="20"/>
          <w:color w:val="auto"/>
        </w:rPr>
      </w:pPr>
    </w:p>
    <w:p>
      <w:pPr>
        <w:ind w:right="2319" w:firstLine="527"/>
        <w:spacing w:after="0" w:line="271" w:lineRule="auto"/>
        <w:rPr>
          <w:sz w:val="20"/>
          <w:szCs w:val="20"/>
          <w:color w:val="auto"/>
        </w:rPr>
      </w:pPr>
      <w:r>
        <w:rPr>
          <w:rFonts w:ascii="Courier New" w:cs="Courier New" w:eastAsia="Courier New" w:hAnsi="Courier New"/>
          <w:sz w:val="16"/>
          <w:szCs w:val="16"/>
          <w:color w:val="auto"/>
        </w:rPr>
        <w:t>On November 20, 1992, Thorn EMI North America, Inc., ("Thorn") filed suit against Micron Technology, Inc., and MSI in the United States District Court in the District of Delaware alleging infringement of four of Thorn's patents and seeking injunctive relief, compensatory damages, including treble damages, attorneys' fees, and costs. On December 4, 1993, the parties entered into a settlement agreement dismissing the lawsuit.</w:t>
      </w:r>
    </w:p>
    <w:p>
      <w:pPr>
        <w:spacing w:after="0" w:line="188" w:lineRule="exact"/>
        <w:rPr>
          <w:sz w:val="20"/>
          <w:szCs w:val="20"/>
          <w:color w:val="auto"/>
        </w:rPr>
      </w:pPr>
    </w:p>
    <w:p>
      <w:pPr>
        <w:jc w:val="both"/>
        <w:ind w:right="2319" w:firstLine="527"/>
        <w:spacing w:after="0" w:line="268" w:lineRule="auto"/>
        <w:rPr>
          <w:sz w:val="20"/>
          <w:szCs w:val="20"/>
          <w:color w:val="auto"/>
        </w:rPr>
      </w:pPr>
      <w:r>
        <w:rPr>
          <w:rFonts w:ascii="Courier New" w:cs="Courier New" w:eastAsia="Courier New" w:hAnsi="Courier New"/>
          <w:sz w:val="16"/>
          <w:szCs w:val="16"/>
          <w:color w:val="auto"/>
        </w:rPr>
        <w:t>A consolidated class action complaint was filed on January 18, 1990, in the United States District Court for the District of Idaho in substitution for five similar suits previously filed against the company and certain of its past and present officers and directors.</w:t>
      </w:r>
    </w:p>
    <w:p>
      <w:pPr>
        <w:spacing w:after="0" w:line="1" w:lineRule="exact"/>
        <w:rPr>
          <w:sz w:val="20"/>
          <w:szCs w:val="20"/>
          <w:color w:val="auto"/>
        </w:rPr>
      </w:pPr>
    </w:p>
    <w:p>
      <w:pPr>
        <w:ind w:right="2099"/>
        <w:spacing w:after="0" w:line="269" w:lineRule="auto"/>
        <w:rPr>
          <w:sz w:val="20"/>
          <w:szCs w:val="20"/>
          <w:color w:val="auto"/>
        </w:rPr>
      </w:pPr>
      <w:r>
        <w:rPr>
          <w:rFonts w:ascii="Courier New" w:cs="Courier New" w:eastAsia="Courier New" w:hAnsi="Courier New"/>
          <w:sz w:val="16"/>
          <w:szCs w:val="16"/>
          <w:color w:val="auto"/>
        </w:rPr>
        <w:t>The suit alleged federal securities law violations in connection with certain statements allegedly made by the company during the period from approximately December 1988 through September 1989 and claims of insider trading violations by certain past and present officers and directors, as well as pendant state law claims. On September 10, 1993, the court approved a settlement agreement between the parties providing for dismissal of the action with prejudice. Under the terms of the agreement, the company paid $6.0 million into a settlement fund on behalf of the plaintiff class. An intervening shareholder appealed the court's order approving the settlement alleging that the settlement was inadequate and that the attorney's fees charged to the class were excessive. The notice of appeal did not specify the basis for appeal, but the shareholder has now moved to dismiss the appeal voluntarily requesting that the court rule only on the issue of the objecting party's attorney fees. By the voluntary dismissal, the settlement is now final as to the company. The company filed a lawsuit on February 26, 1993, in the United States District Court for the District of Idaho against American Casualty Co. of Reading, Pennsylvania, the company's directors and officers liability insurance carrier ("American Casualty"), for the amount of the shareholders' suit settlement, plus attorney's fees and costs incurred in defending the class action. On March 1, 1994, the company and American Casualty entered into a settlement agreement.</w:t>
      </w:r>
    </w:p>
    <w:p>
      <w:pPr>
        <w:spacing w:after="0" w:line="393" w:lineRule="exact"/>
        <w:rPr>
          <w:sz w:val="20"/>
          <w:szCs w:val="20"/>
          <w:color w:val="auto"/>
        </w:rPr>
      </w:pPr>
    </w:p>
    <w:p>
      <w:pPr>
        <w:jc w:val="both"/>
        <w:ind w:right="2519"/>
        <w:spacing w:after="0" w:line="236" w:lineRule="auto"/>
        <w:rPr>
          <w:sz w:val="20"/>
          <w:szCs w:val="20"/>
          <w:color w:val="auto"/>
        </w:rPr>
      </w:pPr>
      <w:r>
        <w:rPr>
          <w:rFonts w:ascii="Courier New" w:cs="Courier New" w:eastAsia="Courier New" w:hAnsi="Courier New"/>
          <w:sz w:val="18"/>
          <w:szCs w:val="18"/>
          <w:color w:val="auto"/>
        </w:rPr>
        <w:t>As a result of this agreement, American Casualty paid the company $6.0 million and the suit was dismissed with prejudice, with each party paying its own fees and costs.</w:t>
      </w:r>
    </w:p>
    <w:p>
      <w:pPr>
        <w:spacing w:after="0" w:line="209" w:lineRule="exact"/>
        <w:rPr>
          <w:sz w:val="20"/>
          <w:szCs w:val="20"/>
          <w:color w:val="auto"/>
        </w:rPr>
      </w:pPr>
    </w:p>
    <w:p>
      <w:pPr>
        <w:ind w:right="2739" w:firstLine="527"/>
        <w:spacing w:after="0" w:line="237" w:lineRule="auto"/>
        <w:rPr>
          <w:sz w:val="20"/>
          <w:szCs w:val="20"/>
          <w:color w:val="auto"/>
        </w:rPr>
      </w:pPr>
      <w:r>
        <w:rPr>
          <w:rFonts w:ascii="Courier New" w:cs="Courier New" w:eastAsia="Courier New" w:hAnsi="Courier New"/>
          <w:sz w:val="18"/>
          <w:szCs w:val="18"/>
          <w:color w:val="auto"/>
        </w:rPr>
        <w:t>The company is also a party in various other legal actions arising out of the normal course of business, none of which is expected to have a material effect on the company's financial position or results of operations.</w:t>
      </w:r>
    </w:p>
    <w:p>
      <w:pPr>
        <w:spacing w:after="0" w:line="202"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18</w:t>
      </w:r>
    </w:p>
    <w:p>
      <w:pPr>
        <w:sectPr>
          <w:pgSz w:w="11900" w:h="16838" w:orient="portrait"/>
          <w:cols w:equalWidth="0" w:num="1">
            <w:col w:w="9359"/>
          </w:cols>
          <w:pgMar w:left="1100" w:top="1128" w:right="1440" w:bottom="1440" w:gutter="0" w:footer="0" w:header="0"/>
        </w:sectPr>
      </w:pPr>
    </w:p>
    <w:bookmarkStart w:id="19" w:name="page20"/>
    <w:bookmarkEnd w:id="19"/>
    <w:p>
      <w:pPr>
        <w:spacing w:after="0"/>
        <w:tabs>
          <w:tab w:leader="none" w:pos="92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Submission of Matters to a Vote of Security Holders.</w:t>
      </w:r>
    </w:p>
    <w:p>
      <w:pPr>
        <w:spacing w:after="0" w:line="207"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The Registrant's 1993 Annual Meeting of Shareholders was held on January 31, 1994 at the Registrant's corporate office. At the meeting, the following items were submitted to a vote of the shareholders. At the meeting, 40,264,436 shares were entitled to vote.</w:t>
      </w:r>
    </w:p>
    <w:p>
      <w:pPr>
        <w:spacing w:after="0" w:line="209" w:lineRule="exact"/>
        <w:rPr>
          <w:sz w:val="20"/>
          <w:szCs w:val="20"/>
          <w:color w:val="auto"/>
        </w:rPr>
      </w:pPr>
    </w:p>
    <w:p>
      <w:pPr>
        <w:ind w:right="2099" w:firstLine="517"/>
        <w:spacing w:after="0" w:line="237" w:lineRule="auto"/>
        <w:tabs>
          <w:tab w:leader="none" w:pos="1053"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following nominees for Directors were elected. Each person elected as a Director will serve until the next annual meeting of shareholders or until such person's successor is elected and qualified:</w:t>
      </w:r>
    </w:p>
    <w:p>
      <w:pPr>
        <w:spacing w:after="0" w:line="200" w:lineRule="exact"/>
        <w:rPr>
          <w:sz w:val="20"/>
          <w:szCs w:val="20"/>
          <w:color w:val="auto"/>
        </w:rPr>
      </w:pPr>
    </w:p>
    <w:p>
      <w:pPr>
        <w:spacing w:after="0" w:line="204" w:lineRule="exact"/>
        <w:rPr>
          <w:sz w:val="20"/>
          <w:szCs w:val="20"/>
          <w:color w:val="auto"/>
        </w:rPr>
      </w:pPr>
    </w:p>
    <w:tbl>
      <w:tblPr>
        <w:tblLayout w:type="fixed"/>
        <w:tblInd w:w="520" w:type="dxa"/>
        <w:tblCellMar>
          <w:top w:w="0" w:type="dxa"/>
          <w:left w:w="0" w:type="dxa"/>
          <w:bottom w:w="0" w:type="dxa"/>
          <w:right w:w="0" w:type="dxa"/>
        </w:tblCellMar>
      </w:tblPr>
      <w:tr>
        <w:trPr>
          <w:trHeight w:val="204"/>
        </w:trPr>
        <w:tc>
          <w:tcPr>
            <w:tcW w:w="2200" w:type="dxa"/>
            <w:vAlign w:val="bottom"/>
          </w:tcPr>
          <w:p>
            <w:pPr>
              <w:spacing w:after="0"/>
              <w:rPr>
                <w:sz w:val="17"/>
                <w:szCs w:val="17"/>
                <w:color w:val="auto"/>
              </w:rPr>
            </w:pPr>
          </w:p>
        </w:tc>
        <w:tc>
          <w:tcPr>
            <w:tcW w:w="1480" w:type="dxa"/>
            <w:vAlign w:val="bottom"/>
          </w:tcPr>
          <w:p>
            <w:pPr>
              <w:ind w:left="440"/>
              <w:spacing w:after="0"/>
              <w:rPr>
                <w:sz w:val="20"/>
                <w:szCs w:val="20"/>
                <w:color w:val="auto"/>
              </w:rPr>
            </w:pPr>
            <w:r>
              <w:rPr>
                <w:rFonts w:ascii="Courier New" w:cs="Courier New" w:eastAsia="Courier New" w:hAnsi="Courier New"/>
                <w:sz w:val="18"/>
                <w:szCs w:val="18"/>
                <w:color w:val="auto"/>
              </w:rPr>
              <w:t>Votes</w:t>
            </w:r>
          </w:p>
        </w:tc>
        <w:tc>
          <w:tcPr>
            <w:tcW w:w="154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Votes</w:t>
            </w:r>
          </w:p>
        </w:tc>
        <w:tc>
          <w:tcPr>
            <w:tcW w:w="1420" w:type="dxa"/>
            <w:vAlign w:val="bottom"/>
          </w:tcPr>
          <w:p>
            <w:pPr>
              <w:ind w:left="460"/>
              <w:spacing w:after="0"/>
              <w:rPr>
                <w:sz w:val="20"/>
                <w:szCs w:val="20"/>
                <w:color w:val="auto"/>
              </w:rPr>
            </w:pPr>
            <w:r>
              <w:rPr>
                <w:rFonts w:ascii="Courier New" w:cs="Courier New" w:eastAsia="Courier New" w:hAnsi="Courier New"/>
                <w:sz w:val="18"/>
                <w:szCs w:val="18"/>
                <w:color w:val="auto"/>
              </w:rPr>
              <w:t>Broker</w:t>
            </w:r>
          </w:p>
        </w:tc>
      </w:tr>
      <w:tr>
        <w:trPr>
          <w:trHeight w:val="203"/>
        </w:trPr>
        <w:tc>
          <w:tcPr>
            <w:tcW w:w="2200" w:type="dxa"/>
            <w:vAlign w:val="bottom"/>
          </w:tcPr>
          <w:p>
            <w:pPr>
              <w:spacing w:after="0" w:line="203" w:lineRule="exact"/>
              <w:rPr>
                <w:sz w:val="20"/>
                <w:szCs w:val="20"/>
                <w:color w:val="auto"/>
              </w:rPr>
            </w:pPr>
            <w:r>
              <w:rPr>
                <w:rFonts w:ascii="Courier New" w:cs="Courier New" w:eastAsia="Courier New" w:hAnsi="Courier New"/>
                <w:sz w:val="18"/>
                <w:szCs w:val="18"/>
                <w:color w:val="auto"/>
              </w:rPr>
              <w:t>Name of Nominee</w:t>
            </w:r>
          </w:p>
        </w:tc>
        <w:tc>
          <w:tcPr>
            <w:tcW w:w="14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Cast For</w:t>
            </w:r>
          </w:p>
        </w:tc>
        <w:tc>
          <w:tcPr>
            <w:tcW w:w="154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Withheld</w:t>
            </w:r>
          </w:p>
        </w:tc>
        <w:tc>
          <w:tcPr>
            <w:tcW w:w="142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Non-votes</w:t>
            </w:r>
          </w:p>
        </w:tc>
      </w:tr>
      <w:tr>
        <w:trPr>
          <w:trHeight w:val="203"/>
        </w:trPr>
        <w:tc>
          <w:tcPr>
            <w:tcW w:w="220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w:t>
            </w:r>
          </w:p>
        </w:tc>
        <w:tc>
          <w:tcPr>
            <w:tcW w:w="15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center"/>
              <w:ind w:left="172"/>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405"/>
        </w:trPr>
        <w:tc>
          <w:tcPr>
            <w:tcW w:w="2200" w:type="dxa"/>
            <w:vAlign w:val="bottom"/>
          </w:tcPr>
          <w:p>
            <w:pPr>
              <w:spacing w:after="0"/>
              <w:rPr>
                <w:sz w:val="20"/>
                <w:szCs w:val="20"/>
                <w:color w:val="auto"/>
              </w:rPr>
            </w:pPr>
            <w:r>
              <w:rPr>
                <w:rFonts w:ascii="Courier New" w:cs="Courier New" w:eastAsia="Courier New" w:hAnsi="Courier New"/>
                <w:sz w:val="18"/>
                <w:szCs w:val="18"/>
                <w:color w:val="auto"/>
              </w:rPr>
              <w:t>James W. Garrett</w:t>
            </w:r>
          </w:p>
        </w:tc>
        <w:tc>
          <w:tcPr>
            <w:tcW w:w="1480" w:type="dxa"/>
            <w:vAlign w:val="bottom"/>
          </w:tcPr>
          <w:p>
            <w:pPr>
              <w:jc w:val="center"/>
              <w:spacing w:after="0"/>
              <w:rPr>
                <w:sz w:val="20"/>
                <w:szCs w:val="20"/>
                <w:color w:val="auto"/>
              </w:rPr>
            </w:pPr>
            <w:r>
              <w:rPr>
                <w:rFonts w:ascii="Courier New" w:cs="Courier New" w:eastAsia="Courier New" w:hAnsi="Courier New"/>
                <w:sz w:val="18"/>
                <w:szCs w:val="18"/>
                <w:color w:val="auto"/>
                <w:w w:val="98"/>
              </w:rPr>
              <w:t>37,351,616</w:t>
            </w:r>
          </w:p>
        </w:tc>
        <w:tc>
          <w:tcPr>
            <w:tcW w:w="154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5,810</w:t>
            </w:r>
          </w:p>
        </w:tc>
        <w:tc>
          <w:tcPr>
            <w:tcW w:w="1420" w:type="dxa"/>
            <w:vAlign w:val="bottom"/>
          </w:tcPr>
          <w:p>
            <w:pPr>
              <w:jc w:val="center"/>
              <w:ind w:left="152"/>
              <w:spacing w:after="0"/>
              <w:rPr>
                <w:sz w:val="20"/>
                <w:szCs w:val="20"/>
                <w:color w:val="auto"/>
              </w:rPr>
            </w:pPr>
            <w:r>
              <w:rPr>
                <w:rFonts w:ascii="Courier New" w:cs="Courier New" w:eastAsia="Courier New" w:hAnsi="Courier New"/>
                <w:sz w:val="18"/>
                <w:szCs w:val="18"/>
                <w:color w:val="auto"/>
                <w:w w:val="97"/>
              </w:rPr>
              <w:t>318,124</w:t>
            </w:r>
          </w:p>
        </w:tc>
      </w:tr>
      <w:tr>
        <w:trPr>
          <w:trHeight w:val="203"/>
        </w:trPr>
        <w:tc>
          <w:tcPr>
            <w:tcW w:w="2200" w:type="dxa"/>
            <w:vAlign w:val="bottom"/>
          </w:tcPr>
          <w:p>
            <w:pPr>
              <w:spacing w:after="0" w:line="203" w:lineRule="exact"/>
              <w:rPr>
                <w:sz w:val="20"/>
                <w:szCs w:val="20"/>
                <w:color w:val="auto"/>
              </w:rPr>
            </w:pPr>
            <w:r>
              <w:rPr>
                <w:rFonts w:ascii="Courier New" w:cs="Courier New" w:eastAsia="Courier New" w:hAnsi="Courier New"/>
                <w:sz w:val="18"/>
                <w:szCs w:val="18"/>
                <w:color w:val="auto"/>
              </w:rPr>
              <w:t>Reid N. Langrill</w:t>
            </w:r>
          </w:p>
        </w:tc>
        <w:tc>
          <w:tcPr>
            <w:tcW w:w="14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37,351,876</w:t>
            </w:r>
          </w:p>
        </w:tc>
        <w:tc>
          <w:tcPr>
            <w:tcW w:w="15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5,550</w:t>
            </w:r>
          </w:p>
        </w:tc>
        <w:tc>
          <w:tcPr>
            <w:tcW w:w="1420" w:type="dxa"/>
            <w:vAlign w:val="bottom"/>
          </w:tcPr>
          <w:p>
            <w:pPr>
              <w:jc w:val="center"/>
              <w:ind w:left="152"/>
              <w:spacing w:after="0" w:line="203" w:lineRule="exact"/>
              <w:rPr>
                <w:sz w:val="20"/>
                <w:szCs w:val="20"/>
                <w:color w:val="auto"/>
              </w:rPr>
            </w:pPr>
            <w:r>
              <w:rPr>
                <w:rFonts w:ascii="Courier New" w:cs="Courier New" w:eastAsia="Courier New" w:hAnsi="Courier New"/>
                <w:sz w:val="18"/>
                <w:szCs w:val="18"/>
                <w:color w:val="auto"/>
                <w:w w:val="97"/>
              </w:rPr>
              <w:t>318,324</w:t>
            </w:r>
          </w:p>
        </w:tc>
      </w:tr>
      <w:tr>
        <w:trPr>
          <w:trHeight w:val="203"/>
        </w:trPr>
        <w:tc>
          <w:tcPr>
            <w:tcW w:w="2200" w:type="dxa"/>
            <w:vAlign w:val="bottom"/>
          </w:tcPr>
          <w:p>
            <w:pPr>
              <w:spacing w:after="0" w:line="203" w:lineRule="exact"/>
              <w:rPr>
                <w:sz w:val="20"/>
                <w:szCs w:val="20"/>
                <w:color w:val="auto"/>
              </w:rPr>
            </w:pPr>
            <w:r>
              <w:rPr>
                <w:rFonts w:ascii="Courier New" w:cs="Courier New" w:eastAsia="Courier New" w:hAnsi="Courier New"/>
                <w:sz w:val="18"/>
                <w:szCs w:val="18"/>
                <w:color w:val="auto"/>
              </w:rPr>
              <w:t>Thomas T. Nicholson</w:t>
            </w:r>
          </w:p>
        </w:tc>
        <w:tc>
          <w:tcPr>
            <w:tcW w:w="14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37,351,885</w:t>
            </w:r>
          </w:p>
        </w:tc>
        <w:tc>
          <w:tcPr>
            <w:tcW w:w="15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5,301</w:t>
            </w:r>
          </w:p>
        </w:tc>
        <w:tc>
          <w:tcPr>
            <w:tcW w:w="1420" w:type="dxa"/>
            <w:vAlign w:val="bottom"/>
          </w:tcPr>
          <w:p>
            <w:pPr>
              <w:jc w:val="center"/>
              <w:ind w:left="152"/>
              <w:spacing w:after="0" w:line="203" w:lineRule="exact"/>
              <w:rPr>
                <w:sz w:val="20"/>
                <w:szCs w:val="20"/>
                <w:color w:val="auto"/>
              </w:rPr>
            </w:pPr>
            <w:r>
              <w:rPr>
                <w:rFonts w:ascii="Courier New" w:cs="Courier New" w:eastAsia="Courier New" w:hAnsi="Courier New"/>
                <w:sz w:val="18"/>
                <w:szCs w:val="18"/>
                <w:color w:val="auto"/>
                <w:w w:val="97"/>
              </w:rPr>
              <w:t>318,364</w:t>
            </w:r>
          </w:p>
        </w:tc>
      </w:tr>
      <w:tr>
        <w:trPr>
          <w:trHeight w:val="203"/>
        </w:trPr>
        <w:tc>
          <w:tcPr>
            <w:tcW w:w="2200" w:type="dxa"/>
            <w:vAlign w:val="bottom"/>
          </w:tcPr>
          <w:p>
            <w:pPr>
              <w:spacing w:after="0" w:line="203" w:lineRule="exact"/>
              <w:rPr>
                <w:sz w:val="20"/>
                <w:szCs w:val="20"/>
                <w:color w:val="auto"/>
              </w:rPr>
            </w:pPr>
            <w:r>
              <w:rPr>
                <w:rFonts w:ascii="Courier New" w:cs="Courier New" w:eastAsia="Courier New" w:hAnsi="Courier New"/>
                <w:sz w:val="18"/>
                <w:szCs w:val="18"/>
                <w:color w:val="auto"/>
              </w:rPr>
              <w:t>Allen T. Noble</w:t>
            </w:r>
          </w:p>
        </w:tc>
        <w:tc>
          <w:tcPr>
            <w:tcW w:w="14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37,351,785</w:t>
            </w:r>
          </w:p>
        </w:tc>
        <w:tc>
          <w:tcPr>
            <w:tcW w:w="15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5,401</w:t>
            </w:r>
          </w:p>
        </w:tc>
        <w:tc>
          <w:tcPr>
            <w:tcW w:w="1420" w:type="dxa"/>
            <w:vAlign w:val="bottom"/>
          </w:tcPr>
          <w:p>
            <w:pPr>
              <w:jc w:val="center"/>
              <w:ind w:left="152"/>
              <w:spacing w:after="0" w:line="203" w:lineRule="exact"/>
              <w:rPr>
                <w:sz w:val="20"/>
                <w:szCs w:val="20"/>
                <w:color w:val="auto"/>
              </w:rPr>
            </w:pPr>
            <w:r>
              <w:rPr>
                <w:rFonts w:ascii="Courier New" w:cs="Courier New" w:eastAsia="Courier New" w:hAnsi="Courier New"/>
                <w:sz w:val="18"/>
                <w:szCs w:val="18"/>
                <w:color w:val="auto"/>
                <w:w w:val="97"/>
              </w:rPr>
              <w:t>318,364</w:t>
            </w:r>
          </w:p>
        </w:tc>
      </w:tr>
      <w:tr>
        <w:trPr>
          <w:trHeight w:val="203"/>
        </w:trPr>
        <w:tc>
          <w:tcPr>
            <w:tcW w:w="2200" w:type="dxa"/>
            <w:vAlign w:val="bottom"/>
          </w:tcPr>
          <w:p>
            <w:pPr>
              <w:spacing w:after="0" w:line="203" w:lineRule="exact"/>
              <w:rPr>
                <w:sz w:val="20"/>
                <w:szCs w:val="20"/>
                <w:color w:val="auto"/>
              </w:rPr>
            </w:pPr>
            <w:r>
              <w:rPr>
                <w:rFonts w:ascii="Courier New" w:cs="Courier New" w:eastAsia="Courier New" w:hAnsi="Courier New"/>
                <w:sz w:val="18"/>
                <w:szCs w:val="18"/>
                <w:color w:val="auto"/>
              </w:rPr>
              <w:t>Joseph L. Parkinson</w:t>
            </w:r>
          </w:p>
        </w:tc>
        <w:tc>
          <w:tcPr>
            <w:tcW w:w="14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37,351,588</w:t>
            </w:r>
          </w:p>
        </w:tc>
        <w:tc>
          <w:tcPr>
            <w:tcW w:w="15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5,598</w:t>
            </w:r>
          </w:p>
        </w:tc>
        <w:tc>
          <w:tcPr>
            <w:tcW w:w="1420" w:type="dxa"/>
            <w:vAlign w:val="bottom"/>
          </w:tcPr>
          <w:p>
            <w:pPr>
              <w:jc w:val="center"/>
              <w:ind w:left="152"/>
              <w:spacing w:after="0" w:line="203" w:lineRule="exact"/>
              <w:rPr>
                <w:sz w:val="20"/>
                <w:szCs w:val="20"/>
                <w:color w:val="auto"/>
              </w:rPr>
            </w:pPr>
            <w:r>
              <w:rPr>
                <w:rFonts w:ascii="Courier New" w:cs="Courier New" w:eastAsia="Courier New" w:hAnsi="Courier New"/>
                <w:sz w:val="18"/>
                <w:szCs w:val="18"/>
                <w:color w:val="auto"/>
                <w:w w:val="97"/>
              </w:rPr>
              <w:t>318,364</w:t>
            </w:r>
          </w:p>
        </w:tc>
      </w:tr>
      <w:tr>
        <w:trPr>
          <w:trHeight w:val="203"/>
        </w:trPr>
        <w:tc>
          <w:tcPr>
            <w:tcW w:w="2200" w:type="dxa"/>
            <w:vAlign w:val="bottom"/>
          </w:tcPr>
          <w:p>
            <w:pPr>
              <w:spacing w:after="0" w:line="203" w:lineRule="exact"/>
              <w:rPr>
                <w:sz w:val="20"/>
                <w:szCs w:val="20"/>
                <w:color w:val="auto"/>
              </w:rPr>
            </w:pPr>
            <w:r>
              <w:rPr>
                <w:rFonts w:ascii="Courier New" w:cs="Courier New" w:eastAsia="Courier New" w:hAnsi="Courier New"/>
                <w:sz w:val="18"/>
                <w:szCs w:val="18"/>
                <w:color w:val="auto"/>
              </w:rPr>
              <w:t>Don J. Simplot</w:t>
            </w:r>
          </w:p>
        </w:tc>
        <w:tc>
          <w:tcPr>
            <w:tcW w:w="14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37,350,999</w:t>
            </w:r>
          </w:p>
        </w:tc>
        <w:tc>
          <w:tcPr>
            <w:tcW w:w="15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6,187</w:t>
            </w:r>
          </w:p>
        </w:tc>
        <w:tc>
          <w:tcPr>
            <w:tcW w:w="1420" w:type="dxa"/>
            <w:vAlign w:val="bottom"/>
          </w:tcPr>
          <w:p>
            <w:pPr>
              <w:jc w:val="center"/>
              <w:ind w:left="152"/>
              <w:spacing w:after="0" w:line="203" w:lineRule="exact"/>
              <w:rPr>
                <w:sz w:val="20"/>
                <w:szCs w:val="20"/>
                <w:color w:val="auto"/>
              </w:rPr>
            </w:pPr>
            <w:r>
              <w:rPr>
                <w:rFonts w:ascii="Courier New" w:cs="Courier New" w:eastAsia="Courier New" w:hAnsi="Courier New"/>
                <w:sz w:val="18"/>
                <w:szCs w:val="18"/>
                <w:color w:val="auto"/>
                <w:w w:val="97"/>
              </w:rPr>
              <w:t>318,564</w:t>
            </w:r>
          </w:p>
        </w:tc>
      </w:tr>
      <w:tr>
        <w:trPr>
          <w:trHeight w:val="203"/>
        </w:trPr>
        <w:tc>
          <w:tcPr>
            <w:tcW w:w="2200" w:type="dxa"/>
            <w:vAlign w:val="bottom"/>
          </w:tcPr>
          <w:p>
            <w:pPr>
              <w:spacing w:after="0" w:line="203" w:lineRule="exact"/>
              <w:rPr>
                <w:sz w:val="20"/>
                <w:szCs w:val="20"/>
                <w:color w:val="auto"/>
              </w:rPr>
            </w:pPr>
            <w:r>
              <w:rPr>
                <w:rFonts w:ascii="Courier New" w:cs="Courier New" w:eastAsia="Courier New" w:hAnsi="Courier New"/>
                <w:sz w:val="18"/>
                <w:szCs w:val="18"/>
                <w:color w:val="auto"/>
              </w:rPr>
              <w:t>John R. Simplot</w:t>
            </w:r>
          </w:p>
        </w:tc>
        <w:tc>
          <w:tcPr>
            <w:tcW w:w="14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37,351,050</w:t>
            </w:r>
          </w:p>
        </w:tc>
        <w:tc>
          <w:tcPr>
            <w:tcW w:w="15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6,036</w:t>
            </w:r>
          </w:p>
        </w:tc>
        <w:tc>
          <w:tcPr>
            <w:tcW w:w="1420" w:type="dxa"/>
            <w:vAlign w:val="bottom"/>
          </w:tcPr>
          <w:p>
            <w:pPr>
              <w:jc w:val="center"/>
              <w:ind w:left="152"/>
              <w:spacing w:after="0" w:line="203" w:lineRule="exact"/>
              <w:rPr>
                <w:sz w:val="20"/>
                <w:szCs w:val="20"/>
                <w:color w:val="auto"/>
              </w:rPr>
            </w:pPr>
            <w:r>
              <w:rPr>
                <w:rFonts w:ascii="Courier New" w:cs="Courier New" w:eastAsia="Courier New" w:hAnsi="Courier New"/>
                <w:sz w:val="18"/>
                <w:szCs w:val="18"/>
                <w:color w:val="auto"/>
                <w:w w:val="97"/>
              </w:rPr>
              <w:t>318,464</w:t>
            </w:r>
          </w:p>
        </w:tc>
      </w:tr>
      <w:tr>
        <w:trPr>
          <w:trHeight w:val="203"/>
        </w:trPr>
        <w:tc>
          <w:tcPr>
            <w:tcW w:w="2200" w:type="dxa"/>
            <w:vAlign w:val="bottom"/>
          </w:tcPr>
          <w:p>
            <w:pPr>
              <w:spacing w:after="0" w:line="203" w:lineRule="exact"/>
              <w:rPr>
                <w:sz w:val="20"/>
                <w:szCs w:val="20"/>
                <w:color w:val="auto"/>
              </w:rPr>
            </w:pPr>
            <w:r>
              <w:rPr>
                <w:rFonts w:ascii="Courier New" w:cs="Courier New" w:eastAsia="Courier New" w:hAnsi="Courier New"/>
                <w:sz w:val="18"/>
                <w:szCs w:val="18"/>
                <w:color w:val="auto"/>
              </w:rPr>
              <w:t>Gordon C. Smith</w:t>
            </w:r>
          </w:p>
        </w:tc>
        <w:tc>
          <w:tcPr>
            <w:tcW w:w="14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37,243,753</w:t>
            </w:r>
          </w:p>
        </w:tc>
        <w:tc>
          <w:tcPr>
            <w:tcW w:w="15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5,313</w:t>
            </w:r>
          </w:p>
        </w:tc>
        <w:tc>
          <w:tcPr>
            <w:tcW w:w="1420" w:type="dxa"/>
            <w:vAlign w:val="bottom"/>
          </w:tcPr>
          <w:p>
            <w:pPr>
              <w:jc w:val="center"/>
              <w:ind w:left="152"/>
              <w:spacing w:after="0" w:line="203" w:lineRule="exact"/>
              <w:rPr>
                <w:sz w:val="20"/>
                <w:szCs w:val="20"/>
                <w:color w:val="auto"/>
              </w:rPr>
            </w:pPr>
            <w:r>
              <w:rPr>
                <w:rFonts w:ascii="Courier New" w:cs="Courier New" w:eastAsia="Courier New" w:hAnsi="Courier New"/>
                <w:sz w:val="18"/>
                <w:szCs w:val="18"/>
                <w:color w:val="auto"/>
                <w:w w:val="97"/>
              </w:rPr>
              <w:t>318,484</w:t>
            </w:r>
          </w:p>
        </w:tc>
      </w:tr>
    </w:tbl>
    <w:p>
      <w:pPr>
        <w:spacing w:after="0" w:line="200" w:lineRule="exact"/>
        <w:rPr>
          <w:sz w:val="20"/>
          <w:szCs w:val="20"/>
          <w:color w:val="auto"/>
        </w:rPr>
      </w:pPr>
    </w:p>
    <w:p>
      <w:pPr>
        <w:spacing w:after="0" w:line="209" w:lineRule="exact"/>
        <w:rPr>
          <w:sz w:val="20"/>
          <w:szCs w:val="20"/>
          <w:color w:val="auto"/>
        </w:rPr>
      </w:pPr>
    </w:p>
    <w:p>
      <w:pPr>
        <w:ind w:right="2199" w:firstLine="517"/>
        <w:spacing w:after="0" w:line="237" w:lineRule="auto"/>
        <w:tabs>
          <w:tab w:leader="none" w:pos="1053"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amendment to the company's Certificate of Incorporation increasing the number of authorized shares of common stock from 100,000,000 to 150,000,000 was approved with 34,422,063 votes in favor, 3,134,141 votes against, and 35,746 votes representing abstentions and broker non-votes.</w:t>
      </w:r>
    </w:p>
    <w:p>
      <w:pPr>
        <w:spacing w:after="0" w:line="208" w:lineRule="exact"/>
        <w:rPr>
          <w:rFonts w:ascii="Courier New" w:cs="Courier New" w:eastAsia="Courier New" w:hAnsi="Courier New"/>
          <w:sz w:val="18"/>
          <w:szCs w:val="18"/>
          <w:color w:val="auto"/>
        </w:rPr>
      </w:pPr>
    </w:p>
    <w:p>
      <w:pPr>
        <w:ind w:right="2319" w:firstLine="517"/>
        <w:spacing w:after="0" w:line="237" w:lineRule="auto"/>
        <w:tabs>
          <w:tab w:leader="none" w:pos="1053"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amendment to the company's 1985 Incentive Stock Option Plan to increase the number of shares reserved thereunder by 1,000,000 shares was approved with 34,603,227 votes in favor, 2,878,038 votes against, and 108,740 votes representing abstentions and broker non-votes.</w:t>
      </w:r>
    </w:p>
    <w:p>
      <w:pPr>
        <w:spacing w:after="0" w:line="208" w:lineRule="exact"/>
        <w:rPr>
          <w:rFonts w:ascii="Courier New" w:cs="Courier New" w:eastAsia="Courier New" w:hAnsi="Courier New"/>
          <w:sz w:val="18"/>
          <w:szCs w:val="18"/>
          <w:color w:val="auto"/>
        </w:rPr>
      </w:pPr>
    </w:p>
    <w:p>
      <w:pPr>
        <w:ind w:right="2099" w:firstLine="517"/>
        <w:spacing w:after="0" w:line="237" w:lineRule="auto"/>
        <w:tabs>
          <w:tab w:leader="none" w:pos="1053"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ratification of the appointment of Coopers &amp; Lybrand as independent public accountants of the company for the fiscal year ending September 1, 1994 was approved with 37,522,533 votes in favor, 40,486 votes against, and 107,231 votes representing abstentions and broker non-votes.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19</w:t>
      </w:r>
    </w:p>
    <w:p>
      <w:pPr>
        <w:sectPr>
          <w:pgSz w:w="11900" w:h="16838" w:orient="portrait"/>
          <w:cols w:equalWidth="0" w:num="1">
            <w:col w:w="9359"/>
          </w:cols>
          <w:pgMar w:left="1100" w:top="1325" w:right="1440" w:bottom="1440" w:gutter="0" w:footer="0" w:header="0"/>
        </w:sectPr>
      </w:pPr>
    </w:p>
    <w:bookmarkStart w:id="20" w:name="page21"/>
    <w:bookmarkEnd w:id="20"/>
    <w:p>
      <w:pPr>
        <w:spacing w:after="0"/>
        <w:tabs>
          <w:tab w:leader="none" w:pos="92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Exhibits and Reports on Form 8-K</w:t>
      </w:r>
    </w:p>
    <w:p>
      <w:pPr>
        <w:spacing w:after="0" w:line="200" w:lineRule="exact"/>
        <w:rPr>
          <w:sz w:val="20"/>
          <w:szCs w:val="20"/>
          <w:color w:val="auto"/>
        </w:rPr>
      </w:pPr>
    </w:p>
    <w:p>
      <w:pPr>
        <w:spacing w:after="0" w:line="209" w:lineRule="exact"/>
        <w:rPr>
          <w:sz w:val="20"/>
          <w:szCs w:val="20"/>
          <w:color w:val="auto"/>
        </w:rPr>
      </w:pPr>
    </w:p>
    <w:p>
      <w:pPr>
        <w:ind w:left="520"/>
        <w:spacing w:after="0"/>
        <w:tabs>
          <w:tab w:leader="none" w:pos="2700" w:val="left"/>
        </w:tabs>
        <w:rPr>
          <w:sz w:val="20"/>
          <w:szCs w:val="20"/>
          <w:color w:val="auto"/>
        </w:rPr>
      </w:pPr>
      <w:r>
        <w:rPr>
          <w:rFonts w:ascii="Courier New" w:cs="Courier New" w:eastAsia="Courier New" w:hAnsi="Courier New"/>
          <w:sz w:val="16"/>
          <w:szCs w:val="16"/>
          <w:color w:val="auto"/>
        </w:rPr>
        <w:t>a)</w:t>
      </w:r>
      <w:r>
        <w:rPr>
          <w:sz w:val="20"/>
          <w:szCs w:val="20"/>
          <w:color w:val="auto"/>
        </w:rPr>
        <w:tab/>
      </w:r>
      <w:r>
        <w:rPr>
          <w:rFonts w:ascii="Courier New" w:cs="Courier New" w:eastAsia="Courier New" w:hAnsi="Courier New"/>
          <w:sz w:val="16"/>
          <w:szCs w:val="16"/>
          <w:color w:val="auto"/>
        </w:rPr>
        <w:t>INDEX OF EXHIBITS</w:t>
      </w:r>
    </w:p>
    <w:p>
      <w:pPr>
        <w:sectPr>
          <w:pgSz w:w="11900" w:h="16838" w:orient="portrait"/>
          <w:cols w:equalWidth="0" w:num="1">
            <w:col w:w="9359"/>
          </w:cols>
          <w:pgMar w:left="1100" w:top="132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right"/>
        <w:spacing w:after="0"/>
        <w:rPr>
          <w:sz w:val="20"/>
          <w:szCs w:val="20"/>
          <w:color w:val="auto"/>
        </w:rPr>
      </w:pPr>
      <w:r>
        <w:rPr>
          <w:rFonts w:ascii="Courier New" w:cs="Courier New" w:eastAsia="Courier New" w:hAnsi="Courier New"/>
          <w:sz w:val="16"/>
          <w:szCs w:val="16"/>
          <w:color w:val="auto"/>
        </w:rPr>
        <w:t>Exhibit</w:t>
      </w:r>
    </w:p>
    <w:p>
      <w:pPr>
        <w:spacing w:after="0" w:line="16" w:lineRule="exact"/>
        <w:rPr>
          <w:sz w:val="20"/>
          <w:szCs w:val="20"/>
          <w:color w:val="auto"/>
        </w:rPr>
      </w:pPr>
    </w:p>
    <w:p>
      <w:pPr>
        <w:jc w:val="right"/>
        <w:spacing w:after="0"/>
        <w:rPr>
          <w:sz w:val="20"/>
          <w:szCs w:val="20"/>
          <w:color w:val="auto"/>
        </w:rPr>
      </w:pPr>
      <w:r>
        <w:rPr>
          <w:rFonts w:ascii="Courier New" w:cs="Courier New" w:eastAsia="Courier New" w:hAnsi="Courier New"/>
          <w:sz w:val="18"/>
          <w:szCs w:val="18"/>
          <w:color w:val="auto"/>
        </w:rPr>
        <w:t>Number</w:t>
      </w:r>
    </w:p>
    <w:p>
      <w:pPr>
        <w:spacing w:after="0" w:line="4" w:lineRule="exact"/>
        <w:rPr>
          <w:sz w:val="20"/>
          <w:szCs w:val="20"/>
          <w:color w:val="auto"/>
        </w:rPr>
      </w:pPr>
    </w:p>
    <w:p>
      <w:pPr>
        <w:jc w:val="right"/>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Description of Exhibit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1680" w:space="420"/>
            <w:col w:w="7259"/>
          </w:cols>
          <w:pgMar w:left="1100" w:top="1325" w:right="1440" w:bottom="1440" w:gutter="0" w:footer="0" w:header="0"/>
          <w:type w:val="continuous"/>
        </w:sectPr>
      </w:pPr>
    </w:p>
    <w:p>
      <w:pPr>
        <w:spacing w:after="0" w:line="24" w:lineRule="exact"/>
        <w:rPr>
          <w:sz w:val="20"/>
          <w:szCs w:val="20"/>
          <w:color w:val="auto"/>
        </w:rPr>
      </w:pPr>
    </w:p>
    <w:p>
      <w:pPr>
        <w:ind w:left="2100" w:right="3779" w:hanging="845"/>
        <w:spacing w:after="0" w:line="237" w:lineRule="auto"/>
        <w:tabs>
          <w:tab w:leader="none" w:pos="2100"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Computation of per share earnings for the quarters and six month periods ended March 3, 1994, and March 4, 1993</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12" w:lineRule="exact"/>
        <w:rPr>
          <w:rFonts w:ascii="Courier New" w:cs="Courier New" w:eastAsia="Courier New" w:hAnsi="Courier New"/>
          <w:sz w:val="18"/>
          <w:szCs w:val="18"/>
          <w:color w:val="auto"/>
        </w:rPr>
      </w:pPr>
    </w:p>
    <w:p>
      <w:pPr>
        <w:jc w:val="both"/>
        <w:ind w:right="2099" w:firstLine="517"/>
        <w:spacing w:after="0" w:line="237" w:lineRule="auto"/>
        <w:tabs>
          <w:tab w:leader="none" w:pos="948"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registrant filed a Report on Form 8-K dated February 28, 1994, announcing the company's board of directors approval of a 5 for 2 stock split effected in the form of a stock dividend effective April 1, 1994.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20</w:t>
      </w:r>
    </w:p>
    <w:p>
      <w:pPr>
        <w:sectPr>
          <w:pgSz w:w="11900" w:h="16838" w:orient="portrait"/>
          <w:cols w:equalWidth="0" w:num="1">
            <w:col w:w="9359"/>
          </w:cols>
          <w:pgMar w:left="1100" w:top="1325" w:right="1440" w:bottom="1440" w:gutter="0" w:footer="0" w:header="0"/>
          <w:type w:val="continuous"/>
        </w:sectPr>
      </w:pPr>
    </w:p>
    <w:bookmarkStart w:id="21" w:name="page22"/>
    <w:bookmarkEnd w:id="21"/>
    <w:p>
      <w:pPr>
        <w:ind w:left="3160"/>
        <w:spacing w:after="0"/>
        <w:rPr>
          <w:sz w:val="20"/>
          <w:szCs w:val="20"/>
          <w:color w:val="auto"/>
        </w:rPr>
      </w:pPr>
      <w:r>
        <w:rPr>
          <w:rFonts w:ascii="Courier New" w:cs="Courier New" w:eastAsia="Courier New" w:hAnsi="Courier New"/>
          <w:sz w:val="18"/>
          <w:szCs w:val="18"/>
          <w:color w:val="auto"/>
        </w:rPr>
        <w:t>SIGNATURES</w:t>
      </w:r>
    </w:p>
    <w:p>
      <w:pPr>
        <w:spacing w:after="0" w:line="200" w:lineRule="exact"/>
        <w:rPr>
          <w:sz w:val="20"/>
          <w:szCs w:val="20"/>
          <w:color w:val="auto"/>
        </w:rPr>
      </w:pPr>
    </w:p>
    <w:p>
      <w:pPr>
        <w:spacing w:after="0" w:line="209" w:lineRule="exact"/>
        <w:rPr>
          <w:sz w:val="20"/>
          <w:szCs w:val="20"/>
          <w:color w:val="auto"/>
        </w:rPr>
      </w:pPr>
    </w:p>
    <w:p>
      <w:pPr>
        <w:ind w:right="2199" w:firstLine="527"/>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220"/>
        <w:spacing w:after="0"/>
        <w:rPr>
          <w:sz w:val="20"/>
          <w:szCs w:val="20"/>
          <w:color w:val="auto"/>
        </w:rPr>
      </w:pPr>
      <w:r>
        <w:rPr>
          <w:rFonts w:ascii="Courier New" w:cs="Courier New" w:eastAsia="Courier New" w:hAnsi="Courier New"/>
          <w:sz w:val="18"/>
          <w:szCs w:val="18"/>
          <w:color w:val="auto"/>
        </w:rPr>
        <w:t>Micron Technology, Inc.</w:t>
      </w:r>
    </w:p>
    <w:p>
      <w:pPr>
        <w:ind w:left="3580"/>
        <w:spacing w:after="0" w:line="238" w:lineRule="auto"/>
        <w:rPr>
          <w:sz w:val="20"/>
          <w:szCs w:val="20"/>
          <w:color w:val="auto"/>
        </w:rPr>
      </w:pPr>
      <w:r>
        <w:rPr>
          <w:rFonts w:ascii="Courier New" w:cs="Courier New" w:eastAsia="Courier New" w:hAnsi="Courier New"/>
          <w:sz w:val="18"/>
          <w:szCs w:val="18"/>
          <w:color w:val="auto"/>
        </w:rPr>
        <w:t>-----------------------</w:t>
      </w:r>
    </w:p>
    <w:p>
      <w:pPr>
        <w:ind w:left="3580"/>
        <w:spacing w:after="0"/>
        <w:rPr>
          <w:sz w:val="20"/>
          <w:szCs w:val="20"/>
          <w:color w:val="auto"/>
        </w:rPr>
      </w:pPr>
      <w:r>
        <w:rPr>
          <w:rFonts w:ascii="Courier New" w:cs="Courier New" w:eastAsia="Courier New" w:hAnsi="Courier New"/>
          <w:sz w:val="18"/>
          <w:szCs w:val="18"/>
          <w:color w:val="auto"/>
        </w:rPr>
        <w:t>(Registrant)</w:t>
      </w:r>
    </w:p>
    <w:p>
      <w:pPr>
        <w:sectPr>
          <w:pgSz w:w="11900" w:h="16838" w:orient="portrait"/>
          <w:cols w:equalWidth="0" w:num="1">
            <w:col w:w="9359"/>
          </w:cols>
          <w:pgMar w:left="1100" w:top="132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March 21, 1994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Reid N. Langrill</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Vice President, Finance and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Chief Financial Officer (Principal</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Financial and Accounting Officer)</w:t>
      </w:r>
    </w:p>
    <w:p>
      <w:pPr>
        <w:spacing w:after="0" w:line="200" w:lineRule="exact"/>
        <w:rPr>
          <w:sz w:val="20"/>
          <w:szCs w:val="20"/>
          <w:color w:val="auto"/>
        </w:rPr>
      </w:pPr>
    </w:p>
    <w:p>
      <w:pPr>
        <w:sectPr>
          <w:pgSz w:w="11900" w:h="16838" w:orient="portrait"/>
          <w:cols w:equalWidth="0" w:num="3">
            <w:col w:w="620" w:space="220"/>
            <w:col w:w="2020" w:space="720"/>
            <w:col w:w="5779"/>
          </w:cols>
          <w:pgMar w:left="1100" w:top="1325"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3460"/>
        <w:spacing w:after="0"/>
        <w:rPr>
          <w:sz w:val="20"/>
          <w:szCs w:val="20"/>
          <w:color w:val="auto"/>
        </w:rPr>
      </w:pPr>
      <w:r>
        <w:rPr>
          <w:rFonts w:ascii="Courier New" w:cs="Courier New" w:eastAsia="Courier New" w:hAnsi="Courier New"/>
          <w:sz w:val="18"/>
          <w:szCs w:val="18"/>
          <w:color w:val="auto"/>
        </w:rPr>
        <w:t>21</w:t>
      </w:r>
    </w:p>
    <w:p>
      <w:pPr>
        <w:sectPr>
          <w:pgSz w:w="11900" w:h="16838" w:orient="portrait"/>
          <w:cols w:equalWidth="0" w:num="1">
            <w:col w:w="9359"/>
          </w:cols>
          <w:pgMar w:left="1100" w:top="1325" w:right="1440" w:bottom="1440" w:gutter="0" w:footer="0" w:header="0"/>
          <w:type w:val="continuous"/>
        </w:sectPr>
      </w:pPr>
    </w:p>
    <w:bookmarkStart w:id="22" w:name="page23"/>
    <w:bookmarkEnd w:id="22"/>
    <w:p>
      <w:pPr>
        <w:spacing w:after="0" w:line="115" w:lineRule="exact"/>
        <w:rPr>
          <w:sz w:val="20"/>
          <w:szCs w:val="20"/>
          <w:color w:val="auto"/>
        </w:rPr>
      </w:pPr>
    </w:p>
    <w:tbl>
      <w:tblPr>
        <w:tblLayout w:type="fixed"/>
        <w:tblInd w:w="740" w:type="dxa"/>
        <w:tblCellMar>
          <w:top w:w="0" w:type="dxa"/>
          <w:left w:w="0" w:type="dxa"/>
          <w:bottom w:w="0" w:type="dxa"/>
          <w:right w:w="0" w:type="dxa"/>
        </w:tblCellMar>
      </w:tblPr>
      <w:tr>
        <w:trPr>
          <w:trHeight w:val="204"/>
        </w:trPr>
        <w:tc>
          <w:tcPr>
            <w:tcW w:w="2220" w:type="dxa"/>
            <w:vAlign w:val="bottom"/>
          </w:tcPr>
          <w:p>
            <w:pPr>
              <w:jc w:val="right"/>
              <w:spacing w:after="0"/>
              <w:rPr>
                <w:sz w:val="20"/>
                <w:szCs w:val="20"/>
                <w:color w:val="auto"/>
              </w:rPr>
            </w:pPr>
            <w:r>
              <w:rPr>
                <w:rFonts w:ascii="Courier New" w:cs="Courier New" w:eastAsia="Courier New" w:hAnsi="Courier New"/>
                <w:sz w:val="18"/>
                <w:szCs w:val="18"/>
                <w:color w:val="auto"/>
              </w:rPr>
              <w:t>MICRON</w:t>
            </w:r>
          </w:p>
        </w:tc>
        <w:tc>
          <w:tcPr>
            <w:tcW w:w="316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TECHNOLOGY, INC.</w:t>
            </w:r>
          </w:p>
        </w:tc>
      </w:tr>
      <w:tr>
        <w:trPr>
          <w:trHeight w:val="405"/>
        </w:trPr>
        <w:tc>
          <w:tcPr>
            <w:tcW w:w="22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8"/>
                <w:szCs w:val="18"/>
                <w:color w:val="auto"/>
                <w:w w:val="92"/>
              </w:rPr>
              <w:t>Exhibit</w:t>
            </w:r>
          </w:p>
        </w:tc>
        <w:tc>
          <w:tcPr>
            <w:tcW w:w="2380" w:type="dxa"/>
            <w:vAlign w:val="bottom"/>
          </w:tcPr>
          <w:p>
            <w:pPr>
              <w:ind w:left="60"/>
              <w:spacing w:after="0"/>
              <w:rPr>
                <w:sz w:val="20"/>
                <w:szCs w:val="20"/>
                <w:color w:val="auto"/>
              </w:rPr>
            </w:pPr>
            <w:r>
              <w:rPr>
                <w:rFonts w:ascii="Courier New" w:cs="Courier New" w:eastAsia="Courier New" w:hAnsi="Courier New"/>
                <w:sz w:val="18"/>
                <w:szCs w:val="18"/>
                <w:color w:val="auto"/>
              </w:rPr>
              <w:t>11</w:t>
            </w:r>
          </w:p>
        </w:tc>
      </w:tr>
      <w:tr>
        <w:trPr>
          <w:trHeight w:val="405"/>
        </w:trPr>
        <w:tc>
          <w:tcPr>
            <w:tcW w:w="2220" w:type="dxa"/>
            <w:vAlign w:val="bottom"/>
          </w:tcPr>
          <w:p>
            <w:pPr>
              <w:jc w:val="right"/>
              <w:spacing w:after="0"/>
              <w:rPr>
                <w:sz w:val="20"/>
                <w:szCs w:val="20"/>
                <w:color w:val="auto"/>
              </w:rPr>
            </w:pPr>
            <w:r>
              <w:rPr>
                <w:rFonts w:ascii="Courier New" w:cs="Courier New" w:eastAsia="Courier New" w:hAnsi="Courier New"/>
                <w:sz w:val="18"/>
                <w:szCs w:val="18"/>
                <w:color w:val="auto"/>
              </w:rPr>
              <w:t>Computation</w:t>
            </w:r>
          </w:p>
        </w:tc>
        <w:tc>
          <w:tcPr>
            <w:tcW w:w="780" w:type="dxa"/>
            <w:vAlign w:val="bottom"/>
          </w:tcPr>
          <w:p>
            <w:pPr>
              <w:jc w:val="right"/>
              <w:spacing w:after="0"/>
              <w:rPr>
                <w:sz w:val="20"/>
                <w:szCs w:val="20"/>
                <w:color w:val="auto"/>
              </w:rPr>
            </w:pPr>
            <w:r>
              <w:rPr>
                <w:rFonts w:ascii="Courier New" w:cs="Courier New" w:eastAsia="Courier New" w:hAnsi="Courier New"/>
                <w:sz w:val="18"/>
                <w:szCs w:val="18"/>
                <w:color w:val="auto"/>
              </w:rPr>
              <w:t>of Per</w:t>
            </w:r>
          </w:p>
        </w:tc>
        <w:tc>
          <w:tcPr>
            <w:tcW w:w="2380" w:type="dxa"/>
            <w:vAlign w:val="bottom"/>
          </w:tcPr>
          <w:p>
            <w:pPr>
              <w:ind w:left="60"/>
              <w:spacing w:after="0"/>
              <w:rPr>
                <w:sz w:val="20"/>
                <w:szCs w:val="20"/>
                <w:color w:val="auto"/>
              </w:rPr>
            </w:pPr>
            <w:r>
              <w:rPr>
                <w:rFonts w:ascii="Courier New" w:cs="Courier New" w:eastAsia="Courier New" w:hAnsi="Courier New"/>
                <w:sz w:val="18"/>
                <w:szCs w:val="18"/>
                <w:color w:val="auto"/>
              </w:rPr>
              <w:t>Share Amounts</w:t>
            </w:r>
          </w:p>
        </w:tc>
      </w:tr>
      <w:tr>
        <w:trPr>
          <w:trHeight w:val="203"/>
        </w:trPr>
        <w:tc>
          <w:tcPr>
            <w:tcW w:w="2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(Amounts in thousands</w:t>
            </w: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except</w:t>
            </w:r>
          </w:p>
        </w:tc>
        <w:tc>
          <w:tcPr>
            <w:tcW w:w="2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6"/>
              </w:rPr>
              <w:t>for per share amounts)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960" w:type="dxa"/>
            <w:vAlign w:val="bottom"/>
          </w:tcPr>
          <w:p>
            <w:pPr>
              <w:spacing w:after="0"/>
              <w:rPr>
                <w:sz w:val="17"/>
                <w:szCs w:val="17"/>
                <w:color w:val="auto"/>
              </w:rPr>
            </w:pPr>
          </w:p>
        </w:tc>
        <w:tc>
          <w:tcPr>
            <w:tcW w:w="2880" w:type="dxa"/>
            <w:vAlign w:val="bottom"/>
            <w:gridSpan w:val="2"/>
          </w:tcPr>
          <w:p>
            <w:pPr>
              <w:jc w:val="right"/>
              <w:ind w:right="532"/>
              <w:spacing w:after="0"/>
              <w:rPr>
                <w:sz w:val="20"/>
                <w:szCs w:val="20"/>
                <w:color w:val="auto"/>
              </w:rPr>
            </w:pPr>
            <w:r>
              <w:rPr>
                <w:rFonts w:ascii="Courier New" w:cs="Courier New" w:eastAsia="Courier New" w:hAnsi="Courier New"/>
                <w:sz w:val="18"/>
                <w:szCs w:val="18"/>
                <w:color w:val="auto"/>
              </w:rPr>
              <w:t>Quarter Ended</w:t>
            </w:r>
          </w:p>
        </w:tc>
      </w:tr>
      <w:tr>
        <w:trPr>
          <w:trHeight w:val="203"/>
        </w:trPr>
        <w:tc>
          <w:tcPr>
            <w:tcW w:w="3960" w:type="dxa"/>
            <w:vAlign w:val="bottom"/>
          </w:tcPr>
          <w:p>
            <w:pPr>
              <w:spacing w:after="0"/>
              <w:rPr>
                <w:sz w:val="17"/>
                <w:szCs w:val="17"/>
                <w:color w:val="auto"/>
              </w:rPr>
            </w:pPr>
          </w:p>
        </w:tc>
        <w:tc>
          <w:tcPr>
            <w:tcW w:w="16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March 3,</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March 4,</w:t>
            </w:r>
          </w:p>
        </w:tc>
      </w:tr>
      <w:tr>
        <w:trPr>
          <w:trHeight w:val="203"/>
        </w:trPr>
        <w:tc>
          <w:tcPr>
            <w:tcW w:w="3960" w:type="dxa"/>
            <w:vAlign w:val="bottom"/>
          </w:tcPr>
          <w:p>
            <w:pPr>
              <w:spacing w:after="0"/>
              <w:rPr>
                <w:sz w:val="17"/>
                <w:szCs w:val="17"/>
                <w:color w:val="auto"/>
              </w:rPr>
            </w:pPr>
          </w:p>
        </w:tc>
        <w:tc>
          <w:tcPr>
            <w:tcW w:w="16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1994</w:t>
            </w:r>
          </w:p>
        </w:tc>
        <w:tc>
          <w:tcPr>
            <w:tcW w:w="12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1993</w:t>
            </w:r>
          </w:p>
        </w:tc>
      </w:tr>
      <w:tr>
        <w:trPr>
          <w:trHeight w:val="203"/>
        </w:trPr>
        <w:tc>
          <w:tcPr>
            <w:tcW w:w="3960" w:type="dxa"/>
            <w:vAlign w:val="bottom"/>
          </w:tcPr>
          <w:p>
            <w:pPr>
              <w:spacing w:after="0"/>
              <w:rPr>
                <w:sz w:val="17"/>
                <w:szCs w:val="17"/>
                <w:color w:val="auto"/>
              </w:rPr>
            </w:pPr>
          </w:p>
        </w:tc>
        <w:tc>
          <w:tcPr>
            <w:tcW w:w="16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960" w:type="dxa"/>
            <w:vAlign w:val="bottom"/>
          </w:tcPr>
          <w:p>
            <w:pPr>
              <w:spacing w:after="0"/>
              <w:rPr>
                <w:sz w:val="20"/>
                <w:szCs w:val="20"/>
                <w:color w:val="auto"/>
              </w:rPr>
            </w:pPr>
            <w:r>
              <w:rPr>
                <w:rFonts w:ascii="Courier New" w:cs="Courier New" w:eastAsia="Courier New" w:hAnsi="Courier New"/>
                <w:sz w:val="18"/>
                <w:szCs w:val="18"/>
                <w:color w:val="auto"/>
              </w:rPr>
              <w:t>PRIMARY</w:t>
            </w:r>
          </w:p>
        </w:tc>
        <w:tc>
          <w:tcPr>
            <w:tcW w:w="168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608"/>
        </w:trPr>
        <w:tc>
          <w:tcPr>
            <w:tcW w:w="3960" w:type="dxa"/>
            <w:vAlign w:val="bottom"/>
          </w:tcPr>
          <w:p>
            <w:pPr>
              <w:ind w:left="220"/>
              <w:spacing w:after="0"/>
              <w:rPr>
                <w:sz w:val="20"/>
                <w:szCs w:val="20"/>
                <w:color w:val="auto"/>
              </w:rPr>
            </w:pPr>
            <w:r>
              <w:rPr>
                <w:rFonts w:ascii="Courier New" w:cs="Courier New" w:eastAsia="Courier New" w:hAnsi="Courier New"/>
                <w:sz w:val="18"/>
                <w:szCs w:val="18"/>
                <w:color w:val="auto"/>
              </w:rPr>
              <w:t>Weighted average shares</w:t>
            </w:r>
          </w:p>
        </w:tc>
        <w:tc>
          <w:tcPr>
            <w:tcW w:w="168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03"/>
        </w:trPr>
        <w:tc>
          <w:tcPr>
            <w:tcW w:w="39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outstanding</w:t>
            </w:r>
          </w:p>
        </w:tc>
        <w:tc>
          <w:tcPr>
            <w:tcW w:w="16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40,369</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39,423</w:t>
            </w:r>
          </w:p>
        </w:tc>
      </w:tr>
      <w:tr>
        <w:trPr>
          <w:trHeight w:val="608"/>
        </w:trPr>
        <w:tc>
          <w:tcPr>
            <w:tcW w:w="3960" w:type="dxa"/>
            <w:vAlign w:val="bottom"/>
          </w:tcPr>
          <w:p>
            <w:pPr>
              <w:ind w:left="220"/>
              <w:spacing w:after="0"/>
              <w:rPr>
                <w:sz w:val="20"/>
                <w:szCs w:val="20"/>
                <w:color w:val="auto"/>
              </w:rPr>
            </w:pPr>
            <w:r>
              <w:rPr>
                <w:rFonts w:ascii="Courier New" w:cs="Courier New" w:eastAsia="Courier New" w:hAnsi="Courier New"/>
                <w:sz w:val="18"/>
                <w:szCs w:val="18"/>
                <w:color w:val="auto"/>
              </w:rPr>
              <w:t>Stock options using average</w:t>
            </w:r>
          </w:p>
        </w:tc>
        <w:tc>
          <w:tcPr>
            <w:tcW w:w="168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03"/>
        </w:trPr>
        <w:tc>
          <w:tcPr>
            <w:tcW w:w="39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market price</w:t>
            </w:r>
          </w:p>
        </w:tc>
        <w:tc>
          <w:tcPr>
            <w:tcW w:w="16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1,149</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929</w:t>
            </w:r>
          </w:p>
        </w:tc>
      </w:tr>
      <w:tr>
        <w:trPr>
          <w:trHeight w:val="203"/>
        </w:trPr>
        <w:tc>
          <w:tcPr>
            <w:tcW w:w="3960" w:type="dxa"/>
            <w:vAlign w:val="bottom"/>
          </w:tcPr>
          <w:p>
            <w:pPr>
              <w:spacing w:after="0"/>
              <w:rPr>
                <w:sz w:val="17"/>
                <w:szCs w:val="17"/>
                <w:color w:val="auto"/>
              </w:rPr>
            </w:pPr>
          </w:p>
        </w:tc>
        <w:tc>
          <w:tcPr>
            <w:tcW w:w="16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Total shares</w:t>
            </w:r>
          </w:p>
        </w:tc>
        <w:tc>
          <w:tcPr>
            <w:tcW w:w="16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41,518</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40,352</w:t>
            </w:r>
          </w:p>
        </w:tc>
      </w:tr>
      <w:tr>
        <w:trPr>
          <w:trHeight w:val="203"/>
        </w:trPr>
        <w:tc>
          <w:tcPr>
            <w:tcW w:w="3960" w:type="dxa"/>
            <w:vAlign w:val="bottom"/>
          </w:tcPr>
          <w:p>
            <w:pPr>
              <w:spacing w:after="0"/>
              <w:rPr>
                <w:sz w:val="17"/>
                <w:szCs w:val="17"/>
                <w:color w:val="auto"/>
              </w:rPr>
            </w:pPr>
          </w:p>
        </w:tc>
        <w:tc>
          <w:tcPr>
            <w:tcW w:w="16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960" w:type="dxa"/>
            <w:vAlign w:val="bottom"/>
          </w:tcPr>
          <w:p>
            <w:pPr>
              <w:ind w:left="220"/>
              <w:spacing w:after="0"/>
              <w:rPr>
                <w:sz w:val="20"/>
                <w:szCs w:val="20"/>
                <w:color w:val="auto"/>
              </w:rPr>
            </w:pPr>
            <w:r>
              <w:rPr>
                <w:rFonts w:ascii="Courier New" w:cs="Courier New" w:eastAsia="Courier New" w:hAnsi="Courier New"/>
                <w:sz w:val="18"/>
                <w:szCs w:val="18"/>
                <w:color w:val="auto"/>
              </w:rPr>
              <w:t>Net income</w:t>
            </w:r>
          </w:p>
        </w:tc>
        <w:tc>
          <w:tcPr>
            <w:tcW w:w="168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$86,758</w:t>
            </w:r>
          </w:p>
        </w:tc>
        <w:tc>
          <w:tcPr>
            <w:tcW w:w="1200" w:type="dxa"/>
            <w:vAlign w:val="bottom"/>
          </w:tcPr>
          <w:p>
            <w:pPr>
              <w:jc w:val="right"/>
              <w:spacing w:after="0"/>
              <w:rPr>
                <w:sz w:val="20"/>
                <w:szCs w:val="20"/>
                <w:color w:val="auto"/>
              </w:rPr>
            </w:pPr>
            <w:r>
              <w:rPr>
                <w:rFonts w:ascii="Courier New" w:cs="Courier New" w:eastAsia="Courier New" w:hAnsi="Courier New"/>
                <w:sz w:val="18"/>
                <w:szCs w:val="18"/>
                <w:color w:val="auto"/>
              </w:rPr>
              <w:t>$9,035</w:t>
            </w:r>
          </w:p>
        </w:tc>
      </w:tr>
      <w:tr>
        <w:trPr>
          <w:trHeight w:val="203"/>
        </w:trPr>
        <w:tc>
          <w:tcPr>
            <w:tcW w:w="3960" w:type="dxa"/>
            <w:vAlign w:val="bottom"/>
          </w:tcPr>
          <w:p>
            <w:pPr>
              <w:spacing w:after="0"/>
              <w:rPr>
                <w:sz w:val="17"/>
                <w:szCs w:val="17"/>
                <w:color w:val="auto"/>
              </w:rPr>
            </w:pPr>
          </w:p>
        </w:tc>
        <w:tc>
          <w:tcPr>
            <w:tcW w:w="16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960" w:type="dxa"/>
            <w:vAlign w:val="bottom"/>
          </w:tcPr>
          <w:p>
            <w:pPr>
              <w:ind w:left="220"/>
              <w:spacing w:after="0"/>
              <w:rPr>
                <w:sz w:val="20"/>
                <w:szCs w:val="20"/>
                <w:color w:val="auto"/>
              </w:rPr>
            </w:pPr>
            <w:r>
              <w:rPr>
                <w:rFonts w:ascii="Courier New" w:cs="Courier New" w:eastAsia="Courier New" w:hAnsi="Courier New"/>
                <w:sz w:val="18"/>
                <w:szCs w:val="18"/>
                <w:color w:val="auto"/>
              </w:rPr>
              <w:t>Per share amount</w:t>
            </w:r>
          </w:p>
        </w:tc>
        <w:tc>
          <w:tcPr>
            <w:tcW w:w="168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$2.09</w:t>
            </w:r>
          </w:p>
        </w:tc>
        <w:tc>
          <w:tcPr>
            <w:tcW w:w="1200" w:type="dxa"/>
            <w:vAlign w:val="bottom"/>
          </w:tcPr>
          <w:p>
            <w:pPr>
              <w:jc w:val="right"/>
              <w:spacing w:after="0"/>
              <w:rPr>
                <w:sz w:val="20"/>
                <w:szCs w:val="20"/>
                <w:color w:val="auto"/>
              </w:rPr>
            </w:pPr>
            <w:r>
              <w:rPr>
                <w:rFonts w:ascii="Courier New" w:cs="Courier New" w:eastAsia="Courier New" w:hAnsi="Courier New"/>
                <w:sz w:val="18"/>
                <w:szCs w:val="18"/>
                <w:color w:val="auto"/>
              </w:rPr>
              <w:t>$0.22</w:t>
            </w:r>
          </w:p>
        </w:tc>
      </w:tr>
      <w:tr>
        <w:trPr>
          <w:trHeight w:val="203"/>
        </w:trPr>
        <w:tc>
          <w:tcPr>
            <w:tcW w:w="3960" w:type="dxa"/>
            <w:vAlign w:val="bottom"/>
          </w:tcPr>
          <w:p>
            <w:pPr>
              <w:spacing w:after="0"/>
              <w:rPr>
                <w:sz w:val="17"/>
                <w:szCs w:val="17"/>
                <w:color w:val="auto"/>
              </w:rPr>
            </w:pPr>
          </w:p>
        </w:tc>
        <w:tc>
          <w:tcPr>
            <w:tcW w:w="16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810"/>
        </w:trPr>
        <w:tc>
          <w:tcPr>
            <w:tcW w:w="3960" w:type="dxa"/>
            <w:vAlign w:val="bottom"/>
          </w:tcPr>
          <w:p>
            <w:pPr>
              <w:spacing w:after="0"/>
              <w:rPr>
                <w:sz w:val="20"/>
                <w:szCs w:val="20"/>
                <w:color w:val="auto"/>
              </w:rPr>
            </w:pPr>
            <w:r>
              <w:rPr>
                <w:rFonts w:ascii="Courier New" w:cs="Courier New" w:eastAsia="Courier New" w:hAnsi="Courier New"/>
                <w:sz w:val="18"/>
                <w:szCs w:val="18"/>
                <w:color w:val="auto"/>
              </w:rPr>
              <w:t>FULLY DILUTED</w:t>
            </w:r>
          </w:p>
        </w:tc>
        <w:tc>
          <w:tcPr>
            <w:tcW w:w="168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405"/>
        </w:trPr>
        <w:tc>
          <w:tcPr>
            <w:tcW w:w="3960" w:type="dxa"/>
            <w:vAlign w:val="bottom"/>
          </w:tcPr>
          <w:p>
            <w:pPr>
              <w:ind w:left="220"/>
              <w:spacing w:after="0"/>
              <w:rPr>
                <w:sz w:val="20"/>
                <w:szCs w:val="20"/>
                <w:color w:val="auto"/>
              </w:rPr>
            </w:pPr>
            <w:r>
              <w:rPr>
                <w:rFonts w:ascii="Courier New" w:cs="Courier New" w:eastAsia="Courier New" w:hAnsi="Courier New"/>
                <w:sz w:val="18"/>
                <w:szCs w:val="18"/>
                <w:color w:val="auto"/>
              </w:rPr>
              <w:t>Weighted average shares</w:t>
            </w:r>
          </w:p>
        </w:tc>
        <w:tc>
          <w:tcPr>
            <w:tcW w:w="168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03"/>
        </w:trPr>
        <w:tc>
          <w:tcPr>
            <w:tcW w:w="39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outstanding</w:t>
            </w:r>
          </w:p>
        </w:tc>
        <w:tc>
          <w:tcPr>
            <w:tcW w:w="16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40,369</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39,423</w:t>
            </w:r>
          </w:p>
        </w:tc>
      </w:tr>
      <w:tr>
        <w:trPr>
          <w:trHeight w:val="608"/>
        </w:trPr>
        <w:tc>
          <w:tcPr>
            <w:tcW w:w="3960" w:type="dxa"/>
            <w:vAlign w:val="bottom"/>
          </w:tcPr>
          <w:p>
            <w:pPr>
              <w:ind w:left="220"/>
              <w:spacing w:after="0"/>
              <w:rPr>
                <w:sz w:val="20"/>
                <w:szCs w:val="20"/>
                <w:color w:val="auto"/>
              </w:rPr>
            </w:pPr>
            <w:r>
              <w:rPr>
                <w:rFonts w:ascii="Courier New" w:cs="Courier New" w:eastAsia="Courier New" w:hAnsi="Courier New"/>
                <w:sz w:val="18"/>
                <w:szCs w:val="18"/>
                <w:color w:val="auto"/>
              </w:rPr>
              <w:t>Stock options using greater of</w:t>
            </w:r>
          </w:p>
        </w:tc>
        <w:tc>
          <w:tcPr>
            <w:tcW w:w="168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03"/>
        </w:trPr>
        <w:tc>
          <w:tcPr>
            <w:tcW w:w="39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average or ending market price</w:t>
            </w:r>
          </w:p>
        </w:tc>
        <w:tc>
          <w:tcPr>
            <w:tcW w:w="16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1,458</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1,088</w:t>
            </w:r>
          </w:p>
        </w:tc>
      </w:tr>
      <w:tr>
        <w:trPr>
          <w:trHeight w:val="203"/>
        </w:trPr>
        <w:tc>
          <w:tcPr>
            <w:tcW w:w="3960" w:type="dxa"/>
            <w:vAlign w:val="bottom"/>
          </w:tcPr>
          <w:p>
            <w:pPr>
              <w:spacing w:after="0"/>
              <w:rPr>
                <w:sz w:val="17"/>
                <w:szCs w:val="17"/>
                <w:color w:val="auto"/>
              </w:rPr>
            </w:pPr>
          </w:p>
        </w:tc>
        <w:tc>
          <w:tcPr>
            <w:tcW w:w="16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Total shares</w:t>
            </w:r>
          </w:p>
        </w:tc>
        <w:tc>
          <w:tcPr>
            <w:tcW w:w="16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41,827</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40,511</w:t>
            </w:r>
          </w:p>
        </w:tc>
      </w:tr>
      <w:tr>
        <w:trPr>
          <w:trHeight w:val="203"/>
        </w:trPr>
        <w:tc>
          <w:tcPr>
            <w:tcW w:w="3960" w:type="dxa"/>
            <w:vAlign w:val="bottom"/>
          </w:tcPr>
          <w:p>
            <w:pPr>
              <w:spacing w:after="0"/>
              <w:rPr>
                <w:sz w:val="17"/>
                <w:szCs w:val="17"/>
                <w:color w:val="auto"/>
              </w:rPr>
            </w:pPr>
          </w:p>
        </w:tc>
        <w:tc>
          <w:tcPr>
            <w:tcW w:w="16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960" w:type="dxa"/>
            <w:vAlign w:val="bottom"/>
          </w:tcPr>
          <w:p>
            <w:pPr>
              <w:ind w:left="220"/>
              <w:spacing w:after="0"/>
              <w:rPr>
                <w:sz w:val="20"/>
                <w:szCs w:val="20"/>
                <w:color w:val="auto"/>
              </w:rPr>
            </w:pPr>
            <w:r>
              <w:rPr>
                <w:rFonts w:ascii="Courier New" w:cs="Courier New" w:eastAsia="Courier New" w:hAnsi="Courier New"/>
                <w:sz w:val="18"/>
                <w:szCs w:val="18"/>
                <w:color w:val="auto"/>
              </w:rPr>
              <w:t>Net income</w:t>
            </w:r>
          </w:p>
        </w:tc>
        <w:tc>
          <w:tcPr>
            <w:tcW w:w="168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$86,758</w:t>
            </w:r>
          </w:p>
        </w:tc>
        <w:tc>
          <w:tcPr>
            <w:tcW w:w="1200" w:type="dxa"/>
            <w:vAlign w:val="bottom"/>
          </w:tcPr>
          <w:p>
            <w:pPr>
              <w:jc w:val="right"/>
              <w:spacing w:after="0"/>
              <w:rPr>
                <w:sz w:val="20"/>
                <w:szCs w:val="20"/>
                <w:color w:val="auto"/>
              </w:rPr>
            </w:pPr>
            <w:r>
              <w:rPr>
                <w:rFonts w:ascii="Courier New" w:cs="Courier New" w:eastAsia="Courier New" w:hAnsi="Courier New"/>
                <w:sz w:val="18"/>
                <w:szCs w:val="18"/>
                <w:color w:val="auto"/>
              </w:rPr>
              <w:t>$9,035</w:t>
            </w:r>
          </w:p>
        </w:tc>
      </w:tr>
      <w:tr>
        <w:trPr>
          <w:trHeight w:val="203"/>
        </w:trPr>
        <w:tc>
          <w:tcPr>
            <w:tcW w:w="3960" w:type="dxa"/>
            <w:vAlign w:val="bottom"/>
          </w:tcPr>
          <w:p>
            <w:pPr>
              <w:spacing w:after="0"/>
              <w:rPr>
                <w:sz w:val="17"/>
                <w:szCs w:val="17"/>
                <w:color w:val="auto"/>
              </w:rPr>
            </w:pPr>
          </w:p>
        </w:tc>
        <w:tc>
          <w:tcPr>
            <w:tcW w:w="16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3960" w:type="dxa"/>
            <w:vAlign w:val="bottom"/>
          </w:tcPr>
          <w:p>
            <w:pPr>
              <w:ind w:left="220"/>
              <w:spacing w:after="0"/>
              <w:rPr>
                <w:sz w:val="20"/>
                <w:szCs w:val="20"/>
                <w:color w:val="auto"/>
              </w:rPr>
            </w:pPr>
            <w:r>
              <w:rPr>
                <w:rFonts w:ascii="Courier New" w:cs="Courier New" w:eastAsia="Courier New" w:hAnsi="Courier New"/>
                <w:sz w:val="18"/>
                <w:szCs w:val="18"/>
                <w:color w:val="auto"/>
              </w:rPr>
              <w:t>Per share amount</w:t>
            </w:r>
          </w:p>
        </w:tc>
        <w:tc>
          <w:tcPr>
            <w:tcW w:w="168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$2.07</w:t>
            </w:r>
          </w:p>
        </w:tc>
        <w:tc>
          <w:tcPr>
            <w:tcW w:w="1200" w:type="dxa"/>
            <w:vAlign w:val="bottom"/>
          </w:tcPr>
          <w:p>
            <w:pPr>
              <w:jc w:val="right"/>
              <w:spacing w:after="0"/>
              <w:rPr>
                <w:sz w:val="20"/>
                <w:szCs w:val="20"/>
                <w:color w:val="auto"/>
              </w:rPr>
            </w:pPr>
            <w:r>
              <w:rPr>
                <w:rFonts w:ascii="Courier New" w:cs="Courier New" w:eastAsia="Courier New" w:hAnsi="Courier New"/>
                <w:sz w:val="18"/>
                <w:szCs w:val="18"/>
                <w:color w:val="auto"/>
              </w:rPr>
              <w:t>$0.22</w:t>
            </w:r>
          </w:p>
        </w:tc>
      </w:tr>
      <w:tr>
        <w:trPr>
          <w:trHeight w:val="203"/>
        </w:trPr>
        <w:tc>
          <w:tcPr>
            <w:tcW w:w="3960" w:type="dxa"/>
            <w:vAlign w:val="bottom"/>
          </w:tcPr>
          <w:p>
            <w:pPr>
              <w:spacing w:after="0"/>
              <w:rPr>
                <w:sz w:val="17"/>
                <w:szCs w:val="17"/>
                <w:color w:val="auto"/>
              </w:rPr>
            </w:pPr>
          </w:p>
        </w:tc>
        <w:tc>
          <w:tcPr>
            <w:tcW w:w="16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MICRON TECHNOLOGY, INC.</w:t>
      </w:r>
    </w:p>
    <w:p>
      <w:pPr>
        <w:spacing w:after="0" w:line="200" w:lineRule="exact"/>
        <w:rPr>
          <w:sz w:val="20"/>
          <w:szCs w:val="20"/>
          <w:color w:val="auto"/>
        </w:rPr>
      </w:pPr>
    </w:p>
    <w:p>
      <w:pPr>
        <w:spacing w:after="0" w:line="204" w:lineRule="exact"/>
        <w:rPr>
          <w:sz w:val="20"/>
          <w:szCs w:val="20"/>
          <w:color w:val="auto"/>
        </w:rPr>
      </w:pPr>
    </w:p>
    <w:p>
      <w:pPr>
        <w:jc w:val="center"/>
        <w:ind w:right="2199"/>
        <w:spacing w:after="0"/>
        <w:rPr>
          <w:sz w:val="20"/>
          <w:szCs w:val="20"/>
          <w:color w:val="auto"/>
        </w:rPr>
      </w:pPr>
      <w:r>
        <w:rPr>
          <w:rFonts w:ascii="Courier New" w:cs="Courier New" w:eastAsia="Courier New" w:hAnsi="Courier New"/>
          <w:sz w:val="18"/>
          <w:szCs w:val="18"/>
          <w:color w:val="auto"/>
        </w:rPr>
        <w:t>Exhibit 11</w:t>
      </w:r>
    </w:p>
    <w:p>
      <w:pPr>
        <w:spacing w:after="0" w:line="207" w:lineRule="exact"/>
        <w:rPr>
          <w:sz w:val="20"/>
          <w:szCs w:val="20"/>
          <w:color w:val="auto"/>
        </w:rPr>
      </w:pPr>
    </w:p>
    <w:p>
      <w:pPr>
        <w:ind w:left="740" w:right="3039" w:firstLine="1053"/>
        <w:spacing w:after="0" w:line="290" w:lineRule="auto"/>
        <w:rPr>
          <w:sz w:val="20"/>
          <w:szCs w:val="20"/>
          <w:color w:val="auto"/>
        </w:rPr>
      </w:pPr>
      <w:r>
        <w:rPr>
          <w:rFonts w:ascii="Courier New" w:cs="Courier New" w:eastAsia="Courier New" w:hAnsi="Courier New"/>
          <w:sz w:val="16"/>
          <w:szCs w:val="16"/>
          <w:color w:val="auto"/>
        </w:rPr>
        <w:t>Computation of Per Share Amounts (Amounts in thousands except for per share amounts)</w:t>
      </w:r>
    </w:p>
    <w:p>
      <w:pPr>
        <w:sectPr>
          <w:pgSz w:w="11900" w:h="16838" w:orient="portrait"/>
          <w:cols w:equalWidth="0" w:num="1">
            <w:col w:w="9159"/>
          </w:cols>
          <w:pgMar w:left="1300" w:top="1440" w:right="1440" w:bottom="527"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204"/>
        </w:trPr>
        <w:tc>
          <w:tcPr>
            <w:tcW w:w="3900" w:type="dxa"/>
            <w:vAlign w:val="bottom"/>
          </w:tcPr>
          <w:p>
            <w:pPr>
              <w:spacing w:after="0"/>
              <w:rPr>
                <w:sz w:val="17"/>
                <w:szCs w:val="17"/>
                <w:color w:val="auto"/>
              </w:rPr>
            </w:pPr>
          </w:p>
        </w:tc>
        <w:tc>
          <w:tcPr>
            <w:tcW w:w="2940" w:type="dxa"/>
            <w:vAlign w:val="bottom"/>
            <w:gridSpan w:val="2"/>
          </w:tcPr>
          <w:p>
            <w:pPr>
              <w:jc w:val="right"/>
              <w:ind w:right="432"/>
              <w:spacing w:after="0"/>
              <w:rPr>
                <w:sz w:val="20"/>
                <w:szCs w:val="20"/>
                <w:color w:val="auto"/>
              </w:rPr>
            </w:pPr>
            <w:r>
              <w:rPr>
                <w:rFonts w:ascii="Courier New" w:cs="Courier New" w:eastAsia="Courier New" w:hAnsi="Courier New"/>
                <w:sz w:val="18"/>
                <w:szCs w:val="18"/>
                <w:color w:val="auto"/>
              </w:rPr>
              <w:t>Six Months Ended</w:t>
            </w:r>
          </w:p>
        </w:tc>
      </w:tr>
      <w:tr>
        <w:trPr>
          <w:trHeight w:val="203"/>
        </w:trPr>
        <w:tc>
          <w:tcPr>
            <w:tcW w:w="3900" w:type="dxa"/>
            <w:vAlign w:val="bottom"/>
          </w:tcPr>
          <w:p>
            <w:pPr>
              <w:spacing w:after="0"/>
              <w:rPr>
                <w:sz w:val="17"/>
                <w:szCs w:val="17"/>
                <w:color w:val="auto"/>
              </w:rPr>
            </w:pPr>
          </w:p>
        </w:tc>
        <w:tc>
          <w:tcPr>
            <w:tcW w:w="16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March 3,</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March 4,</w:t>
            </w:r>
          </w:p>
        </w:tc>
      </w:tr>
      <w:tr>
        <w:trPr>
          <w:trHeight w:val="203"/>
        </w:trPr>
        <w:tc>
          <w:tcPr>
            <w:tcW w:w="3900" w:type="dxa"/>
            <w:vAlign w:val="bottom"/>
          </w:tcPr>
          <w:p>
            <w:pPr>
              <w:spacing w:after="0"/>
              <w:rPr>
                <w:sz w:val="17"/>
                <w:szCs w:val="17"/>
                <w:color w:val="auto"/>
              </w:rPr>
            </w:pPr>
          </w:p>
        </w:tc>
        <w:tc>
          <w:tcPr>
            <w:tcW w:w="16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1994</w:t>
            </w:r>
          </w:p>
        </w:tc>
        <w:tc>
          <w:tcPr>
            <w:tcW w:w="12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1993</w:t>
            </w:r>
          </w:p>
        </w:tc>
      </w:tr>
      <w:tr>
        <w:trPr>
          <w:trHeight w:val="203"/>
        </w:trPr>
        <w:tc>
          <w:tcPr>
            <w:tcW w:w="3900" w:type="dxa"/>
            <w:vAlign w:val="bottom"/>
          </w:tcPr>
          <w:p>
            <w:pPr>
              <w:spacing w:after="0"/>
              <w:rPr>
                <w:sz w:val="17"/>
                <w:szCs w:val="17"/>
                <w:color w:val="auto"/>
              </w:rPr>
            </w:pPr>
          </w:p>
        </w:tc>
        <w:tc>
          <w:tcPr>
            <w:tcW w:w="16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900" w:type="dxa"/>
            <w:vAlign w:val="bottom"/>
          </w:tcPr>
          <w:p>
            <w:pPr>
              <w:spacing w:after="0"/>
              <w:rPr>
                <w:sz w:val="20"/>
                <w:szCs w:val="20"/>
                <w:color w:val="auto"/>
              </w:rPr>
            </w:pPr>
            <w:r>
              <w:rPr>
                <w:rFonts w:ascii="Courier New" w:cs="Courier New" w:eastAsia="Courier New" w:hAnsi="Courier New"/>
                <w:sz w:val="18"/>
                <w:szCs w:val="18"/>
                <w:color w:val="auto"/>
              </w:rPr>
              <w:t>PRIMARY</w:t>
            </w:r>
          </w:p>
        </w:tc>
        <w:tc>
          <w:tcPr>
            <w:tcW w:w="16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608"/>
        </w:trPr>
        <w:tc>
          <w:tcPr>
            <w:tcW w:w="3900" w:type="dxa"/>
            <w:vAlign w:val="bottom"/>
          </w:tcPr>
          <w:p>
            <w:pPr>
              <w:ind w:left="220"/>
              <w:spacing w:after="0"/>
              <w:rPr>
                <w:sz w:val="20"/>
                <w:szCs w:val="20"/>
                <w:color w:val="auto"/>
              </w:rPr>
            </w:pPr>
            <w:r>
              <w:rPr>
                <w:rFonts w:ascii="Courier New" w:cs="Courier New" w:eastAsia="Courier New" w:hAnsi="Courier New"/>
                <w:sz w:val="18"/>
                <w:szCs w:val="18"/>
                <w:color w:val="auto"/>
              </w:rPr>
              <w:t>Weighted average shares</w:t>
            </w:r>
          </w:p>
        </w:tc>
        <w:tc>
          <w:tcPr>
            <w:tcW w:w="16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03"/>
        </w:trPr>
        <w:tc>
          <w:tcPr>
            <w:tcW w:w="39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outstanding</w:t>
            </w:r>
          </w:p>
        </w:tc>
        <w:tc>
          <w:tcPr>
            <w:tcW w:w="16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40,284</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39,111</w:t>
            </w:r>
          </w:p>
        </w:tc>
      </w:tr>
      <w:tr>
        <w:trPr>
          <w:trHeight w:val="608"/>
        </w:trPr>
        <w:tc>
          <w:tcPr>
            <w:tcW w:w="3900" w:type="dxa"/>
            <w:vAlign w:val="bottom"/>
          </w:tcPr>
          <w:p>
            <w:pPr>
              <w:ind w:left="220"/>
              <w:spacing w:after="0"/>
              <w:rPr>
                <w:sz w:val="20"/>
                <w:szCs w:val="20"/>
                <w:color w:val="auto"/>
              </w:rPr>
            </w:pPr>
            <w:r>
              <w:rPr>
                <w:rFonts w:ascii="Courier New" w:cs="Courier New" w:eastAsia="Courier New" w:hAnsi="Courier New"/>
                <w:sz w:val="18"/>
                <w:szCs w:val="18"/>
                <w:color w:val="auto"/>
              </w:rPr>
              <w:t>Stock options using average</w:t>
            </w:r>
          </w:p>
        </w:tc>
        <w:tc>
          <w:tcPr>
            <w:tcW w:w="16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03"/>
        </w:trPr>
        <w:tc>
          <w:tcPr>
            <w:tcW w:w="39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market price</w:t>
            </w:r>
          </w:p>
        </w:tc>
        <w:tc>
          <w:tcPr>
            <w:tcW w:w="16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1,087</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833</w:t>
            </w:r>
          </w:p>
        </w:tc>
      </w:tr>
      <w:tr>
        <w:trPr>
          <w:trHeight w:val="203"/>
        </w:trPr>
        <w:tc>
          <w:tcPr>
            <w:tcW w:w="3900" w:type="dxa"/>
            <w:vAlign w:val="bottom"/>
          </w:tcPr>
          <w:p>
            <w:pPr>
              <w:spacing w:after="0"/>
              <w:rPr>
                <w:sz w:val="17"/>
                <w:szCs w:val="17"/>
                <w:color w:val="auto"/>
              </w:rPr>
            </w:pPr>
          </w:p>
        </w:tc>
        <w:tc>
          <w:tcPr>
            <w:tcW w:w="16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Total shares</w:t>
            </w:r>
          </w:p>
        </w:tc>
        <w:tc>
          <w:tcPr>
            <w:tcW w:w="16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41,371</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39,944</w:t>
            </w:r>
          </w:p>
        </w:tc>
      </w:tr>
      <w:tr>
        <w:trPr>
          <w:trHeight w:val="203"/>
        </w:trPr>
        <w:tc>
          <w:tcPr>
            <w:tcW w:w="3900" w:type="dxa"/>
            <w:vAlign w:val="bottom"/>
          </w:tcPr>
          <w:p>
            <w:pPr>
              <w:spacing w:after="0"/>
              <w:rPr>
                <w:sz w:val="17"/>
                <w:szCs w:val="17"/>
                <w:color w:val="auto"/>
              </w:rPr>
            </w:pPr>
          </w:p>
        </w:tc>
        <w:tc>
          <w:tcPr>
            <w:tcW w:w="16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900" w:type="dxa"/>
            <w:vAlign w:val="bottom"/>
          </w:tcPr>
          <w:p>
            <w:pPr>
              <w:ind w:left="220"/>
              <w:spacing w:after="0"/>
              <w:rPr>
                <w:sz w:val="20"/>
                <w:szCs w:val="20"/>
                <w:color w:val="auto"/>
              </w:rPr>
            </w:pPr>
            <w:r>
              <w:rPr>
                <w:rFonts w:ascii="Courier New" w:cs="Courier New" w:eastAsia="Courier New" w:hAnsi="Courier New"/>
                <w:sz w:val="18"/>
                <w:szCs w:val="18"/>
                <w:color w:val="auto"/>
              </w:rPr>
              <w:t>Net income</w:t>
            </w:r>
          </w:p>
        </w:tc>
        <w:tc>
          <w:tcPr>
            <w:tcW w:w="168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$154,311</w:t>
            </w:r>
          </w:p>
        </w:tc>
        <w:tc>
          <w:tcPr>
            <w:tcW w:w="1260" w:type="dxa"/>
            <w:vAlign w:val="bottom"/>
          </w:tcPr>
          <w:p>
            <w:pPr>
              <w:jc w:val="right"/>
              <w:spacing w:after="0"/>
              <w:rPr>
                <w:sz w:val="20"/>
                <w:szCs w:val="20"/>
                <w:color w:val="auto"/>
              </w:rPr>
            </w:pPr>
            <w:r>
              <w:rPr>
                <w:rFonts w:ascii="Courier New" w:cs="Courier New" w:eastAsia="Courier New" w:hAnsi="Courier New"/>
                <w:sz w:val="18"/>
                <w:szCs w:val="18"/>
                <w:color w:val="auto"/>
              </w:rPr>
              <w:t>$11,732</w:t>
            </w:r>
          </w:p>
        </w:tc>
      </w:tr>
      <w:tr>
        <w:trPr>
          <w:trHeight w:val="203"/>
        </w:trPr>
        <w:tc>
          <w:tcPr>
            <w:tcW w:w="3900" w:type="dxa"/>
            <w:vAlign w:val="bottom"/>
          </w:tcPr>
          <w:p>
            <w:pPr>
              <w:spacing w:after="0"/>
              <w:rPr>
                <w:sz w:val="17"/>
                <w:szCs w:val="17"/>
                <w:color w:val="auto"/>
              </w:rPr>
            </w:pPr>
          </w:p>
        </w:tc>
        <w:tc>
          <w:tcPr>
            <w:tcW w:w="16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900" w:type="dxa"/>
            <w:vAlign w:val="bottom"/>
          </w:tcPr>
          <w:p>
            <w:pPr>
              <w:ind w:left="220"/>
              <w:spacing w:after="0"/>
              <w:rPr>
                <w:sz w:val="20"/>
                <w:szCs w:val="20"/>
                <w:color w:val="auto"/>
              </w:rPr>
            </w:pPr>
            <w:r>
              <w:rPr>
                <w:rFonts w:ascii="Courier New" w:cs="Courier New" w:eastAsia="Courier New" w:hAnsi="Courier New"/>
                <w:sz w:val="18"/>
                <w:szCs w:val="18"/>
                <w:color w:val="auto"/>
              </w:rPr>
              <w:t>Per share amount</w:t>
            </w:r>
          </w:p>
        </w:tc>
        <w:tc>
          <w:tcPr>
            <w:tcW w:w="168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$3.73</w:t>
            </w:r>
          </w:p>
        </w:tc>
        <w:tc>
          <w:tcPr>
            <w:tcW w:w="1260" w:type="dxa"/>
            <w:vAlign w:val="bottom"/>
          </w:tcPr>
          <w:p>
            <w:pPr>
              <w:jc w:val="right"/>
              <w:spacing w:after="0"/>
              <w:rPr>
                <w:sz w:val="20"/>
                <w:szCs w:val="20"/>
                <w:color w:val="auto"/>
              </w:rPr>
            </w:pPr>
            <w:r>
              <w:rPr>
                <w:rFonts w:ascii="Courier New" w:cs="Courier New" w:eastAsia="Courier New" w:hAnsi="Courier New"/>
                <w:sz w:val="18"/>
                <w:szCs w:val="18"/>
                <w:color w:val="auto"/>
              </w:rPr>
              <w:t>$0.29</w:t>
            </w:r>
          </w:p>
        </w:tc>
      </w:tr>
      <w:tr>
        <w:trPr>
          <w:trHeight w:val="203"/>
        </w:trPr>
        <w:tc>
          <w:tcPr>
            <w:tcW w:w="3900" w:type="dxa"/>
            <w:vAlign w:val="bottom"/>
          </w:tcPr>
          <w:p>
            <w:pPr>
              <w:spacing w:after="0"/>
              <w:rPr>
                <w:sz w:val="17"/>
                <w:szCs w:val="17"/>
                <w:color w:val="auto"/>
              </w:rPr>
            </w:pPr>
          </w:p>
        </w:tc>
        <w:tc>
          <w:tcPr>
            <w:tcW w:w="16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810"/>
        </w:trPr>
        <w:tc>
          <w:tcPr>
            <w:tcW w:w="3900" w:type="dxa"/>
            <w:vAlign w:val="bottom"/>
          </w:tcPr>
          <w:p>
            <w:pPr>
              <w:spacing w:after="0"/>
              <w:rPr>
                <w:sz w:val="20"/>
                <w:szCs w:val="20"/>
                <w:color w:val="auto"/>
              </w:rPr>
            </w:pPr>
            <w:r>
              <w:rPr>
                <w:rFonts w:ascii="Courier New" w:cs="Courier New" w:eastAsia="Courier New" w:hAnsi="Courier New"/>
                <w:sz w:val="18"/>
                <w:szCs w:val="18"/>
                <w:color w:val="auto"/>
              </w:rPr>
              <w:t>FULLY DILUTED</w:t>
            </w:r>
          </w:p>
        </w:tc>
        <w:tc>
          <w:tcPr>
            <w:tcW w:w="16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405"/>
        </w:trPr>
        <w:tc>
          <w:tcPr>
            <w:tcW w:w="3900" w:type="dxa"/>
            <w:vAlign w:val="bottom"/>
          </w:tcPr>
          <w:p>
            <w:pPr>
              <w:ind w:left="220"/>
              <w:spacing w:after="0"/>
              <w:rPr>
                <w:sz w:val="20"/>
                <w:szCs w:val="20"/>
                <w:color w:val="auto"/>
              </w:rPr>
            </w:pPr>
            <w:r>
              <w:rPr>
                <w:rFonts w:ascii="Courier New" w:cs="Courier New" w:eastAsia="Courier New" w:hAnsi="Courier New"/>
                <w:sz w:val="18"/>
                <w:szCs w:val="18"/>
                <w:color w:val="auto"/>
              </w:rPr>
              <w:t>Weighted average shares</w:t>
            </w:r>
          </w:p>
        </w:tc>
        <w:tc>
          <w:tcPr>
            <w:tcW w:w="16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03"/>
        </w:trPr>
        <w:tc>
          <w:tcPr>
            <w:tcW w:w="39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outstanding</w:t>
            </w:r>
          </w:p>
        </w:tc>
        <w:tc>
          <w:tcPr>
            <w:tcW w:w="16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40,284</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39,111</w:t>
            </w:r>
          </w:p>
        </w:tc>
      </w:tr>
      <w:tr>
        <w:trPr>
          <w:trHeight w:val="608"/>
        </w:trPr>
        <w:tc>
          <w:tcPr>
            <w:tcW w:w="3900" w:type="dxa"/>
            <w:vAlign w:val="bottom"/>
          </w:tcPr>
          <w:p>
            <w:pPr>
              <w:ind w:left="220"/>
              <w:spacing w:after="0"/>
              <w:rPr>
                <w:sz w:val="20"/>
                <w:szCs w:val="20"/>
                <w:color w:val="auto"/>
              </w:rPr>
            </w:pPr>
            <w:r>
              <w:rPr>
                <w:rFonts w:ascii="Courier New" w:cs="Courier New" w:eastAsia="Courier New" w:hAnsi="Courier New"/>
                <w:sz w:val="18"/>
                <w:szCs w:val="18"/>
                <w:color w:val="auto"/>
              </w:rPr>
              <w:t>Stock options using greater of</w:t>
            </w:r>
          </w:p>
        </w:tc>
        <w:tc>
          <w:tcPr>
            <w:tcW w:w="16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03"/>
        </w:trPr>
        <w:tc>
          <w:tcPr>
            <w:tcW w:w="39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average or ending market price</w:t>
            </w:r>
          </w:p>
        </w:tc>
        <w:tc>
          <w:tcPr>
            <w:tcW w:w="16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1,431</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1,073</w:t>
            </w:r>
          </w:p>
        </w:tc>
      </w:tr>
      <w:tr>
        <w:trPr>
          <w:trHeight w:val="203"/>
        </w:trPr>
        <w:tc>
          <w:tcPr>
            <w:tcW w:w="3900" w:type="dxa"/>
            <w:vAlign w:val="bottom"/>
          </w:tcPr>
          <w:p>
            <w:pPr>
              <w:spacing w:after="0"/>
              <w:rPr>
                <w:sz w:val="17"/>
                <w:szCs w:val="17"/>
                <w:color w:val="auto"/>
              </w:rPr>
            </w:pPr>
          </w:p>
        </w:tc>
        <w:tc>
          <w:tcPr>
            <w:tcW w:w="16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Total shares</w:t>
            </w:r>
          </w:p>
        </w:tc>
        <w:tc>
          <w:tcPr>
            <w:tcW w:w="16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41,715</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40,184</w:t>
            </w:r>
          </w:p>
        </w:tc>
      </w:tr>
      <w:tr>
        <w:trPr>
          <w:trHeight w:val="203"/>
        </w:trPr>
        <w:tc>
          <w:tcPr>
            <w:tcW w:w="3900" w:type="dxa"/>
            <w:vAlign w:val="bottom"/>
          </w:tcPr>
          <w:p>
            <w:pPr>
              <w:spacing w:after="0"/>
              <w:rPr>
                <w:sz w:val="17"/>
                <w:szCs w:val="17"/>
                <w:color w:val="auto"/>
              </w:rPr>
            </w:pPr>
          </w:p>
        </w:tc>
        <w:tc>
          <w:tcPr>
            <w:tcW w:w="16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900" w:type="dxa"/>
            <w:vAlign w:val="bottom"/>
          </w:tcPr>
          <w:p>
            <w:pPr>
              <w:ind w:left="220"/>
              <w:spacing w:after="0"/>
              <w:rPr>
                <w:sz w:val="20"/>
                <w:szCs w:val="20"/>
                <w:color w:val="auto"/>
              </w:rPr>
            </w:pPr>
            <w:r>
              <w:rPr>
                <w:rFonts w:ascii="Courier New" w:cs="Courier New" w:eastAsia="Courier New" w:hAnsi="Courier New"/>
                <w:sz w:val="18"/>
                <w:szCs w:val="18"/>
                <w:color w:val="auto"/>
              </w:rPr>
              <w:t>Net income</w:t>
            </w:r>
          </w:p>
        </w:tc>
        <w:tc>
          <w:tcPr>
            <w:tcW w:w="168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$154,311</w:t>
            </w:r>
          </w:p>
        </w:tc>
        <w:tc>
          <w:tcPr>
            <w:tcW w:w="1260" w:type="dxa"/>
            <w:vAlign w:val="bottom"/>
          </w:tcPr>
          <w:p>
            <w:pPr>
              <w:jc w:val="right"/>
              <w:spacing w:after="0"/>
              <w:rPr>
                <w:sz w:val="20"/>
                <w:szCs w:val="20"/>
                <w:color w:val="auto"/>
              </w:rPr>
            </w:pPr>
            <w:r>
              <w:rPr>
                <w:rFonts w:ascii="Courier New" w:cs="Courier New" w:eastAsia="Courier New" w:hAnsi="Courier New"/>
                <w:sz w:val="18"/>
                <w:szCs w:val="18"/>
                <w:color w:val="auto"/>
              </w:rPr>
              <w:t>$11,732</w:t>
            </w:r>
          </w:p>
        </w:tc>
      </w:tr>
      <w:tr>
        <w:trPr>
          <w:trHeight w:val="203"/>
        </w:trPr>
        <w:tc>
          <w:tcPr>
            <w:tcW w:w="3900" w:type="dxa"/>
            <w:vAlign w:val="bottom"/>
          </w:tcPr>
          <w:p>
            <w:pPr>
              <w:spacing w:after="0"/>
              <w:rPr>
                <w:sz w:val="17"/>
                <w:szCs w:val="17"/>
                <w:color w:val="auto"/>
              </w:rPr>
            </w:pPr>
          </w:p>
        </w:tc>
        <w:tc>
          <w:tcPr>
            <w:tcW w:w="16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900" w:type="dxa"/>
            <w:vAlign w:val="bottom"/>
          </w:tcPr>
          <w:p>
            <w:pPr>
              <w:ind w:left="220"/>
              <w:spacing w:after="0"/>
              <w:rPr>
                <w:sz w:val="20"/>
                <w:szCs w:val="20"/>
                <w:color w:val="auto"/>
              </w:rPr>
            </w:pPr>
            <w:r>
              <w:rPr>
                <w:rFonts w:ascii="Courier New" w:cs="Courier New" w:eastAsia="Courier New" w:hAnsi="Courier New"/>
                <w:sz w:val="18"/>
                <w:szCs w:val="18"/>
                <w:color w:val="auto"/>
              </w:rPr>
              <w:t>Per share amount</w:t>
            </w:r>
          </w:p>
        </w:tc>
        <w:tc>
          <w:tcPr>
            <w:tcW w:w="168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$3.70</w:t>
            </w:r>
          </w:p>
        </w:tc>
        <w:tc>
          <w:tcPr>
            <w:tcW w:w="1260" w:type="dxa"/>
            <w:vAlign w:val="bottom"/>
          </w:tcPr>
          <w:p>
            <w:pPr>
              <w:jc w:val="right"/>
              <w:spacing w:after="0"/>
              <w:rPr>
                <w:sz w:val="20"/>
                <w:szCs w:val="20"/>
                <w:color w:val="auto"/>
              </w:rPr>
            </w:pPr>
            <w:r>
              <w:rPr>
                <w:rFonts w:ascii="Courier New" w:cs="Courier New" w:eastAsia="Courier New" w:hAnsi="Courier New"/>
                <w:sz w:val="18"/>
                <w:szCs w:val="18"/>
                <w:color w:val="auto"/>
              </w:rPr>
              <w:t>$0.29</w:t>
            </w:r>
          </w:p>
        </w:tc>
      </w:tr>
      <w:tr>
        <w:trPr>
          <w:trHeight w:val="203"/>
        </w:trPr>
        <w:tc>
          <w:tcPr>
            <w:tcW w:w="3900" w:type="dxa"/>
            <w:vAlign w:val="bottom"/>
          </w:tcPr>
          <w:p>
            <w:pPr>
              <w:spacing w:after="0"/>
              <w:rPr>
                <w:sz w:val="17"/>
                <w:szCs w:val="17"/>
                <w:color w:val="auto"/>
              </w:rPr>
            </w:pPr>
          </w:p>
        </w:tc>
        <w:tc>
          <w:tcPr>
            <w:tcW w:w="16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1" w:lineRule="exact"/>
        <w:rPr>
          <w:sz w:val="20"/>
          <w:szCs w:val="20"/>
          <w:color w:val="auto"/>
        </w:rPr>
      </w:pPr>
    </w:p>
    <w:sectPr>
      <w:pgSz w:w="11900" w:h="16838" w:orient="portrait"/>
      <w:cols w:equalWidth="0" w:num="1">
        <w:col w:w="9159"/>
      </w:cols>
      <w:pgMar w:left="1300" w:top="74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upperLetter"/>
      <w:start w:val="24"/>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1."/>
      <w:numFmt w:val="decimal"/>
      <w:start w:val="8"/>
    </w:lvl>
  </w:abstractNum>
  <w:abstractNum w:abstractNumId="4">
    <w:nsid w:val="7545E146"/>
    <w:multiLevelType w:val="hybridMultilevel"/>
    <w:lvl w:ilvl="0">
      <w:lvlJc w:val="left"/>
      <w:lvlText w:val="%1."/>
      <w:numFmt w:val="decimal"/>
      <w:start w:val="9"/>
    </w:lvl>
  </w:abstractNum>
  <w:abstractNum w:abstractNumId="5">
    <w:nsid w:val="515F007C"/>
    <w:multiLevelType w:val="hybridMultilevel"/>
    <w:lvl w:ilvl="0">
      <w:lvlJc w:val="left"/>
      <w:lvlText w:val="%1."/>
      <w:numFmt w:val="decimal"/>
      <w:start w:val="10"/>
    </w:lvl>
  </w:abstractNum>
  <w:abstractNum w:abstractNumId="6">
    <w:nsid w:val="5BD062C2"/>
    <w:multiLevelType w:val="hybridMultilevel"/>
    <w:lvl w:ilvl="0">
      <w:lvlJc w:val="left"/>
      <w:lvlText w:val="%1."/>
      <w:numFmt w:val="decimal"/>
      <w:start w:val="11"/>
    </w:lvl>
  </w:abstractNum>
  <w:abstractNum w:abstractNumId="7">
    <w:nsid w:val="12200854"/>
    <w:multiLevelType w:val="hybridMultilevel"/>
    <w:lvl w:ilvl="0">
      <w:lvlJc w:val="left"/>
      <w:lvlText w:val="(%1)"/>
      <w:numFmt w:val="lowerLetter"/>
      <w:start w:val="1"/>
    </w:lvl>
  </w:abstractNum>
  <w:abstractNum w:abstractNumId="8">
    <w:nsid w:val="4DB127F8"/>
    <w:multiLevelType w:val="hybridMultilevel"/>
    <w:lvl w:ilvl="0">
      <w:lvlJc w:val="left"/>
      <w:lvlText w:val="(%1)"/>
      <w:numFmt w:val="lowerLetter"/>
      <w:start w:val="2"/>
    </w:lvl>
  </w:abstractNum>
  <w:abstractNum w:abstractNumId="9">
    <w:nsid w:val="216231B"/>
    <w:multiLevelType w:val="hybridMultilevel"/>
    <w:lvl w:ilvl="0">
      <w:lvlJc w:val="left"/>
      <w:lvlText w:val="%1"/>
      <w:numFmt w:val="lowerLetter"/>
      <w:start w:val="1"/>
    </w:lvl>
    <w:lvl w:ilvl="1">
      <w:lvlJc w:val="left"/>
      <w:lvlText w:val="%2"/>
      <w:numFmt w:val="decimal"/>
      <w:start w:val="11"/>
    </w:lvl>
  </w:abstractNum>
  <w:abstractNum w:abstractNumId="10">
    <w:nsid w:val="1F16E9E8"/>
    <w:multiLevelType w:val="hybridMultilevel"/>
    <w:lvl w:ilvl="0">
      <w:lvlJc w:val="left"/>
      <w:lvlText w:val="%1)"/>
      <w:numFmt w:val="lowerLetter"/>
      <w:start w:val="2"/>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2019-12-12T06:12:25Z</dcterms:created>
  <dcterms:modified xsi:type="dcterms:W3CDTF">2019-12-12T06:12:25Z</dcterms:modified>
</cp:coreProperties>
</file>