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Micron Technology Incorporated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595112103</w:t>
      </w:r>
    </w:p>
    <w:p>
      <w:pPr>
        <w:spacing w:after="0"/>
        <w:rPr>
          <w:sz w:val="20"/>
          <w:szCs w:val="20"/>
          <w:color w:val="auto"/>
        </w:rPr>
      </w:pPr>
      <w:r>
        <w:rPr>
          <w:rFonts w:ascii="Courier New" w:cs="Courier New" w:eastAsia="Courier New" w:hAnsi="Courier New"/>
          <w:sz w:val="18"/>
          <w:szCs w:val="18"/>
          <w:color w:val="auto"/>
        </w:rPr>
        <w:t>Filing Fee: No</w:t>
      </w:r>
    </w:p>
    <w:p>
      <w:pPr>
        <w:sectPr>
          <w:pgSz w:w="11900" w:h="17012" w:orient="portrait"/>
          <w:cols w:equalWidth="0" w:num="1">
            <w:col w:w="10219"/>
          </w:cols>
          <w:pgMar w:left="240" w:top="826" w:right="1440" w:bottom="0" w:gutter="0" w:footer="0" w:header="0"/>
        </w:sectPr>
      </w:pP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140,400</w:t>
      </w:r>
    </w:p>
    <w:p>
      <w:pPr>
        <w:spacing w:after="0"/>
        <w:rPr>
          <w:sz w:val="20"/>
          <w:szCs w:val="20"/>
          <w:color w:val="auto"/>
        </w:rPr>
      </w:pPr>
      <w:r>
        <w:rPr>
          <w:rFonts w:ascii="Courier New" w:cs="Courier New" w:eastAsia="Courier New" w:hAnsi="Courier New"/>
          <w:sz w:val="18"/>
          <w:szCs w:val="18"/>
          <w:color w:val="auto"/>
        </w:rPr>
        <w:t>Item 6: None</w:t>
      </w:r>
    </w:p>
    <w:p>
      <w:pPr>
        <w:spacing w:after="0" w:line="238" w:lineRule="auto"/>
        <w:rPr>
          <w:sz w:val="20"/>
          <w:szCs w:val="20"/>
          <w:color w:val="auto"/>
        </w:rPr>
      </w:pPr>
      <w:r>
        <w:rPr>
          <w:rFonts w:ascii="Courier New" w:cs="Courier New" w:eastAsia="Courier New" w:hAnsi="Courier New"/>
          <w:sz w:val="18"/>
          <w:szCs w:val="18"/>
          <w:color w:val="auto"/>
        </w:rPr>
        <w:t>Item 7: 1,159,625</w:t>
      </w:r>
    </w:p>
    <w:p>
      <w:pPr>
        <w:spacing w:after="0"/>
        <w:rPr>
          <w:sz w:val="20"/>
          <w:szCs w:val="20"/>
          <w:color w:val="auto"/>
        </w:rPr>
      </w:pPr>
      <w:r>
        <w:rPr>
          <w:rFonts w:ascii="Courier New" w:cs="Courier New" w:eastAsia="Courier New" w:hAnsi="Courier New"/>
          <w:sz w:val="18"/>
          <w:szCs w:val="18"/>
          <w:color w:val="auto"/>
        </w:rPr>
        <w:t>Item 8: None</w:t>
      </w:r>
    </w:p>
    <w:p>
      <w:pPr>
        <w:spacing w:after="0" w:line="238" w:lineRule="auto"/>
        <w:rPr>
          <w:sz w:val="20"/>
          <w:szCs w:val="20"/>
          <w:color w:val="auto"/>
        </w:rPr>
      </w:pPr>
      <w:r>
        <w:rPr>
          <w:rFonts w:ascii="Courier New" w:cs="Courier New" w:eastAsia="Courier New" w:hAnsi="Courier New"/>
          <w:sz w:val="18"/>
          <w:szCs w:val="18"/>
          <w:color w:val="auto"/>
        </w:rPr>
        <w:t>Item 9: 1,159,625</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0.56%</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75" w:lineRule="exact"/>
        <w:rPr>
          <w:sz w:val="24"/>
          <w:szCs w:val="24"/>
          <w:color w:val="auto"/>
        </w:rPr>
      </w:pPr>
    </w:p>
    <w:p>
      <w:pPr>
        <w:sectPr>
          <w:pgSz w:w="11900" w:h="17012" w:orient="portrait"/>
          <w:cols w:equalWidth="0" w:num="2">
            <w:col w:w="4960" w:space="200"/>
            <w:col w:w="5059"/>
          </w:cols>
          <w:pgMar w:left="240" w:top="826" w:right="1440" w:bottom="0" w:gutter="0" w:footer="0" w:header="0"/>
          <w:type w:val="continuous"/>
        </w:sect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8" w:lineRule="auto"/>
        <w:rPr>
          <w:sz w:val="20"/>
          <w:szCs w:val="20"/>
          <w:color w:val="auto"/>
        </w:rPr>
      </w:pPr>
      <w:r>
        <w:rPr>
          <w:rFonts w:ascii="Courier New" w:cs="Courier New" w:eastAsia="Courier New" w:hAnsi="Courier New"/>
          <w:sz w:val="18"/>
          <w:szCs w:val="18"/>
          <w:color w:val="auto"/>
        </w:rPr>
        <w:t>Item 7: 1,159,625</w:t>
      </w:r>
    </w:p>
    <w:p>
      <w:pPr>
        <w:spacing w:after="0"/>
        <w:rPr>
          <w:sz w:val="20"/>
          <w:szCs w:val="20"/>
          <w:color w:val="auto"/>
        </w:rPr>
      </w:pPr>
      <w:r>
        <w:rPr>
          <w:rFonts w:ascii="Courier New" w:cs="Courier New" w:eastAsia="Courier New" w:hAnsi="Courier New"/>
          <w:sz w:val="18"/>
          <w:szCs w:val="18"/>
          <w:color w:val="auto"/>
        </w:rPr>
        <w:t>Item 8: None</w:t>
      </w:r>
    </w:p>
    <w:p>
      <w:pPr>
        <w:spacing w:after="0" w:line="238" w:lineRule="auto"/>
        <w:rPr>
          <w:sz w:val="20"/>
          <w:szCs w:val="20"/>
          <w:color w:val="auto"/>
        </w:rPr>
      </w:pPr>
      <w:r>
        <w:rPr>
          <w:rFonts w:ascii="Courier New" w:cs="Courier New" w:eastAsia="Courier New" w:hAnsi="Courier New"/>
          <w:sz w:val="18"/>
          <w:szCs w:val="18"/>
          <w:color w:val="auto"/>
        </w:rPr>
        <w:t>Item 9: 1,159,625</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0.56%</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75" w:lineRule="exact"/>
        <w:rPr>
          <w:sz w:val="24"/>
          <w:szCs w:val="24"/>
          <w:color w:val="auto"/>
        </w:rPr>
      </w:pPr>
    </w:p>
    <w:p>
      <w:pPr>
        <w:sectPr>
          <w:pgSz w:w="11900" w:h="17012" w:orient="portrait"/>
          <w:cols w:equalWidth="0" w:num="2">
            <w:col w:w="6120" w:space="200"/>
            <w:col w:w="3899"/>
          </w:cols>
          <w:pgMar w:left="240" w:top="826" w:right="1440" w:bottom="0" w:gutter="0" w:footer="0" w:header="0"/>
          <w:type w:val="continuous"/>
        </w:sect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37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2805 East Columbia Road</w:t>
      </w:r>
    </w:p>
    <w:p>
      <w:pPr>
        <w:spacing w:after="0" w:line="31" w:lineRule="exact"/>
        <w:rPr>
          <w:sz w:val="24"/>
          <w:szCs w:val="24"/>
          <w:color w:val="auto"/>
        </w:rPr>
      </w:pP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83706</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1" w:lineRule="exact"/>
        <w:rPr>
          <w:sz w:val="24"/>
          <w:szCs w:val="24"/>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right="5779" w:hanging="9"/>
        <w:spacing w:after="0" w:line="347"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1,159,625</w:t>
      </w:r>
    </w:p>
    <w:p>
      <w:pPr>
        <w:sectPr>
          <w:pgSz w:w="11900" w:h="17012" w:orient="portrait"/>
          <w:cols w:equalWidth="0" w:num="1">
            <w:col w:w="10219"/>
          </w:cols>
          <w:pgMar w:left="240" w:top="826"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0.56%</w:t>
      </w:r>
    </w:p>
    <w:p>
      <w:pPr>
        <w:spacing w:after="0" w:line="169"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140,400</w:t>
      </w:r>
    </w:p>
    <w:p>
      <w:pPr>
        <w:spacing w:after="0" w:line="169"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169" w:lineRule="exact"/>
        <w:rPr>
          <w:rFonts w:ascii="Courier New" w:cs="Courier New" w:eastAsia="Courier New" w:hAnsi="Courier New"/>
          <w:sz w:val="18"/>
          <w:szCs w:val="18"/>
          <w:color w:val="auto"/>
        </w:rPr>
      </w:pPr>
    </w:p>
    <w:p>
      <w:pPr>
        <w:ind w:left="860" w:right="2839" w:hanging="9"/>
        <w:spacing w:after="0" w:line="347"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1,159,625</w:t>
      </w:r>
    </w:p>
    <w:p>
      <w:pPr>
        <w:spacing w:after="0" w:line="1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839" w:firstLine="843"/>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839" w:firstLine="843"/>
        <w:spacing w:after="0" w:line="245"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4" w:lineRule="exact"/>
        <w:rPr>
          <w:sz w:val="20"/>
          <w:szCs w:val="20"/>
          <w:color w:val="auto"/>
        </w:rPr>
      </w:pPr>
    </w:p>
    <w:p>
      <w:pPr>
        <w:ind w:right="4199"/>
        <w:spacing w:after="0" w:line="309"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firstLine="843"/>
        <w:spacing w:after="0" w:line="25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ind w:right="3579"/>
        <w:spacing w:after="0" w:line="323"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Micron Technology Incorporated at November 30, 1995 is true, complete and correct.</w:t>
      </w:r>
    </w:p>
    <w:p>
      <w:pPr>
        <w:spacing w:after="0" w:line="200" w:lineRule="exact"/>
        <w:rPr>
          <w:sz w:val="20"/>
          <w:szCs w:val="20"/>
          <w:color w:val="auto"/>
        </w:rPr>
      </w:pPr>
    </w:p>
    <w:p>
      <w:pPr>
        <w:spacing w:after="0" w:line="25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December 7, 1995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312" w:right="1440" w:bottom="127" w:gutter="0" w:footer="0" w:header="0"/>
        </w:sectPr>
      </w:pPr>
    </w:p>
    <w:bookmarkStart w:id="2" w:name="page3"/>
    <w:bookmarkEnd w:id="2"/>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ind w:right="2099" w:firstLine="843"/>
        <w:spacing w:after="0" w:line="287"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997,325 shares or 0.48% of the common stock outstanding of Micron Technology Incorporated ("the Company") as a result of acting as investment adviser to several investment companies registered under Section 8 of the Investment Company Act of 1940, and as a result of acting as sub-adviser to Fidelity American Special Situations Trust ("FASST").</w:t>
      </w:r>
    </w:p>
    <w:p>
      <w:pPr>
        <w:spacing w:after="0" w:line="75" w:lineRule="exact"/>
        <w:rPr>
          <w:sz w:val="20"/>
          <w:szCs w:val="20"/>
          <w:color w:val="auto"/>
        </w:rPr>
      </w:pPr>
    </w:p>
    <w:p>
      <w:pPr>
        <w:ind w:right="1999" w:firstLine="843"/>
        <w:spacing w:after="0" w:line="274"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82" w:lineRule="exact"/>
        <w:rPr>
          <w:sz w:val="20"/>
          <w:szCs w:val="20"/>
          <w:color w:val="auto"/>
        </w:rPr>
      </w:pPr>
    </w:p>
    <w:p>
      <w:pPr>
        <w:ind w:right="1679" w:firstLine="843"/>
        <w:spacing w:after="0" w:line="402"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997,025 shares owned by the Funds.</w:t>
      </w:r>
    </w:p>
    <w:p>
      <w:pPr>
        <w:spacing w:after="0" w:line="1" w:lineRule="exact"/>
        <w:rPr>
          <w:sz w:val="20"/>
          <w:szCs w:val="20"/>
          <w:color w:val="auto"/>
        </w:rPr>
      </w:pPr>
    </w:p>
    <w:p>
      <w:pPr>
        <w:ind w:right="1999" w:firstLine="843"/>
        <w:spacing w:after="0" w:line="265"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90" w:lineRule="exact"/>
        <w:rPr>
          <w:sz w:val="20"/>
          <w:szCs w:val="20"/>
          <w:color w:val="auto"/>
        </w:rPr>
      </w:pPr>
    </w:p>
    <w:p>
      <w:pPr>
        <w:ind w:right="1779" w:firstLine="843"/>
        <w:spacing w:after="0" w:line="347"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300 shares held by FASST.</w:t>
      </w:r>
    </w:p>
    <w:p>
      <w:pPr>
        <w:spacing w:after="0" w:line="18" w:lineRule="exact"/>
        <w:rPr>
          <w:sz w:val="20"/>
          <w:szCs w:val="20"/>
          <w:color w:val="auto"/>
        </w:rPr>
      </w:pPr>
    </w:p>
    <w:p>
      <w:pPr>
        <w:ind w:right="1999" w:firstLine="843"/>
        <w:spacing w:after="0" w:line="260"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110,500 shares or 0.05% of the common stock outstanding of the Company as a result of its serving as investment manager of the institutional account(s).</w:t>
      </w:r>
    </w:p>
    <w:p>
      <w:pPr>
        <w:spacing w:after="0" w:line="93" w:lineRule="exact"/>
        <w:rPr>
          <w:sz w:val="20"/>
          <w:szCs w:val="20"/>
          <w:color w:val="auto"/>
        </w:rPr>
      </w:pPr>
    </w:p>
    <w:p>
      <w:pPr>
        <w:ind w:right="2199" w:firstLine="843"/>
        <w:spacing w:after="0" w:line="265"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110,500 shares and sole power to vote or to direct the voting of 88,300 shares, and no power to vote or to direct the voting of 22,200 Shares of common stock owned by the institutional account(s) as reported above.</w:t>
      </w:r>
    </w:p>
    <w:p>
      <w:pPr>
        <w:spacing w:after="0" w:line="90" w:lineRule="exact"/>
        <w:rPr>
          <w:sz w:val="20"/>
          <w:szCs w:val="20"/>
          <w:color w:val="auto"/>
        </w:rPr>
      </w:pPr>
    </w:p>
    <w:p>
      <w:pPr>
        <w:ind w:right="1779" w:firstLine="843"/>
        <w:spacing w:after="0" w:line="249"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and Mr. Johnson 3d is Chairman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104" w:lineRule="exact"/>
        <w:rPr>
          <w:sz w:val="20"/>
          <w:szCs w:val="20"/>
          <w:color w:val="auto"/>
        </w:rPr>
      </w:pPr>
    </w:p>
    <w:p>
      <w:pPr>
        <w:ind w:right="1999" w:firstLine="843"/>
        <w:spacing w:after="0" w:line="252"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52,100 shares or 0.03% of the common stock outstanding of the Company, which includes 300 shares or 0.00% of the common stock outstanding of the Company owned by FASST. Additional information with respect to the beneficial ownership of Fidelity International Limited is shown on Exhibit B, page 8.</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372" w:lineRule="exact"/>
        <w:rPr>
          <w:sz w:val="20"/>
          <w:szCs w:val="20"/>
          <w:color w:val="auto"/>
        </w:rPr>
      </w:pPr>
    </w:p>
    <w:p>
      <w:pPr>
        <w:ind w:right="1679" w:firstLine="843"/>
        <w:spacing w:after="0" w:line="244"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52,100</w:t>
      </w:r>
    </w:p>
    <w:p>
      <w:pPr>
        <w:spacing w:after="0" w:line="4" w:lineRule="exact"/>
        <w:rPr>
          <w:sz w:val="20"/>
          <w:szCs w:val="20"/>
          <w:color w:val="auto"/>
        </w:rPr>
      </w:pPr>
    </w:p>
    <w:p>
      <w:pPr>
        <w:jc w:val="both"/>
        <w:ind w:right="3039"/>
        <w:spacing w:after="0" w:line="273" w:lineRule="auto"/>
        <w:rPr>
          <w:sz w:val="20"/>
          <w:szCs w:val="20"/>
          <w:color w:val="auto"/>
        </w:rPr>
      </w:pPr>
      <w:r>
        <w:rPr>
          <w:rFonts w:ascii="Courier New" w:cs="Courier New" w:eastAsia="Courier New" w:hAnsi="Courier New"/>
          <w:sz w:val="18"/>
          <w:szCs w:val="18"/>
          <w:color w:val="auto"/>
        </w:rPr>
        <w:t>shares or 0.03% of the common stock outstanding of Micron Technology Incorporated, which includes 300 shares or 0.00% of the common stock outstanding of the Company owned by FASST.</w:t>
      </w:r>
    </w:p>
    <w:p>
      <w:pPr>
        <w:sectPr>
          <w:pgSz w:w="11900" w:h="16839" w:orient="portrait"/>
          <w:cols w:equalWidth="0" w:num="1">
            <w:col w:w="10219"/>
          </w:cols>
          <w:pgMar w:left="240" w:top="515" w:right="1440" w:bottom="0" w:gutter="0" w:footer="0" w:header="0"/>
        </w:sectPr>
      </w:pPr>
    </w:p>
    <w:bookmarkStart w:id="3" w:name="page4"/>
    <w:bookmarkEnd w:id="3"/>
    <w:p>
      <w:pPr>
        <w:ind w:right="1879" w:firstLine="843"/>
        <w:spacing w:after="0" w:line="256"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98" w:lineRule="exact"/>
        <w:rPr>
          <w:sz w:val="20"/>
          <w:szCs w:val="20"/>
          <w:color w:val="auto"/>
        </w:rPr>
      </w:pPr>
    </w:p>
    <w:p>
      <w:pPr>
        <w:ind w:right="2099" w:firstLine="843"/>
        <w:spacing w:after="0" w:line="252"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Other than when one serves as a subadviser to the other, their investment decisions are made independently, and their clients are different organizations.</w:t>
      </w:r>
    </w:p>
    <w:p>
      <w:pPr>
        <w:spacing w:after="0" w:line="99"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FMR Corp. and FIL are of the view that they are not acting as a "group"</w:t>
      </w:r>
    </w:p>
    <w:tbl>
      <w:tblPr>
        <w:tblLayout w:type="fixed"/>
        <w:tblInd w:w="0" w:type="dxa"/>
        <w:tblCellMar>
          <w:top w:w="0" w:type="dxa"/>
          <w:left w:w="0" w:type="dxa"/>
          <w:bottom w:w="0" w:type="dxa"/>
          <w:right w:w="0" w:type="dxa"/>
        </w:tblCellMar>
      </w:tblPr>
      <w:tr>
        <w:trPr>
          <w:trHeight w:val="201"/>
        </w:trPr>
        <w:tc>
          <w:tcPr>
            <w:tcW w:w="3740" w:type="dxa"/>
            <w:vAlign w:val="bottom"/>
            <w:gridSpan w:val="3"/>
          </w:tcPr>
          <w:p>
            <w:pPr>
              <w:spacing w:after="0" w:line="201" w:lineRule="exact"/>
              <w:rPr>
                <w:sz w:val="20"/>
                <w:szCs w:val="20"/>
                <w:color w:val="auto"/>
              </w:rPr>
            </w:pPr>
            <w:r>
              <w:rPr>
                <w:rFonts w:ascii="Courier New" w:cs="Courier New" w:eastAsia="Courier New" w:hAnsi="Courier New"/>
                <w:sz w:val="18"/>
                <w:szCs w:val="18"/>
                <w:color w:val="auto"/>
                <w:w w:val="98"/>
              </w:rPr>
              <w:t>for purposes of Section 13(d) under</w:t>
            </w:r>
          </w:p>
        </w:tc>
        <w:tc>
          <w:tcPr>
            <w:tcW w:w="158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the Securities</w:t>
            </w:r>
          </w:p>
        </w:tc>
        <w:tc>
          <w:tcPr>
            <w:tcW w:w="2900" w:type="dxa"/>
            <w:vAlign w:val="bottom"/>
            <w:gridSpan w:val="3"/>
          </w:tcPr>
          <w:p>
            <w:pPr>
              <w:ind w:left="60"/>
              <w:spacing w:after="0" w:line="201" w:lineRule="exact"/>
              <w:rPr>
                <w:sz w:val="20"/>
                <w:szCs w:val="20"/>
                <w:color w:val="auto"/>
              </w:rPr>
            </w:pPr>
            <w:r>
              <w:rPr>
                <w:rFonts w:ascii="Courier New" w:cs="Courier New" w:eastAsia="Courier New" w:hAnsi="Courier New"/>
                <w:sz w:val="18"/>
                <w:szCs w:val="18"/>
                <w:color w:val="auto"/>
              </w:rPr>
              <w:t>Exchange Act of 1934 (the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Act) and that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they</w:t>
            </w:r>
          </w:p>
        </w:tc>
        <w:tc>
          <w:tcPr>
            <w:tcW w:w="42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are not otherwise required to attribute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each</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other the "beneficial</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ownership" of</w:t>
            </w:r>
          </w:p>
        </w:tc>
        <w:tc>
          <w:tcPr>
            <w:tcW w:w="4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securities "beneficially owned" by the</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other corporation within the meaning of Rule 13d-3</w:t>
            </w:r>
          </w:p>
        </w:tc>
        <w:tc>
          <w:tcPr>
            <w:tcW w:w="2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promulgated under the 1934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Act.  Therefore, they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are</w:t>
            </w:r>
          </w:p>
        </w:tc>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of the view that the shares held</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need not</w:t>
            </w: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be aggregated for purposes of</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However, FMR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 is making this</w:t>
            </w:r>
          </w:p>
        </w:tc>
        <w:tc>
          <w:tcPr>
            <w:tcW w:w="3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filing on a voluntary basis as if all</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are</w:t>
            </w:r>
          </w:p>
        </w:tc>
      </w:tr>
      <w:tr>
        <w:trPr>
          <w:trHeight w:val="296"/>
        </w:trPr>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beneficially owned by</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FMR</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Corp. and</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FIL on a joint</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basis.</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09" w:lineRule="exact"/>
        <w:rPr>
          <w:sz w:val="20"/>
          <w:szCs w:val="20"/>
          <w:color w:val="auto"/>
        </w:rPr>
      </w:pPr>
    </w:p>
    <w:p>
      <w:pPr>
        <w:ind w:right="2099" w:firstLine="843"/>
        <w:spacing w:after="0" w:line="265"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90" w:lineRule="exact"/>
        <w:rPr>
          <w:sz w:val="20"/>
          <w:szCs w:val="20"/>
          <w:color w:val="auto"/>
        </w:rPr>
      </w:pPr>
    </w:p>
    <w:p>
      <w:pPr>
        <w:ind w:right="1999" w:firstLine="843"/>
        <w:spacing w:after="0" w:line="253"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104" w:lineRule="exact"/>
        <w:rPr>
          <w:sz w:val="20"/>
          <w:szCs w:val="20"/>
          <w:color w:val="auto"/>
        </w:rPr>
      </w:pPr>
    </w:p>
    <w:p>
      <w:pPr>
        <w:ind w:right="1999" w:firstLine="843"/>
        <w:spacing w:after="0" w:line="250"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04" w:lineRule="exact"/>
        <w:rPr>
          <w:sz w:val="20"/>
          <w:szCs w:val="20"/>
          <w:color w:val="auto"/>
        </w:rPr>
      </w:pPr>
    </w:p>
    <w:p>
      <w:pPr>
        <w:ind w:right="1999" w:firstLine="843"/>
        <w:spacing w:after="0" w:line="292" w:lineRule="auto"/>
        <w:rPr>
          <w:sz w:val="20"/>
          <w:szCs w:val="20"/>
          <w:color w:val="auto"/>
        </w:rPr>
      </w:pPr>
      <w:r>
        <w:rPr>
          <w:rFonts w:ascii="Courier New" w:cs="Courier New" w:eastAsia="Courier New" w:hAnsi="Courier New"/>
          <w:sz w:val="18"/>
          <w:szCs w:val="18"/>
          <w:color w:val="auto"/>
        </w:rPr>
        <w:t>FIL has the sole power to vote and the sole power to dispose of 51,800 shares. FIL, FMR Corp., through its control of Fidelity, and FASST each has sole power to vote and to dispose of the 300 shares held by FASST.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1" w:lineRule="exact"/>
        <w:rPr>
          <w:sz w:val="20"/>
          <w:szCs w:val="20"/>
          <w:color w:val="auto"/>
        </w:rPr>
      </w:pPr>
    </w:p>
    <w:p>
      <w:pPr>
        <w:ind w:right="1999" w:firstLine="843"/>
        <w:spacing w:after="0" w:line="274" w:lineRule="auto"/>
        <w:rPr>
          <w:sz w:val="20"/>
          <w:szCs w:val="20"/>
          <w:color w:val="auto"/>
        </w:rPr>
      </w:pPr>
      <w:r>
        <w:rPr>
          <w:rFonts w:ascii="Courier New" w:cs="Courier New" w:eastAsia="Courier New" w:hAnsi="Courier New"/>
          <w:sz w:val="18"/>
          <w:szCs w:val="18"/>
          <w:color w:val="auto"/>
        </w:rPr>
        <w:t>The undersigned persons, on December 7, 1995, agree and consent to the joint filing on their behalf of this Schedule 13G in connection with their beneficial ownership of the common stock of Micron Technology Incorporated at November 30, 1995.</w:t>
      </w:r>
    </w:p>
    <w:p>
      <w:pPr>
        <w:spacing w:after="0" w:line="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tbl>
      <w:tblPr>
        <w:tblLayout w:type="fixed"/>
        <w:tblInd w:w="0" w:type="dxa"/>
        <w:tblCellMar>
          <w:top w:w="0" w:type="dxa"/>
          <w:left w:w="0" w:type="dxa"/>
          <w:bottom w:w="0" w:type="dxa"/>
          <w:right w:w="0" w:type="dxa"/>
        </w:tblCellMar>
      </w:tblPr>
      <w:tr>
        <w:trPr>
          <w:trHeight w:val="201"/>
        </w:trPr>
        <w:tc>
          <w:tcPr>
            <w:tcW w:w="1540" w:type="dxa"/>
            <w:vAlign w:val="bottom"/>
          </w:tcPr>
          <w:p>
            <w:pPr>
              <w:ind w:left="860"/>
              <w:spacing w:after="0" w:line="201" w:lineRule="exact"/>
              <w:rPr>
                <w:sz w:val="20"/>
                <w:szCs w:val="20"/>
                <w:color w:val="auto"/>
              </w:rPr>
            </w:pPr>
            <w:r>
              <w:rPr>
                <w:rFonts w:ascii="Courier New" w:cs="Courier New" w:eastAsia="Courier New" w:hAnsi="Courier New"/>
                <w:sz w:val="18"/>
                <w:szCs w:val="18"/>
                <w:color w:val="auto"/>
              </w:rPr>
              <w:t>By</w:t>
            </w:r>
          </w:p>
        </w:tc>
        <w:tc>
          <w:tcPr>
            <w:tcW w:w="160" w:type="dxa"/>
            <w:vAlign w:val="bottom"/>
          </w:tcPr>
          <w:p>
            <w:pPr>
              <w:spacing w:after="0"/>
              <w:rPr>
                <w:sz w:val="17"/>
                <w:szCs w:val="17"/>
                <w:color w:val="auto"/>
              </w:rPr>
            </w:pPr>
          </w:p>
        </w:tc>
        <w:tc>
          <w:tcPr>
            <w:tcW w:w="2000" w:type="dxa"/>
            <w:vAlign w:val="bottom"/>
          </w:tcPr>
          <w:p>
            <w:pPr>
              <w:spacing w:after="0" w:line="201" w:lineRule="exact"/>
              <w:rPr>
                <w:sz w:val="20"/>
                <w:szCs w:val="20"/>
                <w:color w:val="auto"/>
              </w:rPr>
            </w:pPr>
            <w:r>
              <w:rPr>
                <w:rFonts w:ascii="Courier New" w:cs="Courier New" w:eastAsia="Courier New" w:hAnsi="Courier New"/>
                <w:sz w:val="18"/>
                <w:szCs w:val="18"/>
                <w:color w:val="auto"/>
                <w:w w:val="96"/>
              </w:rPr>
              <w:t>/s/Arthur S. Loring</w:t>
            </w:r>
          </w:p>
        </w:tc>
        <w:tc>
          <w:tcPr>
            <w:tcW w:w="0" w:type="dxa"/>
            <w:vAlign w:val="bottom"/>
          </w:tcPr>
          <w:p>
            <w:pPr>
              <w:spacing w:after="0"/>
              <w:rPr>
                <w:sz w:val="1"/>
                <w:szCs w:val="1"/>
                <w:color w:val="auto"/>
              </w:rPr>
            </w:pP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20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Legal</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Edward</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 Johnson 3d</w:t>
            </w:r>
          </w:p>
        </w:tc>
        <w:tc>
          <w:tcPr>
            <w:tcW w:w="0" w:type="dxa"/>
            <w:vAlign w:val="bottom"/>
          </w:tcPr>
          <w:p>
            <w:pPr>
              <w:spacing w:after="0"/>
              <w:rPr>
                <w:sz w:val="1"/>
                <w:szCs w:val="1"/>
                <w:color w:val="auto"/>
              </w:rPr>
            </w:pPr>
          </w:p>
        </w:tc>
      </w:tr>
      <w:tr>
        <w:trPr>
          <w:trHeight w:val="235"/>
        </w:trPr>
        <w:tc>
          <w:tcPr>
            <w:tcW w:w="1540" w:type="dxa"/>
            <w:vAlign w:val="bottom"/>
          </w:tcPr>
          <w:p>
            <w:pPr>
              <w:ind w:left="860"/>
              <w:spacing w:after="0"/>
              <w:rPr>
                <w:sz w:val="20"/>
                <w:szCs w:val="20"/>
                <w:color w:val="auto"/>
              </w:rPr>
            </w:pPr>
            <w:r>
              <w:rPr>
                <w:rFonts w:ascii="Courier New" w:cs="Courier New" w:eastAsia="Courier New" w:hAnsi="Courier New"/>
                <w:sz w:val="18"/>
                <w:szCs w:val="18"/>
                <w:color w:val="auto"/>
              </w:rPr>
              <w:t>By</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6"/>
              </w:rPr>
              <w:t>/s/Arthur S. Loring</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8"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Airborne Freight Corp. 9/10/91</w:t>
      </w:r>
    </w:p>
    <w:p>
      <w:pPr>
        <w:sectPr>
          <w:pgSz w:w="11900" w:h="16838" w:orient="portrait"/>
          <w:cols w:equalWidth="0" w:num="1">
            <w:col w:w="10219"/>
          </w:cols>
          <w:pgMar w:left="240" w:top="312" w:right="1440" w:bottom="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5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2019-12-13T13:18:50Z</dcterms:created>
  <dcterms:modified xsi:type="dcterms:W3CDTF">2019-12-13T13:18:50Z</dcterms:modified>
</cp:coreProperties>
</file>