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333-158473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80" w:type="dxa"/>
            <w:vAlign w:val="bottom"/>
            <w:tcBorders>
              <w:top w:val="single" w:sz="8" w:color="auto"/>
            </w:tcBorders>
            <w:gridSpan w:val="2"/>
            <w:vMerge w:val="restart"/>
          </w:tcPr>
          <w:p>
            <w:pPr>
              <w:ind w:left="1760"/>
              <w:spacing w:after="0"/>
              <w:rPr>
                <w:sz w:val="20"/>
                <w:szCs w:val="20"/>
                <w:color w:val="auto"/>
              </w:rPr>
            </w:pPr>
            <w:r>
              <w:rPr>
                <w:rFonts w:ascii="Arial" w:cs="Arial" w:eastAsia="Arial" w:hAnsi="Arial"/>
                <w:sz w:val="14"/>
                <w:szCs w:val="14"/>
                <w:b w:val="1"/>
                <w:bCs w:val="1"/>
                <w:color w:val="auto"/>
              </w:rPr>
              <w:t>Title of Each Class</w:t>
            </w:r>
          </w:p>
        </w:tc>
        <w:tc>
          <w:tcPr>
            <w:tcW w:w="2220" w:type="dxa"/>
            <w:vAlign w:val="bottom"/>
            <w:tcBorders>
              <w:top w:val="single" w:sz="8" w:color="auto"/>
            </w:tcBorders>
            <w:vMerge w:val="restart"/>
          </w:tcPr>
          <w:p>
            <w:pPr>
              <w:jc w:val="center"/>
              <w:ind w:left="462"/>
              <w:spacing w:after="0"/>
              <w:rPr>
                <w:sz w:val="20"/>
                <w:szCs w:val="20"/>
                <w:color w:val="auto"/>
              </w:rPr>
            </w:pPr>
            <w:r>
              <w:rPr>
                <w:rFonts w:ascii="Arial" w:cs="Arial" w:eastAsia="Arial" w:hAnsi="Arial"/>
                <w:sz w:val="14"/>
                <w:szCs w:val="14"/>
                <w:b w:val="1"/>
                <w:bCs w:val="1"/>
                <w:color w:val="auto"/>
                <w:w w:val="93"/>
              </w:rPr>
              <w:t>Amount to be</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24"/>
              <w:spacing w:after="0" w:line="153" w:lineRule="exact"/>
              <w:rPr>
                <w:sz w:val="20"/>
                <w:szCs w:val="20"/>
                <w:color w:val="auto"/>
              </w:rPr>
            </w:pPr>
            <w:r>
              <w:rPr>
                <w:rFonts w:ascii="Arial" w:cs="Arial" w:eastAsia="Arial" w:hAnsi="Arial"/>
                <w:sz w:val="14"/>
                <w:szCs w:val="14"/>
                <w:b w:val="1"/>
                <w:bCs w:val="1"/>
                <w:color w:val="auto"/>
                <w:w w:val="99"/>
              </w:rPr>
              <w:t>Maximum</w:t>
            </w:r>
          </w:p>
        </w:tc>
        <w:tc>
          <w:tcPr>
            <w:tcW w:w="3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24"/>
              <w:spacing w:after="0" w:line="153" w:lineRule="exact"/>
              <w:rPr>
                <w:sz w:val="20"/>
                <w:szCs w:val="20"/>
                <w:color w:val="auto"/>
              </w:rPr>
            </w:pPr>
            <w:r>
              <w:rPr>
                <w:rFonts w:ascii="Arial" w:cs="Arial" w:eastAsia="Arial" w:hAnsi="Arial"/>
                <w:sz w:val="14"/>
                <w:szCs w:val="14"/>
                <w:b w:val="1"/>
                <w:bCs w:val="1"/>
                <w:color w:val="auto"/>
                <w:w w:val="99"/>
              </w:rPr>
              <w:t>Maximum</w:t>
            </w:r>
          </w:p>
        </w:tc>
        <w:tc>
          <w:tcPr>
            <w:tcW w:w="3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244"/>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300" w:type="dxa"/>
            <w:vAlign w:val="bottom"/>
          </w:tcPr>
          <w:p>
            <w:pPr>
              <w:spacing w:after="0"/>
              <w:rPr>
                <w:sz w:val="12"/>
                <w:szCs w:val="12"/>
                <w:color w:val="auto"/>
              </w:rPr>
            </w:pPr>
          </w:p>
        </w:tc>
        <w:tc>
          <w:tcPr>
            <w:tcW w:w="13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2"/>
              </w:rPr>
              <w:t>Aggregate</w:t>
            </w:r>
          </w:p>
        </w:tc>
        <w:tc>
          <w:tcPr>
            <w:tcW w:w="340" w:type="dxa"/>
            <w:vAlign w:val="bottom"/>
          </w:tcPr>
          <w:p>
            <w:pPr>
              <w:spacing w:after="0"/>
              <w:rPr>
                <w:sz w:val="12"/>
                <w:szCs w:val="12"/>
                <w:color w:val="auto"/>
              </w:rPr>
            </w:pPr>
          </w:p>
        </w:tc>
        <w:tc>
          <w:tcPr>
            <w:tcW w:w="126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rPr>
              <w:t>of Securities to be Registered</w:t>
            </w:r>
          </w:p>
        </w:tc>
        <w:tc>
          <w:tcPr>
            <w:tcW w:w="2220" w:type="dxa"/>
            <w:vAlign w:val="bottom"/>
            <w:tcBorders>
              <w:bottom w:val="single" w:sz="8" w:color="auto"/>
            </w:tcBorders>
          </w:tcPr>
          <w:p>
            <w:pPr>
              <w:jc w:val="center"/>
              <w:ind w:left="462"/>
              <w:spacing w:after="0"/>
              <w:rPr>
                <w:sz w:val="20"/>
                <w:szCs w:val="20"/>
                <w:color w:val="auto"/>
              </w:rPr>
            </w:pPr>
            <w:r>
              <w:rPr>
                <w:rFonts w:ascii="Arial" w:cs="Arial" w:eastAsia="Arial" w:hAnsi="Arial"/>
                <w:sz w:val="14"/>
                <w:szCs w:val="14"/>
                <w:b w:val="1"/>
                <w:bCs w:val="1"/>
                <w:color w:val="auto"/>
                <w:w w:val="88"/>
              </w:rPr>
              <w:t>Registered</w:t>
            </w: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8"/>
              </w:rPr>
              <w:t>Per Unit(1)</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4"/>
              </w:rPr>
              <w:t>Offering Price</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$0.10 par value per share</w:t>
            </w:r>
          </w:p>
        </w:tc>
        <w:tc>
          <w:tcPr>
            <w:tcW w:w="22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1,827,874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color w:val="auto"/>
              </w:rPr>
              <w:t>7.44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color w:val="auto"/>
              </w:rPr>
              <w:t>13,599,382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500" w:right="60" w:hanging="492"/>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of 1933, solely for the purpose of calculating the registration fee on the basis of $7.44 per share, which is the average of the high and low prices of the Company’s Common Stock as reported on the New York Stock Exchange on August 28,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7, 2009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1,827,874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154940</wp:posOffset>
            </wp:positionV>
            <wp:extent cx="2607310"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731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40" w:firstLine="648"/>
        <w:spacing w:after="0" w:line="312" w:lineRule="auto"/>
        <w:rPr>
          <w:sz w:val="20"/>
          <w:szCs w:val="20"/>
          <w:color w:val="auto"/>
        </w:rPr>
      </w:pPr>
      <w:r>
        <w:rPr>
          <w:rFonts w:ascii="Arial" w:cs="Arial" w:eastAsia="Arial" w:hAnsi="Arial"/>
          <w:sz w:val="16"/>
          <w:szCs w:val="16"/>
          <w:color w:val="auto"/>
        </w:rPr>
        <w:t>This prospectus supplement relates to the offer and sale of an aggregate of 1,827,874 shares of common stock, par value $0.10 per share, of Micron Technology, Inc.(the “Common Stock”) by the selling stockholders listed under the heading “Selling Stockholders.” We issued these shares on August 11, 2009 in a private transaction related to our acquisition of the assets of Displaytech, Inc. pursuant to an asset purchase agreement dated May 13, 2009.</w:t>
      </w:r>
    </w:p>
    <w:p>
      <w:pPr>
        <w:spacing w:after="0" w:line="147" w:lineRule="exact"/>
        <w:rPr>
          <w:sz w:val="24"/>
          <w:szCs w:val="24"/>
          <w:color w:val="auto"/>
        </w:rPr>
      </w:pPr>
    </w:p>
    <w:p>
      <w:pPr>
        <w:ind w:right="140" w:firstLine="648"/>
        <w:spacing w:after="0" w:line="286" w:lineRule="auto"/>
        <w:rPr>
          <w:sz w:val="20"/>
          <w:szCs w:val="20"/>
          <w:color w:val="auto"/>
        </w:rPr>
      </w:pPr>
      <w:r>
        <w:rPr>
          <w:rFonts w:ascii="Arial" w:cs="Arial" w:eastAsia="Arial" w:hAnsi="Arial"/>
          <w:sz w:val="17"/>
          <w:szCs w:val="17"/>
          <w:color w:val="auto"/>
        </w:rPr>
        <w:t>This prospectus supplement should be read in conjunction with the prospectus, and is qualified by reference to the prospectus, except to the extent that the information presented herein supersedes the information contained in the prospectus. This Prospectus Supplement is not complete without, and may not be delivered or utilized except in connection with, the prospectus, including any amendments or supplements thereto.</w:t>
      </w:r>
    </w:p>
    <w:p>
      <w:pPr>
        <w:spacing w:after="0" w:line="166"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“MU.” On August 28, 2009, the last reported sale price of our Common Stock was $7.56 per share.</w:t>
      </w:r>
    </w:p>
    <w:p>
      <w:pPr>
        <w:spacing w:after="0" w:line="166" w:lineRule="exact"/>
        <w:rPr>
          <w:sz w:val="24"/>
          <w:szCs w:val="24"/>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41 of our most recent quarterly report on Form 10-Q for the fiscal quarter ended June 4, 2009.</w:t>
      </w:r>
    </w:p>
    <w:p>
      <w:pPr>
        <w:spacing w:after="0" w:line="162" w:lineRule="exact"/>
        <w:rPr>
          <w:sz w:val="24"/>
          <w:szCs w:val="24"/>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are accurate or complete. Any representation to the contrary is a criminal offense.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August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4"/>
          <w:szCs w:val="24"/>
          <w:color w:val="auto"/>
        </w:rPr>
      </w:pPr>
    </w:p>
    <w:p>
      <w:pPr>
        <w:ind w:firstLine="648"/>
        <w:spacing w:after="0" w:line="253" w:lineRule="auto"/>
        <w:rPr>
          <w:sz w:val="20"/>
          <w:szCs w:val="20"/>
          <w:color w:val="auto"/>
        </w:rPr>
      </w:pPr>
      <w:r>
        <w:rPr>
          <w:rFonts w:ascii="Arial" w:cs="Arial" w:eastAsia="Arial" w:hAnsi="Arial"/>
          <w:sz w:val="18"/>
          <w:szCs w:val="18"/>
          <w:color w:val="auto"/>
        </w:rPr>
        <w:t>On May 13, 2009, we completed the acquisition of certain assets of Displaytech, Inc., now known as DT FLCO, Inc. (“Displaytech”). In connection with this acquisition, we issued 1,827,874 shares of Common Stock to Displaytech on August 11, 2009. On August 31, 2009 Displaytech distributed its shares to the selling stockholders, all of whom are former securityholders of Displaytech. Of the 1,827,874 shares of Common Stock issued in the Displaytech acquisition, 609,291shares are being held in escrow (the “escrow shares”) to provide a source of payment for potential indemnification obligations arising under our purchase agreement with Displaytech. The escrow shares may be sold by Displaytech on behalf of the selling stockholders during the term of the escrow, but the proceeds (less broker’s commissions) from the resale must be deposited into the escrow until they are released from escrow in accordance with the terms of the purchase agreement and the escrow agreement. We will not receive any of the proceeds from the sale of the shares of Common Stock offered by this prospectus supplement, except to the extent that escrow shares are sold and the proceeds thereof are paid to us from the escrow to satisfy indemnification claims.</w:t>
      </w:r>
    </w:p>
    <w:p>
      <w:pPr>
        <w:spacing w:after="0" w:line="197" w:lineRule="exact"/>
        <w:rPr>
          <w:sz w:val="24"/>
          <w:szCs w:val="24"/>
          <w:color w:val="auto"/>
        </w:rPr>
      </w:pPr>
    </w:p>
    <w:p>
      <w:pPr>
        <w:ind w:firstLine="648"/>
        <w:spacing w:after="0" w:line="302" w:lineRule="auto"/>
        <w:rPr>
          <w:sz w:val="20"/>
          <w:szCs w:val="20"/>
          <w:color w:val="auto"/>
        </w:rPr>
      </w:pPr>
      <w:r>
        <w:rPr>
          <w:rFonts w:ascii="Arial" w:cs="Arial" w:eastAsia="Arial" w:hAnsi="Arial"/>
          <w:sz w:val="16"/>
          <w:szCs w:val="16"/>
          <w:color w:val="auto"/>
        </w:rPr>
        <w:t>The following table sets forth information about each of the selling stockholders, the number of shares of Common Stock beneficially owned by each of the selling stockholders prior to this offering and the number of shares of Common Stock being offered from time to time pursuant to this prospectus supplement. We prepared this table based on information supplied to us by or on behalf of the selling stockholders and we have not sought to verify the information. We have assumed for purposes of this table that each of the selling stockholders will sell all of the shares offered by that selling stockholder</w:t>
      </w:r>
    </w:p>
    <w:p>
      <w:pPr>
        <w:sectPr>
          <w:pgSz w:w="11900" w:h="16838" w:orient="portrait"/>
          <w:cols w:equalWidth="0" w:num="1">
            <w:col w:w="11420"/>
          </w:cols>
          <w:pgMar w:left="240" w:top="445" w:right="239" w:bottom="0" w:gutter="0" w:footer="0" w:header="0"/>
        </w:sectPr>
      </w:pPr>
    </w:p>
    <w:bookmarkStart w:id="1" w:name="page2"/>
    <w:bookmarkEnd w:id="1"/>
    <w:p>
      <w:pPr>
        <w:ind w:right="140"/>
        <w:spacing w:after="0" w:line="257" w:lineRule="auto"/>
        <w:rPr>
          <w:sz w:val="20"/>
          <w:szCs w:val="20"/>
          <w:color w:val="auto"/>
        </w:rPr>
      </w:pPr>
      <w:r>
        <w:rPr>
          <w:rFonts w:ascii="Arial" w:cs="Arial" w:eastAsia="Arial" w:hAnsi="Arial"/>
          <w:sz w:val="18"/>
          <w:szCs w:val="18"/>
          <w:color w:val="auto"/>
        </w:rPr>
        <w:t>pursuant to this prospectus supplement. However, the selling stockholders listed in this table do not necessarily intend to sell any or all of their shares pursuant to this prospectus supplement. Information about the selling stockholders may change from time to time. Any changed information will be set forth in a prospectus supplement or post-effective amendment to the registration statement of which the accompanying prospectus is a part, if required by applicable law. Except as set forth below, none of the selling stockholders has, or within the past three years has had, any position, office or other material relationship with us or any of our predecessors or affiliates.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Shares of</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20" w:type="dxa"/>
            <w:vAlign w:val="bottom"/>
            <w:gridSpan w:val="2"/>
            <w:vMerge w:val="continue"/>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Offered</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Completion of this</w:t>
            </w: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 (1)</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of Class</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Hereby</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Alad Technology, N.V.</w:t>
            </w:r>
          </w:p>
        </w:tc>
        <w:tc>
          <w:tcPr>
            <w:tcW w:w="152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12,289</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96"/>
              <w:spacing w:after="0" w:line="201" w:lineRule="exact"/>
              <w:rPr>
                <w:sz w:val="20"/>
                <w:szCs w:val="20"/>
                <w:color w:val="auto"/>
              </w:rPr>
            </w:pPr>
            <w:r>
              <w:rPr>
                <w:rFonts w:ascii="Arial" w:cs="Arial" w:eastAsia="Arial" w:hAnsi="Arial"/>
                <w:sz w:val="18"/>
                <w:szCs w:val="18"/>
                <w:color w:val="auto"/>
              </w:rPr>
              <w:t>12,289</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Dowe Zalm Center Unit F-1</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Kaya Douwe Zalm PO Box 6131</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Curacao Netherlands, Antilles</w:t>
            </w: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Allen &amp; Company Incorporated (+)</w:t>
            </w:r>
          </w:p>
        </w:tc>
        <w:tc>
          <w:tcPr>
            <w:tcW w:w="152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116,745</w:t>
            </w:r>
          </w:p>
        </w:tc>
        <w:tc>
          <w:tcPr>
            <w:tcW w:w="22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ind w:right="296"/>
              <w:spacing w:after="0" w:line="201" w:lineRule="exact"/>
              <w:rPr>
                <w:sz w:val="20"/>
                <w:szCs w:val="20"/>
                <w:color w:val="auto"/>
              </w:rPr>
            </w:pPr>
            <w:r>
              <w:rPr>
                <w:rFonts w:ascii="Arial" w:cs="Arial" w:eastAsia="Arial" w:hAnsi="Arial"/>
                <w:sz w:val="18"/>
                <w:szCs w:val="18"/>
                <w:color w:val="auto"/>
              </w:rPr>
              <w:t>116,745</w:t>
            </w:r>
          </w:p>
        </w:tc>
        <w:tc>
          <w:tcPr>
            <w:tcW w:w="220" w:type="dxa"/>
            <w:vAlign w:val="bottom"/>
          </w:tcPr>
          <w:p>
            <w:pPr>
              <w:spacing w:after="0"/>
              <w:rPr>
                <w:sz w:val="17"/>
                <w:szCs w:val="17"/>
                <w:color w:val="auto"/>
              </w:rPr>
            </w:pP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711 Fifth Avenue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Baker Investments, LLC</w:t>
            </w:r>
          </w:p>
        </w:tc>
        <w:tc>
          <w:tcPr>
            <w:tcW w:w="152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24,578</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96"/>
              <w:spacing w:after="0" w:line="201" w:lineRule="exact"/>
              <w:rPr>
                <w:sz w:val="20"/>
                <w:szCs w:val="20"/>
                <w:color w:val="auto"/>
              </w:rPr>
            </w:pPr>
            <w:r>
              <w:rPr>
                <w:rFonts w:ascii="Arial" w:cs="Arial" w:eastAsia="Arial" w:hAnsi="Arial"/>
                <w:sz w:val="18"/>
                <w:szCs w:val="18"/>
                <w:color w:val="auto"/>
              </w:rPr>
              <w:t>24,578</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485 Washington Avenue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Pleasantville, NY 10570</w:t>
            </w: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DT FLCO Inc.</w:t>
            </w:r>
          </w:p>
        </w:tc>
        <w:tc>
          <w:tcPr>
            <w:tcW w:w="152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609,291</w:t>
            </w:r>
          </w:p>
        </w:tc>
        <w:tc>
          <w:tcPr>
            <w:tcW w:w="22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ind w:right="296"/>
              <w:spacing w:after="0" w:line="201" w:lineRule="exact"/>
              <w:rPr>
                <w:sz w:val="20"/>
                <w:szCs w:val="20"/>
                <w:color w:val="auto"/>
              </w:rPr>
            </w:pPr>
            <w:r>
              <w:rPr>
                <w:rFonts w:ascii="Arial" w:cs="Arial" w:eastAsia="Arial" w:hAnsi="Arial"/>
                <w:sz w:val="18"/>
                <w:szCs w:val="18"/>
                <w:color w:val="auto"/>
              </w:rPr>
              <w:t>609,291</w:t>
            </w:r>
          </w:p>
        </w:tc>
        <w:tc>
          <w:tcPr>
            <w:tcW w:w="220" w:type="dxa"/>
            <w:vAlign w:val="bottom"/>
          </w:tcPr>
          <w:p>
            <w:pPr>
              <w:spacing w:after="0"/>
              <w:rPr>
                <w:sz w:val="17"/>
                <w:szCs w:val="17"/>
                <w:color w:val="auto"/>
              </w:rPr>
            </w:pP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960 S. Broadway Avenue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Boise, ID 83706</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Dtech Investments, LLC</w:t>
            </w:r>
          </w:p>
        </w:tc>
        <w:tc>
          <w:tcPr>
            <w:tcW w:w="152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788,160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96"/>
              <w:spacing w:after="0" w:line="201" w:lineRule="exact"/>
              <w:rPr>
                <w:sz w:val="20"/>
                <w:szCs w:val="20"/>
                <w:color w:val="auto"/>
              </w:rPr>
            </w:pPr>
            <w:r>
              <w:rPr>
                <w:rFonts w:ascii="Arial" w:cs="Arial" w:eastAsia="Arial" w:hAnsi="Arial"/>
                <w:sz w:val="18"/>
                <w:szCs w:val="18"/>
                <w:color w:val="auto"/>
              </w:rPr>
              <w:t>788,160</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960 Broadway Avenue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 Box 70019</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Boise, ID 83707</w:t>
            </w: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Needham Capital Partners III</w:t>
            </w:r>
          </w:p>
        </w:tc>
        <w:tc>
          <w:tcPr>
            <w:tcW w:w="152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43,515</w:t>
            </w:r>
          </w:p>
        </w:tc>
        <w:tc>
          <w:tcPr>
            <w:tcW w:w="22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ind w:right="296"/>
              <w:spacing w:after="0" w:line="201" w:lineRule="exact"/>
              <w:rPr>
                <w:sz w:val="20"/>
                <w:szCs w:val="20"/>
                <w:color w:val="auto"/>
              </w:rPr>
            </w:pPr>
            <w:r>
              <w:rPr>
                <w:rFonts w:ascii="Arial" w:cs="Arial" w:eastAsia="Arial" w:hAnsi="Arial"/>
                <w:sz w:val="18"/>
                <w:szCs w:val="18"/>
                <w:color w:val="auto"/>
              </w:rPr>
              <w:t>43,515</w:t>
            </w:r>
          </w:p>
        </w:tc>
        <w:tc>
          <w:tcPr>
            <w:tcW w:w="220" w:type="dxa"/>
            <w:vAlign w:val="bottom"/>
          </w:tcPr>
          <w:p>
            <w:pPr>
              <w:spacing w:after="0"/>
              <w:rPr>
                <w:sz w:val="17"/>
                <w:szCs w:val="17"/>
                <w:color w:val="auto"/>
              </w:rPr>
            </w:pP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(Bermuda), L.P. (+)(3)</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445 Park Avenue,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Needham Capital Partners III, L.P. (+)(4)</w:t>
            </w:r>
          </w:p>
        </w:tc>
        <w:tc>
          <w:tcPr>
            <w:tcW w:w="152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210,436</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96"/>
              <w:spacing w:after="0" w:line="201" w:lineRule="exact"/>
              <w:rPr>
                <w:sz w:val="20"/>
                <w:szCs w:val="20"/>
                <w:color w:val="auto"/>
              </w:rPr>
            </w:pPr>
            <w:r>
              <w:rPr>
                <w:rFonts w:ascii="Arial" w:cs="Arial" w:eastAsia="Arial" w:hAnsi="Arial"/>
                <w:sz w:val="18"/>
                <w:szCs w:val="18"/>
                <w:color w:val="auto"/>
              </w:rPr>
              <w:t>210,436</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8"/>
                <w:szCs w:val="18"/>
                <w:color w:val="auto"/>
              </w:rPr>
              <w:t>445 Park Avenue,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10022</w:t>
            </w: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Needham Capital Partners III-A, L.P. (+)(4)</w:t>
            </w:r>
          </w:p>
        </w:tc>
        <w:tc>
          <w:tcPr>
            <w:tcW w:w="152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22,550</w:t>
            </w:r>
          </w:p>
        </w:tc>
        <w:tc>
          <w:tcPr>
            <w:tcW w:w="22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ind w:right="296"/>
              <w:spacing w:after="0" w:line="201" w:lineRule="exact"/>
              <w:rPr>
                <w:sz w:val="20"/>
                <w:szCs w:val="20"/>
                <w:color w:val="auto"/>
              </w:rPr>
            </w:pPr>
            <w:r>
              <w:rPr>
                <w:rFonts w:ascii="Arial" w:cs="Arial" w:eastAsia="Arial" w:hAnsi="Arial"/>
                <w:sz w:val="18"/>
                <w:szCs w:val="18"/>
                <w:color w:val="auto"/>
              </w:rPr>
              <w:t>22,550</w:t>
            </w:r>
          </w:p>
        </w:tc>
        <w:tc>
          <w:tcPr>
            <w:tcW w:w="220" w:type="dxa"/>
            <w:vAlign w:val="bottom"/>
          </w:tcPr>
          <w:p>
            <w:pPr>
              <w:spacing w:after="0"/>
              <w:rPr>
                <w:sz w:val="17"/>
                <w:szCs w:val="17"/>
                <w:color w:val="auto"/>
              </w:rPr>
            </w:pP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445 Park Avenue,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Norman Quinn</w:t>
            </w:r>
          </w:p>
        </w:tc>
        <w:tc>
          <w:tcPr>
            <w:tcW w:w="152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96"/>
              <w:spacing w:after="0" w:line="201" w:lineRule="exact"/>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 Blackhawk Road</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Highland Park, IL 60035</w:t>
            </w: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stockholder is an affiliate of a registered broker-dealer.</w:t>
      </w:r>
    </w:p>
    <w:p>
      <w:pPr>
        <w:spacing w:after="0" w:line="9" w:lineRule="exact"/>
        <w:rPr>
          <w:sz w:val="20"/>
          <w:szCs w:val="20"/>
          <w:color w:val="auto"/>
        </w:rPr>
      </w:pPr>
    </w:p>
    <w:p>
      <w:pPr>
        <w:ind w:right="60" w:firstLine="8"/>
        <w:spacing w:after="0" w:line="25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and regulations of the SEC and generally includes securities held by persons who possess sole or shared voting power or investment power with respect to those securities and includes securities that are or will become exercisable within 60 days after August 31, 2009.</w:t>
      </w:r>
    </w:p>
    <w:p>
      <w:pPr>
        <w:spacing w:after="0" w:line="1" w:lineRule="exact"/>
        <w:rPr>
          <w:rFonts w:ascii="Arial" w:cs="Arial" w:eastAsia="Arial" w:hAnsi="Arial"/>
          <w:sz w:val="18"/>
          <w:szCs w:val="18"/>
          <w:color w:val="auto"/>
        </w:rPr>
      </w:pPr>
    </w:p>
    <w:p>
      <w:pPr>
        <w:ind w:right="760" w:firstLine="8"/>
        <w:spacing w:after="0" w:line="250"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that each selling stockholder will sell all of such stockholder’s shares of Common Stock being registered hereby. Based on each selling stockholder’s beneficial ownership of shares of Common Stock as of August 31, 2009.</w:t>
      </w:r>
    </w:p>
    <w:p>
      <w:pPr>
        <w:ind w:right="340" w:firstLine="8"/>
        <w:spacing w:after="0" w:line="25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Needham Capital Management (Bermuda), LLC (445 Park Avenue, New York, NY 10022) is the general partner of the selling stockholder. George A. Needham, John J. Prior and Thomas P. Shanahan, as managing members of this general partner, have shared voting and investment discretion over the registrable securities.</w:t>
      </w:r>
    </w:p>
    <w:p>
      <w:pPr>
        <w:spacing w:after="0" w:line="1" w:lineRule="exact"/>
        <w:rPr>
          <w:rFonts w:ascii="Arial" w:cs="Arial" w:eastAsia="Arial" w:hAnsi="Arial"/>
          <w:sz w:val="18"/>
          <w:szCs w:val="18"/>
          <w:color w:val="auto"/>
        </w:rPr>
      </w:pPr>
    </w:p>
    <w:p>
      <w:pPr>
        <w:ind w:right="3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Needham Capital Management, LLC (445 Park Avenue, New York, NY 10022) is the general partner of the selling stockholder. George A. Needham, John J. Prior and Thomas P. Shanahan, as managing members of this general partner, have shared voting and investment discretion over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1842770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584200</wp:posOffset>
            </wp:positionV>
            <wp:extent cx="3884930" cy="1054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84930" cy="1054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2019-12-10T04:36:35Z</dcterms:created>
  <dcterms:modified xsi:type="dcterms:W3CDTF">2019-12-10T04:36:35Z</dcterms:modified>
</cp:coreProperties>
</file>