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18, 2026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On March 18, 2026, Micron Technology, Inc. (the "Company", "we" or "our") announced the financial results for our second quarter of fiscal 2026 ended February 26, 2026.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BD03F7"/>
              </w:rPr>
              <w:t>Press Release issued on March 18, 2026</w:t>
            </w:r>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BD03F7"/>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20" w:type="dxa"/>
            <w:vAlign w:val="bottom"/>
          </w:tcPr>
          <w:p>
            <w:pPr>
              <w:spacing w:after="0"/>
              <w:rPr>
                <w:sz w:val="21"/>
                <w:szCs w:val="21"/>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720" w:type="dxa"/>
            <w:vAlign w:val="bottom"/>
          </w:tcPr>
          <w:p>
            <w:pPr>
              <w:spacing w:after="0"/>
              <w:rPr>
                <w:sz w:val="20"/>
                <w:szCs w:val="20"/>
                <w:color w:val="auto"/>
              </w:rPr>
            </w:pPr>
            <w:r>
              <w:rPr>
                <w:rFonts w:ascii="Arial" w:cs="Arial" w:eastAsia="Arial" w:hAnsi="Arial"/>
                <w:sz w:val="18"/>
                <w:szCs w:val="18"/>
                <w:color w:val="auto"/>
              </w:rPr>
              <w:t>Date:   March 18, 2026</w:t>
            </w:r>
          </w:p>
        </w:tc>
        <w:tc>
          <w:tcPr>
            <w:tcW w:w="2640" w:type="dxa"/>
            <w:vAlign w:val="bottom"/>
          </w:tcPr>
          <w:p>
            <w:pPr>
              <w:ind w:left="17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720" w:type="dxa"/>
            <w:vAlign w:val="bottom"/>
          </w:tcPr>
          <w:p>
            <w:pPr>
              <w:spacing w:after="0"/>
              <w:rPr>
                <w:sz w:val="18"/>
                <w:szCs w:val="18"/>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720" w:type="dxa"/>
            <w:vAlign w:val="bottom"/>
          </w:tcPr>
          <w:p>
            <w:pPr>
              <w:spacing w:after="0"/>
              <w:rPr>
                <w:sz w:val="20"/>
                <w:szCs w:val="20"/>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2026</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results and outlook reflect strategic value of memory in AI era</w:t>
      </w:r>
    </w:p>
    <w:p>
      <w:pPr>
        <w:spacing w:after="0" w:line="23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18, 2026 – Micron Technology, Inc. (Nasdaq: MU) today announced results for its second quarter of fiscal 2026,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February 26, 2026.</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2026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$23.86 billion versus $13.64 billion for the prior quarter and $8.05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$13.79 billion, or $12.07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$14.02 billion, or $12.20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$11.90 billion versus $8.41 billion for the prior quarter and $3.94 billion for the same period last year</w:t>
      </w:r>
    </w:p>
    <w:p>
      <w:pPr>
        <w:spacing w:after="0" w:line="23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“Micron set new records across revenue, gross margin, EPS, and free cash flow in fiscal Q2, driven by a strong demand environment, tight industry supply, and our strong execution, and we expect significant records again in fiscal Q3,” said Sanjay Mehrotra, Chairman, President and CEO of Micron Technology. “In the AI era, memory has become a strategic asset for our customers, and we are investing in our global manufacturing footprint to support their growing demand. Reflecting confidence in the sustained strength of our business, our board has approved a 30% increase in our quarterly dividend.”</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FQ2-26</w:t>
            </w:r>
          </w:p>
        </w:tc>
        <w:tc>
          <w:tcPr>
            <w:tcW w:w="18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FQ1-26</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FQ2-25</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FQ2-26</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FQ1-26</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FQ2-25</w:t>
            </w:r>
          </w:p>
        </w:tc>
      </w:tr>
      <w:tr>
        <w:trPr>
          <w:trHeight w:val="34"/>
        </w:trPr>
        <w:tc>
          <w:tcPr>
            <w:tcW w:w="4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29"/>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23,860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13,643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23,860</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13,643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8,053</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17,755</w:t>
            </w: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7,646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17,876</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7,753</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3,053</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74.4 %</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56.0 %</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36.8 %</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74.9 %</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56.8 %</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37.9 %</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1,620</w:t>
            </w:r>
          </w:p>
        </w:tc>
        <w:tc>
          <w:tcPr>
            <w:tcW w:w="1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1,421</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1,046</w:t>
            </w:r>
          </w:p>
        </w:tc>
      </w:tr>
      <w:tr>
        <w:trPr>
          <w:trHeight w:val="229"/>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16,135</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6,136</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16,455</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6,419</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2,007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67.6 %</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45.0 %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22.0 %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69.0 %</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47.0 %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24.9 %</w:t>
            </w:r>
          </w:p>
        </w:tc>
      </w:tr>
      <w:tr>
        <w:trPr>
          <w:trHeight w:val="230"/>
        </w:trPr>
        <w:tc>
          <w:tcPr>
            <w:tcW w:w="4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13,785</w:t>
            </w:r>
          </w:p>
        </w:tc>
        <w:tc>
          <w:tcPr>
            <w:tcW w:w="18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5,240</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14,021</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5,482</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1,783</w:t>
            </w: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color w:val="auto"/>
              </w:rPr>
              <w:t>Diluted earnings per share (EPS)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12.20</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1.56</w:t>
            </w:r>
          </w:p>
        </w:tc>
      </w:tr>
    </w:tbl>
    <w:p>
      <w:pPr>
        <w:spacing w:after="0" w:line="200" w:lineRule="exact"/>
        <w:rPr>
          <w:sz w:val="20"/>
          <w:szCs w:val="20"/>
          <w:color w:val="auto"/>
        </w:rPr>
      </w:pPr>
    </w:p>
    <w:p>
      <w:pPr>
        <w:spacing w:after="0" w:line="33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For the second quarter of 2026, 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$ 5.0 billion and 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$6.9 billion. Micron ended the quarter with cash, marketable investments, and restricted cash of $16.7 billion. On March 18, 2026, Micron’s Board of Directors declared a quarterly dividend of $0.15 per share, payable in cash on April 15, 2026, to shareholders of record as of the close of business on March 30, 2026.</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Quarterly Business Unit Financial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FQ2-26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FQ1-26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FQ2-25</w:t>
            </w:r>
          </w:p>
        </w:tc>
      </w:tr>
      <w:tr>
        <w:trPr>
          <w:trHeight w:val="34"/>
        </w:trPr>
        <w:tc>
          <w:tcPr>
            <w:tcW w:w="5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Cloud Memory Business Unit</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7,749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5,284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2,947</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0"/>
        </w:trPr>
        <w:tc>
          <w:tcPr>
            <w:tcW w:w="5620" w:type="dxa"/>
            <w:vAlign w:val="bottom"/>
            <w:shd w:val="clear" w:color="auto" w:fill="D1D2D4"/>
          </w:tcPr>
          <w:p>
            <w:pPr>
              <w:spacing w:after="0"/>
              <w:rPr>
                <w:sz w:val="23"/>
                <w:szCs w:val="23"/>
                <w:color w:val="auto"/>
              </w:rPr>
            </w:pPr>
          </w:p>
        </w:tc>
        <w:tc>
          <w:tcPr>
            <w:tcW w:w="222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Core Data Center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5,687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2,379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1,830</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r>
      <w:tr>
        <w:trPr>
          <w:trHeight w:val="270"/>
        </w:trPr>
        <w:tc>
          <w:tcPr>
            <w:tcW w:w="56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Mobile and Client Business Unit</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7,711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4,255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2,236</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5620" w:type="dxa"/>
            <w:vAlign w:val="bottom"/>
            <w:shd w:val="clear" w:color="auto" w:fill="D1D2D4"/>
          </w:tcPr>
          <w:p>
            <w:pPr>
              <w:spacing w:after="0"/>
              <w:rPr>
                <w:sz w:val="23"/>
                <w:szCs w:val="23"/>
                <w:color w:val="auto"/>
              </w:rPr>
            </w:pPr>
          </w:p>
        </w:tc>
        <w:tc>
          <w:tcPr>
            <w:tcW w:w="222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Automotive and Embedded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2,708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1,034</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62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6 %</w:t>
            </w: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4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0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451"/>
        </w:trPr>
        <w:tc>
          <w:tcPr>
            <w:tcW w:w="634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third quarter of 2026:</w:t>
            </w:r>
          </w:p>
        </w:tc>
        <w:tc>
          <w:tcPr>
            <w:tcW w:w="26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FQ3-26</w:t>
            </w:r>
          </w:p>
        </w:tc>
        <w:tc>
          <w:tcPr>
            <w:tcW w:w="2600" w:type="dxa"/>
            <w:vAlign w:val="bottom"/>
            <w:tcBorders>
              <w:bottom w:val="single" w:sz="8" w:color="auto"/>
            </w:tcBorders>
          </w:tcPr>
          <w:p>
            <w:pPr>
              <w:jc w:val="right"/>
              <w:ind w:right="53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300" w:type="dxa"/>
            <w:vAlign w:val="bottom"/>
            <w:tcBorders>
              <w:bottom w:val="single" w:sz="8" w:color="auto"/>
            </w:tcBorders>
          </w:tcPr>
          <w:p>
            <w:pPr>
              <w:jc w:val="right"/>
              <w:ind w:right="21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$33.5 billion ± $750 million</w:t>
            </w:r>
          </w:p>
        </w:tc>
        <w:tc>
          <w:tcPr>
            <w:tcW w:w="2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$33.5 billion ± $750 million</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0" w:type="dxa"/>
            <w:vAlign w:val="bottom"/>
          </w:tcPr>
          <w:p>
            <w:pPr>
              <w:jc w:val="right"/>
              <w:ind w:right="50"/>
              <w:spacing w:after="0"/>
              <w:rPr>
                <w:sz w:val="20"/>
                <w:szCs w:val="20"/>
                <w:color w:val="auto"/>
              </w:rPr>
            </w:pPr>
            <w:r>
              <w:rPr>
                <w:rFonts w:ascii="Arial" w:cs="Arial" w:eastAsia="Arial" w:hAnsi="Arial"/>
                <w:sz w:val="18"/>
                <w:szCs w:val="18"/>
                <w:color w:val="auto"/>
              </w:rPr>
              <w:t>Approximately 81%</w:t>
            </w:r>
          </w:p>
        </w:tc>
        <w:tc>
          <w:tcPr>
            <w:tcW w:w="2300" w:type="dxa"/>
            <w:vAlign w:val="bottom"/>
          </w:tcPr>
          <w:p>
            <w:pPr>
              <w:jc w:val="right"/>
              <w:spacing w:after="0"/>
              <w:rPr>
                <w:sz w:val="20"/>
                <w:szCs w:val="20"/>
                <w:color w:val="auto"/>
              </w:rPr>
            </w:pPr>
            <w:r>
              <w:rPr>
                <w:rFonts w:ascii="Arial" w:cs="Arial" w:eastAsia="Arial" w:hAnsi="Arial"/>
                <w:sz w:val="18"/>
                <w:szCs w:val="18"/>
                <w:color w:val="auto"/>
              </w:rPr>
              <w:t>Approximately 81%</w:t>
            </w: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Approximately $1.60 billion</w:t>
            </w:r>
          </w:p>
        </w:tc>
        <w:tc>
          <w:tcPr>
            <w:tcW w:w="2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Approximately $1.40 billion</w:t>
            </w:r>
          </w:p>
        </w:tc>
      </w:tr>
      <w:tr>
        <w:trPr>
          <w:trHeight w:val="239"/>
        </w:trPr>
        <w:tc>
          <w:tcPr>
            <w:tcW w:w="63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0" w:type="dxa"/>
            <w:vAlign w:val="bottom"/>
          </w:tcPr>
          <w:p>
            <w:pPr>
              <w:jc w:val="right"/>
              <w:ind w:right="50"/>
              <w:spacing w:after="0"/>
              <w:rPr>
                <w:sz w:val="20"/>
                <w:szCs w:val="20"/>
                <w:color w:val="auto"/>
              </w:rPr>
            </w:pPr>
            <w:r>
              <w:rPr>
                <w:rFonts w:ascii="Arial" w:cs="Arial" w:eastAsia="Arial" w:hAnsi="Arial"/>
                <w:sz w:val="18"/>
                <w:szCs w:val="18"/>
                <w:color w:val="auto"/>
              </w:rPr>
              <w:t>$18.90 ± $0.40</w:t>
            </w:r>
          </w:p>
        </w:tc>
        <w:tc>
          <w:tcPr>
            <w:tcW w:w="2300" w:type="dxa"/>
            <w:vAlign w:val="bottom"/>
          </w:tcPr>
          <w:p>
            <w:pPr>
              <w:jc w:val="right"/>
              <w:spacing w:after="0"/>
              <w:rPr>
                <w:sz w:val="20"/>
                <w:szCs w:val="20"/>
                <w:color w:val="auto"/>
              </w:rPr>
            </w:pPr>
            <w:r>
              <w:rPr>
                <w:rFonts w:ascii="Arial" w:cs="Arial" w:eastAsia="Arial" w:hAnsi="Arial"/>
                <w:sz w:val="18"/>
                <w:szCs w:val="18"/>
                <w:color w:val="auto"/>
              </w:rPr>
              <w:t>$19.15 ± $0.40</w:t>
            </w:r>
          </w:p>
        </w:tc>
      </w:tr>
    </w:tbl>
    <w:p>
      <w:pPr>
        <w:spacing w:after="0" w:line="29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Micron will host a conference call on Wednesday, March 18, 2026 at 2:30 p.m. Mountain Time to discuss its second quarter financial results and provide forward-looking guidance for its third quarter. A live webcast of the call will be available online at </w:t>
      </w:r>
      <w:r>
        <w:rPr>
          <w:rFonts w:ascii="Arial" w:cs="Arial" w:eastAsia="Arial" w:hAnsi="Arial"/>
          <w:sz w:val="18"/>
          <w:szCs w:val="18"/>
          <w:u w:val="single" w:color="auto"/>
          <w:color w:val="BD03F7"/>
        </w:rPr>
        <w:t>investors.micron.com</w:t>
      </w:r>
      <w:r>
        <w:rPr>
          <w:rFonts w:ascii="Arial" w:cs="Arial" w:eastAsia="Arial" w:hAnsi="Arial"/>
          <w:sz w:val="18"/>
          <w:szCs w:val="18"/>
          <w:color w:val="auto"/>
        </w:rPr>
        <w:t>. A webcast replay will be available for one year after the call.</w:t>
      </w:r>
    </w:p>
    <w:p>
      <w:pPr>
        <w:spacing w:after="0" w:line="18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encourage you to visit our website at micron.com throughout the quarter for the most current information on the company, including information on financial conferences that we may be attending. You can also follow us on LinkedIn, X (@MicronTech) and YouTube (@MicronTechnology).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2026 Micron Technology, Inc. All rights reserved.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our customers, including customer demand, and our financial and operating performance, including our guidance for the third quarter of 2026, as well as our investments in manufacturing and goals for such investments.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000000"/>
        </w:rPr>
        <w:t>. Although we believe that the expectations reflected in the forward-looking statements are reasonable, we cannot guarantee future</w:t>
      </w:r>
      <w:r>
        <w:rPr>
          <w:rFonts w:ascii="Arial" w:cs="Arial" w:eastAsia="Arial" w:hAnsi="Arial"/>
          <w:sz w:val="18"/>
          <w:szCs w:val="18"/>
          <w:color w:val="BD03F7"/>
        </w:rPr>
        <w:t xml:space="preserve"> </w:t>
      </w:r>
      <w:r>
        <w:rPr>
          <w:rFonts w:ascii="Arial" w:cs="Arial" w:eastAsia="Arial" w:hAnsi="Arial"/>
          <w:sz w:val="18"/>
          <w:szCs w:val="18"/>
          <w:color w:val="000000"/>
        </w:rPr>
        <w:t>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2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investments in capital expenditures, net;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0"/>
                <w:szCs w:val="20"/>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8"/>
              </w:rPr>
              <w:t>February 26,</w:t>
            </w:r>
          </w:p>
        </w:tc>
        <w:tc>
          <w:tcPr>
            <w:tcW w:w="13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November 27,</w:t>
            </w:r>
          </w:p>
        </w:tc>
        <w:tc>
          <w:tcPr>
            <w:tcW w:w="14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February 27,</w:t>
            </w:r>
          </w:p>
        </w:tc>
        <w:tc>
          <w:tcPr>
            <w:tcW w:w="140" w:type="dxa"/>
            <w:vAlign w:val="bottom"/>
          </w:tcPr>
          <w:p>
            <w:pPr>
              <w:spacing w:after="0"/>
              <w:rPr>
                <w:sz w:val="14"/>
                <w:szCs w:val="14"/>
                <w:color w:val="auto"/>
              </w:rPr>
            </w:pPr>
          </w:p>
        </w:tc>
        <w:tc>
          <w:tcPr>
            <w:tcW w:w="120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8"/>
              </w:rPr>
              <w:t>February 26,</w:t>
            </w:r>
          </w:p>
        </w:tc>
        <w:tc>
          <w:tcPr>
            <w:tcW w:w="120" w:type="dxa"/>
            <w:vAlign w:val="bottom"/>
          </w:tcPr>
          <w:p>
            <w:pPr>
              <w:spacing w:after="0"/>
              <w:rPr>
                <w:sz w:val="14"/>
                <w:szCs w:val="14"/>
                <w:color w:val="auto"/>
              </w:rPr>
            </w:pPr>
          </w:p>
        </w:tc>
        <w:tc>
          <w:tcPr>
            <w:tcW w:w="122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8"/>
              </w:rPr>
              <w:t>February 27,</w:t>
            </w:r>
          </w:p>
        </w:tc>
      </w:tr>
      <w:tr>
        <w:trPr>
          <w:trHeight w:val="243"/>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2026</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23,860</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13,643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37,503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16,762</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12,102</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17,755</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7,646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25,401</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6,311</w:t>
            </w: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2,421</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16,135</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22,271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3,947</w:t>
            </w:r>
          </w:p>
        </w:tc>
      </w:tr>
      <w:tr>
        <w:trPr>
          <w:trHeight w:val="257"/>
        </w:trPr>
        <w:tc>
          <w:tcPr>
            <w:tcW w:w="45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5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16,160</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6,061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22,221</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3,910</w:t>
            </w: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(2,371)</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45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13,785</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5,240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3,453</w:t>
            </w: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w:t>
            </w:r>
          </w:p>
        </w:tc>
      </w:tr>
      <w:tr>
        <w:trPr>
          <w:trHeight w:val="256"/>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1,126</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1,142</w:t>
            </w: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26,</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27,</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28,</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highlight w:val="lightGray"/>
              </w:rPr>
              <w:t>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13,908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8,267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8,205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41,413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29,665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51,408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48,477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46,590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101,509</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85,971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10,997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9,796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14,296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9,557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11,187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3,539</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2,101</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28,633</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14,092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66,824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53,344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48,583</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101,509</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85,971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26,</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(8,298)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9"/>
        </w:trPr>
        <w:tc>
          <w:tcPr>
            <w:tcW w:w="83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6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20,314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9,646</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90" w:right="339" w:bottom="1440" w:gutter="0" w:footer="0" w:header="0"/>
          <w:type w:val="continuous"/>
        </w:sectPr>
      </w:pPr>
    </w:p>
    <w:bookmarkStart w:id="9" w:name="page10"/>
    <w:bookmarkEnd w:id="9"/>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19"/>
                <w:szCs w:val="19"/>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12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2nd Qtr.</w:t>
            </w:r>
          </w:p>
        </w:tc>
      </w:tr>
      <w:tr>
        <w:trPr>
          <w:trHeight w:val="181"/>
        </w:trPr>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February 26,</w:t>
            </w: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27,</w:t>
            </w:r>
          </w:p>
        </w:tc>
        <w:tc>
          <w:tcPr>
            <w:tcW w:w="120" w:type="dxa"/>
            <w:vAlign w:val="bottom"/>
          </w:tcPr>
          <w:p>
            <w:pPr>
              <w:spacing w:after="0"/>
              <w:rPr>
                <w:sz w:val="15"/>
                <w:szCs w:val="15"/>
                <w:color w:val="auto"/>
              </w:rPr>
            </w:pPr>
          </w:p>
        </w:tc>
        <w:tc>
          <w:tcPr>
            <w:tcW w:w="122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rPr>
              <w:t>February 27,</w:t>
            </w:r>
          </w:p>
        </w:tc>
      </w:tr>
      <w:tr>
        <w:trPr>
          <w:trHeight w:val="243"/>
        </w:trPr>
        <w:tc>
          <w:tcPr>
            <w:tcW w:w="7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2026</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2025</w:t>
            </w:r>
          </w:p>
        </w:tc>
        <w:tc>
          <w:tcPr>
            <w:tcW w:w="20" w:type="dxa"/>
            <w:vAlign w:val="bottom"/>
          </w:tcPr>
          <w:p>
            <w:pPr>
              <w:spacing w:after="0"/>
              <w:rPr>
                <w:sz w:val="21"/>
                <w:szCs w:val="21"/>
                <w:color w:val="auto"/>
              </w:rPr>
            </w:pPr>
          </w:p>
        </w:tc>
      </w:tr>
      <w:tr>
        <w:trPr>
          <w:trHeight w:val="34"/>
        </w:trPr>
        <w:tc>
          <w:tcPr>
            <w:tcW w:w="7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gross margin</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17,755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7,646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gross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r>
      <w:tr>
        <w:trPr>
          <w:trHeight w:val="229"/>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operating income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16,135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9"/>
                <w:szCs w:val="19"/>
                <w:color w:val="auto"/>
              </w:rPr>
            </w:pPr>
          </w:p>
        </w:tc>
      </w:tr>
      <w:tr>
        <w:trPr>
          <w:trHeight w:val="230"/>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13,785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Loss on debt prepayments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Estimated tax effects of above and other tax adjustments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8"/>
                <w:szCs w:val="18"/>
                <w:b w:val="1"/>
                <w:bCs w:val="1"/>
                <w:color w:val="auto"/>
              </w:rPr>
              <w:t>Non-GAAP net income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14,021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1,783</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19"/>
                <w:szCs w:val="19"/>
                <w:color w:val="auto"/>
              </w:rPr>
            </w:pPr>
          </w:p>
        </w:tc>
      </w:tr>
      <w:tr>
        <w:trPr>
          <w:trHeight w:val="230"/>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Adjustment for stock-based compensation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12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1,149</w:t>
            </w:r>
          </w:p>
        </w:tc>
        <w:tc>
          <w:tcPr>
            <w:tcW w:w="24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diluted earnings per share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r>
      <w:tr>
        <w:trPr>
          <w:trHeight w:val="230"/>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Effects of the above adjustments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8"/>
                <w:szCs w:val="18"/>
                <w:b w:val="1"/>
                <w:bCs w:val="1"/>
                <w:color w:val="auto"/>
              </w:rPr>
              <w:t>Non-GAAP diluted earnings per share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12.20</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2"/>
        </w:trPr>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00"/>
          </w:cols>
          <w:pgMar w:left="360" w:top="890" w:right="339" w:bottom="1440" w:gutter="0" w:footer="0" w:header="0"/>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780" w:type="dxa"/>
            <w:vAlign w:val="bottom"/>
            <w:gridSpan w:val="4"/>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82"/>
        </w:trPr>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r>
      <w:tr>
        <w:trPr>
          <w:trHeight w:val="181"/>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8"/>
              </w:rPr>
              <w:t>February 26,</w:t>
            </w: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27,</w:t>
            </w:r>
          </w:p>
        </w:tc>
        <w:tc>
          <w:tcPr>
            <w:tcW w:w="120" w:type="dxa"/>
            <w:vAlign w:val="bottom"/>
          </w:tcPr>
          <w:p>
            <w:pPr>
              <w:spacing w:after="0"/>
              <w:rPr>
                <w:sz w:val="15"/>
                <w:szCs w:val="15"/>
                <w:color w:val="auto"/>
              </w:rPr>
            </w:pPr>
          </w:p>
        </w:tc>
        <w:tc>
          <w:tcPr>
            <w:tcW w:w="12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February 27,</w:t>
            </w:r>
          </w:p>
        </w:tc>
      </w:tr>
      <w:tr>
        <w:trPr>
          <w:trHeight w:val="243"/>
        </w:trPr>
        <w:tc>
          <w:tcPr>
            <w:tcW w:w="7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2026</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2025</w:t>
            </w:r>
          </w:p>
        </w:tc>
      </w:tr>
      <w:tr>
        <w:trPr>
          <w:trHeight w:val="34"/>
        </w:trPr>
        <w:tc>
          <w:tcPr>
            <w:tcW w:w="7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11,903</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8,411</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3,942</w:t>
            </w:r>
          </w:p>
        </w:tc>
      </w:tr>
      <w:tr>
        <w:trPr>
          <w:trHeight w:val="256"/>
        </w:trPr>
        <w:tc>
          <w:tcPr>
            <w:tcW w:w="7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7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(6,387)</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(5,389)</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(4,055)</w:t>
            </w: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Proceeds from government incentives</w:t>
            </w:r>
          </w:p>
        </w:tc>
        <w:tc>
          <w:tcPr>
            <w:tcW w:w="10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1,378</w:t>
            </w:r>
          </w:p>
        </w:tc>
        <w:tc>
          <w:tcPr>
            <w:tcW w:w="24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963</w:t>
            </w:r>
          </w:p>
        </w:tc>
      </w:tr>
      <w:tr>
        <w:trPr>
          <w:trHeight w:val="223"/>
        </w:trPr>
        <w:tc>
          <w:tcPr>
            <w:tcW w:w="7240" w:type="dxa"/>
            <w:vAlign w:val="bottom"/>
            <w:tcBorders>
              <w:bottom w:val="single" w:sz="8" w:color="DBDBDB"/>
            </w:tcBorders>
          </w:tcPr>
          <w:p>
            <w:pPr>
              <w:ind w:left="180"/>
              <w:spacing w:after="0"/>
              <w:rPr>
                <w:sz w:val="20"/>
                <w:szCs w:val="20"/>
                <w:color w:val="auto"/>
              </w:rPr>
            </w:pPr>
            <w:r>
              <w:rPr>
                <w:rFonts w:ascii="Arial" w:cs="Arial" w:eastAsia="Arial" w:hAnsi="Arial"/>
                <w:sz w:val="18"/>
                <w:szCs w:val="18"/>
                <w:b w:val="1"/>
                <w:bCs w:val="1"/>
                <w:color w:val="auto"/>
              </w:rPr>
              <w:t>Investments in capital expenditures, net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r>
      <w:tr>
        <w:trPr>
          <w:trHeight w:val="248"/>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6,899</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857</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prepayments;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benefit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FQ3-26</w:t>
            </w:r>
          </w:p>
        </w:tc>
        <w:tc>
          <w:tcPr>
            <w:tcW w:w="2280" w:type="dxa"/>
            <w:vAlign w:val="bottom"/>
            <w:gridSpan w:val="2"/>
          </w:tcPr>
          <w:p>
            <w:pPr>
              <w:ind w:left="36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ind w:left="600"/>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ind w:right="27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20" w:type="dxa"/>
            <w:vAlign w:val="bottom"/>
          </w:tcPr>
          <w:p>
            <w:pPr>
              <w:spacing w:after="0"/>
              <w:rPr>
                <w:sz w:val="2"/>
                <w:szCs w:val="2"/>
                <w:color w:val="auto"/>
              </w:rPr>
            </w:pPr>
          </w:p>
        </w:tc>
        <w:tc>
          <w:tcPr>
            <w:tcW w:w="4160" w:type="dxa"/>
            <w:vAlign w:val="bottom"/>
            <w:tcBorders>
              <w:top w:val="single" w:sz="8" w:color="auto"/>
            </w:tcBorders>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$33.5 billion ± $750 million</w:t>
            </w:r>
          </w:p>
        </w:tc>
        <w:tc>
          <w:tcPr>
            <w:tcW w:w="2380" w:type="dxa"/>
            <w:vAlign w:val="bottom"/>
            <w:gridSpan w:val="2"/>
            <w:shd w:val="clear" w:color="auto" w:fill="D1D2D4"/>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$33.5 billion ± $750 million</w:t>
            </w:r>
          </w:p>
        </w:tc>
      </w:tr>
      <w:tr>
        <w:trPr>
          <w:trHeight w:val="229"/>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Approximately 81%</w:t>
            </w:r>
          </w:p>
        </w:tc>
        <w:tc>
          <w:tcPr>
            <w:tcW w:w="2380" w:type="dxa"/>
            <w:vAlign w:val="bottom"/>
            <w:gridSpan w:val="2"/>
          </w:tcPr>
          <w:p>
            <w:pPr>
              <w:ind w:left="1040"/>
              <w:spacing w:after="0"/>
              <w:rPr>
                <w:sz w:val="20"/>
                <w:szCs w:val="20"/>
                <w:color w:val="auto"/>
              </w:rPr>
            </w:pPr>
            <w:r>
              <w:rPr>
                <w:rFonts w:ascii="Arial" w:cs="Arial" w:eastAsia="Arial" w:hAnsi="Arial"/>
                <w:sz w:val="18"/>
                <w:szCs w:val="18"/>
                <w:color w:val="auto"/>
              </w:rPr>
              <w:t>— 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Approximately 81%</w:t>
            </w:r>
          </w:p>
        </w:tc>
      </w:tr>
      <w:tr>
        <w:trPr>
          <w:trHeight w:val="229"/>
        </w:trPr>
        <w:tc>
          <w:tcPr>
            <w:tcW w:w="20" w:type="dxa"/>
            <w:vAlign w:val="bottom"/>
          </w:tcPr>
          <w:p>
            <w:pPr>
              <w:spacing w:after="0"/>
              <w:rPr>
                <w:sz w:val="19"/>
                <w:szCs w:val="19"/>
                <w:color w:val="auto"/>
              </w:rPr>
            </w:pPr>
          </w:p>
        </w:tc>
        <w:tc>
          <w:tcPr>
            <w:tcW w:w="416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w w:val="99"/>
              </w:rPr>
              <w:t>Approximately $1.60 billion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$200 million B</w:t>
            </w:r>
          </w:p>
        </w:tc>
        <w:tc>
          <w:tcPr>
            <w:tcW w:w="100" w:type="dxa"/>
            <w:vAlign w:val="bottom"/>
            <w:shd w:val="clear" w:color="auto" w:fill="D1D2D4"/>
          </w:tcPr>
          <w:p>
            <w:pPr>
              <w:spacing w:after="0"/>
              <w:rPr>
                <w:sz w:val="19"/>
                <w:szCs w:val="19"/>
                <w:color w:val="auto"/>
              </w:rPr>
            </w:pPr>
          </w:p>
        </w:tc>
        <w:tc>
          <w:tcPr>
            <w:tcW w:w="2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Approximately $1.40 billion</w:t>
            </w:r>
          </w:p>
        </w:tc>
      </w:tr>
      <w:tr>
        <w:trPr>
          <w:trHeight w:val="311"/>
        </w:trPr>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80" w:type="dxa"/>
            <w:vAlign w:val="bottom"/>
          </w:tcPr>
          <w:p>
            <w:pPr>
              <w:jc w:val="right"/>
              <w:spacing w:after="0"/>
              <w:rPr>
                <w:sz w:val="20"/>
                <w:szCs w:val="20"/>
                <w:color w:val="auto"/>
              </w:rPr>
            </w:pPr>
            <w:r>
              <w:rPr>
                <w:rFonts w:ascii="Arial" w:cs="Arial" w:eastAsia="Arial" w:hAnsi="Arial"/>
                <w:sz w:val="18"/>
                <w:szCs w:val="18"/>
                <w:color w:val="auto"/>
              </w:rPr>
              <w:t>$18.90 ± $0.40</w:t>
            </w:r>
          </w:p>
        </w:tc>
        <w:tc>
          <w:tcPr>
            <w:tcW w:w="10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$0.25 A, B, 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$19.15 ± $0.40</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40"/>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r>
      <w:tr>
        <w:trPr>
          <w:trHeight w:val="37"/>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30"/>
        </w:trPr>
        <w:tc>
          <w:tcPr>
            <w:tcW w:w="20" w:type="dxa"/>
            <w:vAlign w:val="bottom"/>
            <w:shd w:val="clear" w:color="auto" w:fill="D1D2D4"/>
          </w:tcPr>
          <w:p>
            <w:pPr>
              <w:spacing w:after="0"/>
              <w:rPr>
                <w:sz w:val="19"/>
                <w:szCs w:val="19"/>
                <w:color w:val="auto"/>
              </w:rPr>
            </w:pPr>
          </w:p>
        </w:tc>
        <w:tc>
          <w:tcPr>
            <w:tcW w:w="4160" w:type="dxa"/>
            <w:vAlign w:val="bottom"/>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2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B  Stock-based compensation – research and development</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20" w:type="dxa"/>
            <w:vAlign w:val="bottom"/>
            <w:shd w:val="clear" w:color="auto" w:fill="D1D2D4"/>
          </w:tcPr>
          <w:p>
            <w:pPr>
              <w:spacing w:after="0"/>
              <w:rPr>
                <w:sz w:val="19"/>
                <w:szCs w:val="19"/>
                <w:color w:val="auto"/>
              </w:rPr>
            </w:pPr>
          </w:p>
        </w:tc>
        <w:tc>
          <w:tcPr>
            <w:tcW w:w="64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2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20" w:type="dxa"/>
            <w:vAlign w:val="bottom"/>
            <w:tcBorders>
              <w:bottom w:val="single" w:sz="8" w:color="D1D2D4"/>
            </w:tcBorders>
          </w:tcPr>
          <w:p>
            <w:pPr>
              <w:spacing w:after="0"/>
              <w:rPr>
                <w:sz w:val="19"/>
                <w:szCs w:val="19"/>
                <w:color w:val="auto"/>
              </w:rPr>
            </w:pPr>
          </w:p>
        </w:tc>
        <w:tc>
          <w:tcPr>
            <w:tcW w:w="6440" w:type="dxa"/>
            <w:vAlign w:val="bottom"/>
            <w:tcBorders>
              <w:bottom w:val="single" w:sz="8" w:color="D1D2D4"/>
            </w:tcBorders>
            <w:gridSpan w:val="3"/>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228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20" w:type="dxa"/>
            <w:vAlign w:val="bottom"/>
            <w:tcBorders>
              <w:bottom w:val="single" w:sz="8" w:color="D1D2D4"/>
            </w:tcBorders>
            <w:shd w:val="clear" w:color="auto" w:fill="D1D2D4"/>
          </w:tcPr>
          <w:p>
            <w:pPr>
              <w:spacing w:after="0"/>
              <w:rPr>
                <w:sz w:val="21"/>
                <w:szCs w:val="21"/>
                <w:color w:val="auto"/>
              </w:rPr>
            </w:pPr>
          </w:p>
        </w:tc>
        <w:tc>
          <w:tcPr>
            <w:tcW w:w="4160" w:type="dxa"/>
            <w:vAlign w:val="bottom"/>
            <w:tcBorders>
              <w:bottom w:val="single" w:sz="8" w:color="D1D2D4"/>
            </w:tcBorders>
            <w:shd w:val="clear" w:color="auto" w:fill="D1D2D4"/>
          </w:tcPr>
          <w:p>
            <w:pPr>
              <w:spacing w:after="0"/>
              <w:rPr>
                <w:sz w:val="21"/>
                <w:szCs w:val="21"/>
                <w:color w:val="auto"/>
              </w:rPr>
            </w:pPr>
          </w:p>
        </w:tc>
        <w:tc>
          <w:tcPr>
            <w:tcW w:w="218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228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20" w:type="dxa"/>
            <w:vAlign w:val="bottom"/>
            <w:tcBorders>
              <w:top w:val="single" w:sz="8" w:color="D1D2D4"/>
            </w:tcBorders>
          </w:tcPr>
          <w:p>
            <w:pPr>
              <w:spacing w:after="0" w:line="20" w:lineRule="exact"/>
              <w:rPr>
                <w:sz w:val="1"/>
                <w:szCs w:val="1"/>
                <w:color w:val="auto"/>
              </w:rPr>
            </w:pPr>
          </w:p>
        </w:tc>
        <w:tc>
          <w:tcPr>
            <w:tcW w:w="4160" w:type="dxa"/>
            <w:vAlign w:val="bottom"/>
            <w:tcBorders>
              <w:top w:val="single" w:sz="8" w:color="D1D2D4"/>
            </w:tcBorders>
          </w:tcPr>
          <w:p>
            <w:pPr>
              <w:spacing w:after="0" w:line="20" w:lineRule="exact"/>
              <w:rPr>
                <w:sz w:val="1"/>
                <w:szCs w:val="1"/>
                <w:color w:val="auto"/>
              </w:rPr>
            </w:pPr>
          </w:p>
        </w:tc>
        <w:tc>
          <w:tcPr>
            <w:tcW w:w="218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8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214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1.14 billion diluted shares and non-GAAP earnings per share based on approximately 1.15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2026-03-18T15:08:29Z</dcterms:created>
  <dcterms:modified xsi:type="dcterms:W3CDTF">2026-03-18T15:08:29Z</dcterms:modified>
</cp:coreProperties>
</file>