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9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91300"/>
                    </a:xfrm>
                    <a:prstGeom prst="rect">
                      <a:avLst/>
                    </a:prstGeom>
                    <a:noFill/>
                  </pic:spPr>
                </pic:pic>
              </a:graphicData>
            </a:graphic>
          </wp:anchor>
        </w:drawing>
      </w:r>
    </w:p>
    <w:p>
      <w:pPr>
        <w:spacing w:after="0" w:line="1285" w:lineRule="exact"/>
        <w:rPr>
          <w:sz w:val="24"/>
          <w:szCs w:val="24"/>
          <w:color w:val="auto"/>
        </w:rPr>
      </w:pPr>
    </w:p>
    <w:p>
      <w:pPr>
        <w:sectPr>
          <w:pgSz w:w="11900" w:h="16936"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936" w:orient="portrait"/>
          <w:cols w:equalWidth="0" w:num="3">
            <w:col w:w="3200" w:space="720"/>
            <w:col w:w="3360" w:space="455"/>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jc w:val="right"/>
              <w:ind w:righ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ind w:right="7"/>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23"/>
                <w:szCs w:val="23"/>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10/29/2025</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center"/>
              <w:ind w:right="3"/>
              <w:spacing w:after="0"/>
              <w:rPr>
                <w:sz w:val="20"/>
                <w:szCs w:val="20"/>
                <w:color w:val="auto"/>
              </w:rPr>
            </w:pPr>
            <w:r>
              <w:rPr>
                <w:rFonts w:ascii="Times New Roman" w:cs="Times New Roman" w:eastAsia="Times New Roman" w:hAnsi="Times New Roman"/>
                <w:sz w:val="17"/>
                <w:szCs w:val="17"/>
                <w:color w:val="0000FF"/>
              </w:rPr>
              <w:t>10,000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tcPr>
          <w:p>
            <w:pPr>
              <w:jc w:val="center"/>
              <w:ind w:left="10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0" w:type="dxa"/>
            <w:vAlign w:val="bottom"/>
          </w:tcPr>
          <w:p>
            <w:pPr>
              <w:spacing w:after="0"/>
              <w:rPr>
                <w:sz w:val="23"/>
                <w:szCs w:val="23"/>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431,578</w:t>
            </w: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10/29/2025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3"/>
              <w:spacing w:after="0"/>
              <w:rPr>
                <w:sz w:val="20"/>
                <w:szCs w:val="20"/>
                <w:color w:val="auto"/>
              </w:rPr>
            </w:pPr>
            <w:r>
              <w:rPr>
                <w:rFonts w:ascii="Times New Roman" w:cs="Times New Roman" w:eastAsia="Times New Roman" w:hAnsi="Times New Roman"/>
                <w:sz w:val="17"/>
                <w:szCs w:val="17"/>
                <w:color w:val="0000FF"/>
              </w:rPr>
              <w:t>8,968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230.23</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422,610</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10/29/2025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3"/>
              <w:spacing w:after="0"/>
              <w:rPr>
                <w:sz w:val="20"/>
                <w:szCs w:val="20"/>
                <w:color w:val="auto"/>
              </w:rPr>
            </w:pPr>
            <w:r>
              <w:rPr>
                <w:rFonts w:ascii="Times New Roman" w:cs="Times New Roman" w:eastAsia="Times New Roman" w:hAnsi="Times New Roman"/>
                <w:sz w:val="17"/>
                <w:szCs w:val="17"/>
                <w:color w:val="0000FF"/>
              </w:rPr>
              <w:t>2,930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231.45</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419,680</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527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221.68</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419,153</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596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223.04</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418,557</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3"/>
              <w:spacing w:after="0"/>
              <w:rPr>
                <w:sz w:val="20"/>
                <w:szCs w:val="20"/>
                <w:color w:val="auto"/>
              </w:rPr>
            </w:pPr>
            <w:r>
              <w:rPr>
                <w:rFonts w:ascii="Times New Roman" w:cs="Times New Roman" w:eastAsia="Times New Roman" w:hAnsi="Times New Roman"/>
                <w:sz w:val="17"/>
                <w:szCs w:val="17"/>
                <w:color w:val="0000FF"/>
              </w:rPr>
              <w:t>1,131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224.3</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417,426</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3"/>
              <w:spacing w:after="0"/>
              <w:rPr>
                <w:sz w:val="20"/>
                <w:szCs w:val="20"/>
                <w:color w:val="auto"/>
              </w:rPr>
            </w:pPr>
            <w:r>
              <w:rPr>
                <w:rFonts w:ascii="Times New Roman" w:cs="Times New Roman" w:eastAsia="Times New Roman" w:hAnsi="Times New Roman"/>
                <w:sz w:val="17"/>
                <w:szCs w:val="17"/>
                <w:color w:val="0000FF"/>
              </w:rPr>
              <w:t>3,225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225.05</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414,201</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w w:val="99"/>
              </w:rPr>
              <w:t>4,911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226.14</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409,290</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10/30/2025</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212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226.79</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409,078</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00" w:type="dxa"/>
            <w:vAlign w:val="bottom"/>
            <w:gridSpan w:val="14"/>
          </w:tcPr>
          <w:p>
            <w:pPr>
              <w:jc w:val="right"/>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$230.00 to $230.9296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$231.0747 to $232.05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$221.005 to $221.89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$222.52 to $223.365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$223.60 to $224.5932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cente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$224.595 to $225.5913 per share, inclusive. The Reporting Person undertakes to provide to the Issuer, any security holder of the Issuer, or to the staff of the Securities and Exchange Commission, upon request, full information regarding the number of shares sold at each</w:t>
      </w:r>
    </w:p>
    <w:p>
      <w:pPr>
        <w:sectPr>
          <w:pgSz w:w="11900" w:h="16936"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separate price within the range set forth in this footnote.</w:t>
      </w:r>
    </w:p>
    <w:p>
      <w:pPr>
        <w:spacing w:after="0" w:line="50"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$225.6317 to $226.575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$226.63 to $226.8282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Mai Lan Bui, Attorney-in-fact 10/31/2025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2025-10-31T18:28:47Z</dcterms:created>
  <dcterms:modified xsi:type="dcterms:W3CDTF">2025-10-31T18:28:47Z</dcterms:modified>
</cp:coreProperties>
</file>