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1600" w:right="180" w:hanging="890"/>
        <w:spacing w:after="0" w:line="237" w:lineRule="auto"/>
        <w:tabs>
          <w:tab w:leader="none" w:pos="16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 2005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600" w:right="180" w:hanging="849"/>
        <w:spacing w:after="0" w:line="256" w:lineRule="auto"/>
        <w:tabs>
          <w:tab w:leader="none" w:pos="1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585" w:right="239" w:bottom="0" w:gutter="0" w:footer="0" w:header="0"/>
        </w:sectPr>
      </w:pPr>
    </w:p>
    <w:p>
      <w:pPr>
        <w:spacing w:after="0" w:line="199" w:lineRule="exact"/>
        <w:rPr>
          <w:sz w:val="24"/>
          <w:szCs w:val="24"/>
          <w:color w:val="auto"/>
        </w:rPr>
      </w:pPr>
    </w:p>
    <w:p>
      <w:pPr>
        <w:ind w:left="39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260" w:space="580"/>
            <w:col w:w="4580"/>
          </w:cols>
          <w:pgMar w:left="240" w:top="585" w:right="239" w:bottom="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5"/>
          <w:szCs w:val="15"/>
          <w:b w:val="1"/>
          <w:bCs w:val="1"/>
          <w:color w:val="auto"/>
        </w:rPr>
        <w:t>1-10658</w:t>
      </w:r>
    </w:p>
    <w:p>
      <w:pPr>
        <w:sectPr>
          <w:pgSz w:w="11900" w:h="16838" w:orient="portrait"/>
          <w:cols w:equalWidth="0" w:num="1">
            <w:col w:w="11420"/>
          </w:cols>
          <w:pgMar w:left="240" w:top="585"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53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360" w:type="dxa"/>
            <w:vAlign w:val="bottom"/>
          </w:tcPr>
          <w:p>
            <w:pPr>
              <w:jc w:val="center"/>
              <w:ind w:right="159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left="1590"/>
              <w:spacing w:after="0"/>
              <w:rPr>
                <w:sz w:val="20"/>
                <w:szCs w:val="20"/>
                <w:color w:val="auto"/>
              </w:rPr>
            </w:pPr>
            <w:r>
              <w:rPr>
                <w:rFonts w:ascii="Arial" w:cs="Arial" w:eastAsia="Arial" w:hAnsi="Arial"/>
                <w:sz w:val="18"/>
                <w:szCs w:val="18"/>
                <w:color w:val="auto"/>
                <w:w w:val="92"/>
              </w:rPr>
              <w:t>(IRS Employer</w:t>
            </w:r>
          </w:p>
        </w:tc>
      </w:tr>
      <w:tr>
        <w:trPr>
          <w:trHeight w:val="230"/>
        </w:trPr>
        <w:tc>
          <w:tcPr>
            <w:tcW w:w="5360" w:type="dxa"/>
            <w:vAlign w:val="bottom"/>
          </w:tcPr>
          <w:p>
            <w:pPr>
              <w:jc w:val="center"/>
              <w:ind w:right="1590"/>
              <w:spacing w:after="0"/>
              <w:rPr>
                <w:sz w:val="20"/>
                <w:szCs w:val="20"/>
                <w:color w:val="auto"/>
              </w:rPr>
            </w:pPr>
            <w:r>
              <w:rPr>
                <w:rFonts w:ascii="Arial" w:cs="Arial" w:eastAsia="Arial" w:hAnsi="Arial"/>
                <w:sz w:val="18"/>
                <w:szCs w:val="18"/>
                <w:color w:val="auto"/>
                <w:w w:val="92"/>
              </w:rPr>
              <w:t>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3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8000 S. Federal Way, Boise, Idaho</w:t>
            </w:r>
          </w:p>
        </w:tc>
        <w:tc>
          <w:tcPr>
            <w:tcW w:w="300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360" w:type="dxa"/>
            <w:vAlign w:val="bottom"/>
          </w:tcPr>
          <w:p>
            <w:pPr>
              <w:jc w:val="center"/>
              <w:ind w:right="161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90"/>
              <w:spacing w:after="0"/>
              <w:rPr>
                <w:sz w:val="20"/>
                <w:szCs w:val="20"/>
                <w:color w:val="auto"/>
              </w:rPr>
            </w:pPr>
            <w:r>
              <w:rPr>
                <w:rFonts w:ascii="Arial" w:cs="Arial" w:eastAsia="Arial" w:hAnsi="Arial"/>
                <w:sz w:val="18"/>
                <w:szCs w:val="18"/>
                <w:color w:val="auto"/>
                <w:w w:val="94"/>
              </w:rPr>
              <w:t>(Zip Code)</w:t>
            </w:r>
          </w:p>
        </w:tc>
      </w:tr>
      <w:tr>
        <w:trPr>
          <w:trHeight w:val="432"/>
        </w:trPr>
        <w:tc>
          <w:tcPr>
            <w:tcW w:w="5360" w:type="dxa"/>
            <w:vAlign w:val="bottom"/>
          </w:tcPr>
          <w:p>
            <w:pPr>
              <w:jc w:val="center"/>
              <w:ind w:right="1590"/>
              <w:spacing w:after="0"/>
              <w:rPr>
                <w:sz w:val="20"/>
                <w:szCs w:val="20"/>
                <w:color w:val="auto"/>
              </w:rPr>
            </w:pPr>
            <w:r>
              <w:rPr>
                <w:rFonts w:ascii="Arial" w:cs="Arial" w:eastAsia="Arial" w:hAnsi="Arial"/>
                <w:sz w:val="18"/>
                <w:szCs w:val="18"/>
                <w:color w:val="auto"/>
                <w:w w:val="89"/>
              </w:rPr>
              <w:t>Registrant’s telephone number, including area code</w:t>
            </w:r>
          </w:p>
        </w:tc>
        <w:tc>
          <w:tcPr>
            <w:tcW w:w="3000" w:type="dxa"/>
            <w:vAlign w:val="bottom"/>
          </w:tcPr>
          <w:p>
            <w:pPr>
              <w:jc w:val="center"/>
              <w:ind w:left="159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2" w:lineRule="exact"/>
        <w:rPr>
          <w:sz w:val="24"/>
          <w:szCs w:val="24"/>
          <w:color w:val="auto"/>
        </w:rPr>
      </w:pPr>
    </w:p>
    <w:p>
      <w:pPr>
        <w:jc w:val="both"/>
        <w:ind w:right="2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outstanding shares of the registrant’s common stock as of July 1, 2005, was 616,131,697.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June 2,</w:t>
            </w: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w w:val="93"/>
              </w:rPr>
              <w:t>June 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June 2,</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54"/>
              <w:spacing w:after="0" w:line="119" w:lineRule="exact"/>
              <w:rPr>
                <w:sz w:val="20"/>
                <w:szCs w:val="20"/>
                <w:color w:val="auto"/>
              </w:rPr>
            </w:pPr>
            <w:r>
              <w:rPr>
                <w:rFonts w:ascii="Arial" w:cs="Arial" w:eastAsia="Arial" w:hAnsi="Arial"/>
                <w:sz w:val="13"/>
                <w:szCs w:val="13"/>
                <w:b w:val="1"/>
                <w:bCs w:val="1"/>
                <w:color w:val="auto"/>
              </w:rPr>
              <w:t>June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3,622.4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967.6</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2,758.8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153.4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453.2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5" w:right="239" w:bottom="0" w:gutter="0" w:footer="0" w:header="0"/>
          <w:type w:val="continuous"/>
        </w:sectPr>
      </w:pPr>
    </w:p>
    <w:bookmarkStart w:id="1" w:name="page2"/>
    <w:bookmarkEnd w:id="1"/>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160"/>
              <w:spacing w:after="0"/>
              <w:rPr>
                <w:sz w:val="20"/>
                <w:szCs w:val="20"/>
                <w:color w:val="auto"/>
              </w:rPr>
            </w:pPr>
            <w:r>
              <w:rPr>
                <w:rFonts w:ascii="Arial" w:cs="Arial" w:eastAsia="Arial" w:hAnsi="Arial"/>
                <w:sz w:val="18"/>
                <w:szCs w:val="18"/>
                <w:color w:val="auto"/>
              </w:rPr>
              <w:t>Income (loss) before taxes</w:t>
            </w: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104.9</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155.4</w:t>
            </w:r>
          </w:p>
        </w:tc>
        <w:tc>
          <w:tcPr>
            <w:tcW w:w="2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5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648.2</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644.2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647.1</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648.2</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par value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September 2,</w:t>
            </w:r>
          </w:p>
        </w:tc>
        <w:tc>
          <w:tcPr>
            <w:tcW w:w="0" w:type="dxa"/>
            <w:vAlign w:val="bottom"/>
          </w:tcPr>
          <w:p>
            <w:pPr>
              <w:spacing w:after="0"/>
              <w:rPr>
                <w:sz w:val="1"/>
                <w:szCs w:val="1"/>
                <w:color w:val="auto"/>
              </w:rPr>
            </w:pPr>
          </w:p>
        </w:tc>
      </w:tr>
      <w:tr>
        <w:trPr>
          <w:trHeight w:val="171"/>
        </w:trPr>
        <w:tc>
          <w:tcPr>
            <w:tcW w:w="88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470.3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735.4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4,770.9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8,086.2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733.5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248.8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1,045.6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$0.10 par value, authorized 3.0 billion shares, issued and outstanding 614.9 million and 611.5 million</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4,695.4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4,663.9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ectPr>
          <w:pgSz w:w="11900" w:h="16875" w:orient="portrait"/>
          <w:cols w:equalWidth="0" w:num="1">
            <w:col w:w="11420"/>
          </w:cols>
          <w:pgMar w:left="240" w:top="125"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w:t>
            </w:r>
          </w:p>
        </w:tc>
        <w:tc>
          <w:tcPr>
            <w:tcW w:w="0" w:type="dxa"/>
            <w:vAlign w:val="bottom"/>
          </w:tcPr>
          <w:p>
            <w:pPr>
              <w:spacing w:after="0"/>
              <w:rPr>
                <w:sz w:val="1"/>
                <w:szCs w:val="1"/>
                <w:color w:val="auto"/>
              </w:rPr>
            </w:pPr>
          </w:p>
        </w:tc>
      </w:tr>
      <w:tr>
        <w:trPr>
          <w:trHeight w:val="171"/>
        </w:trPr>
        <w:tc>
          <w:tcPr>
            <w:tcW w:w="88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144.9</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949.6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restructure and other charges (benefits)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Gain from disposition of equipment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from write-down or disposition of investments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receivables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ind w:left="340"/>
              <w:spacing w:after="0"/>
              <w:rPr>
                <w:sz w:val="20"/>
                <w:szCs w:val="20"/>
                <w:color w:val="auto"/>
              </w:rPr>
            </w:pPr>
            <w:r>
              <w:rPr>
                <w:rFonts w:ascii="Arial" w:cs="Arial" w:eastAsia="Arial" w:hAnsi="Arial"/>
                <w:sz w:val="18"/>
                <w:szCs w:val="18"/>
                <w:color w:val="auto"/>
              </w:rPr>
              <w:t>Increase in inventories</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accounts payable and accrued expenses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restricted cash</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1,344.9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gridSpan w:val="2"/>
            <w:vMerge w:val="restart"/>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(1,130.5)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Proceeds from equipment sale-leaseback transactions</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Proceeds from issuance of stock rights</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Redemption of common stock</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decrease in cash and equivalents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Cash and equivalents at beginning of period</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Income taxes (paid) refunded,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Equipment acquisitions on contracts payable and capital leases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DRAM, NAND Flash memory, CMOS image sensors and other semiconductor components. The accompanying consolidated financial statements have been prepared in accordance with generally accepted accounting principles and include the accounts of the Company and its consolidated subsidiaries. All significant intercompany transactions and balances have been eliminated.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92"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fiscal 2004 contained 53 weeks and its first quarter of fiscal 2004 contained 14 weeks. The Company’s third quarter of fiscal 2005 and 2004 ended on June 2, 2005, and June 3, 2004, respectively, and its fiscal 2004 ended on September 2, 2004. All period references are to the Company’s fiscal periods unless otherwise indicated. These</w:t>
      </w:r>
    </w:p>
    <w:p>
      <w:pPr>
        <w:sectPr>
          <w:pgSz w:w="11900" w:h="16838" w:orient="portrait"/>
          <w:cols w:equalWidth="0" w:num="1">
            <w:col w:w="11420"/>
          </w:cols>
          <w:pgMar w:left="240" w:top="125" w:right="239" w:bottom="0" w:gutter="0" w:footer="0" w:header="0"/>
        </w:sectPr>
      </w:pPr>
    </w:p>
    <w:bookmarkStart w:id="3" w:name="page4"/>
    <w:bookmarkEnd w:id="3"/>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interim financial statements should be read in conjunction with the consolidated financial statements and accompanying notes included in the Company’s Annual Report on Form 10-K for the year ended September 2, 2004.</w:t>
      </w:r>
    </w:p>
    <w:p>
      <w:pPr>
        <w:spacing w:after="0" w:line="166" w:lineRule="exact"/>
        <w:rPr>
          <w:sz w:val="20"/>
          <w:szCs w:val="20"/>
          <w:color w:val="auto"/>
        </w:rPr>
      </w:pPr>
    </w:p>
    <w:p>
      <w:pPr>
        <w:ind w:right="220" w:firstLine="648"/>
        <w:spacing w:after="0" w:line="274" w:lineRule="auto"/>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May 2005, the Financial Accounting Standards Board (“FASB”) issued Statement of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Standards (“SFAS”) No. 154, “Accounting Changes and Error Corrections.” SFAS No. 154 replaces APB Opinion No. 20, “Accounting Changes,” and SFAS No. 3, “Reporting Accounting Changes in Interim Financial Statements,” and changes the requirements for the accounting for and reporting of a change in accounting principle. The Company is required to adopt SFAS No. 154 for accounting changes and error corrections in 2007. The Company’s results of operations and financial condition will only be impacted by SFAS No. 154 if it implements changes in accounting principle that are addressed by the standard or corrects accounting errors in future periods.</w:t>
      </w:r>
    </w:p>
    <w:p>
      <w:pPr>
        <w:spacing w:after="0" w:line="17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by the end of 2006. The Company is currently assessing the impact of Interpretation No. 47 on its results of operations and financial condition.</w:t>
      </w:r>
    </w:p>
    <w:p>
      <w:pPr>
        <w:spacing w:after="0" w:line="17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December 2004, the FASB issued SFAS No. 123(R), “Share-Based Payment.” SFAS No. 123(R) establishes standards for the accounting for transactions in which an entity exchanges its equity instruments for goods or services or incurs liabilities in exchange for goods or services that are based on the fair value of the entity’s equity instruments, focusing primarily on accounting for transactions in which an entity obtains employee services in share-based payment transactions. SFAS No. 123(R) requires public entities to measure the cost of employee services received in exchange for an award of equity instruments based on the grant-date fair value of the award (with limited exceptions) and recognize the cost over the period during which an employee is required to provide service in exchange for the award. In March 2005, the U.S. Securities and Exchange Commission (“SEC”) issued SAB 107 which expresses views of the SEC staff regarding the application of SFAS No. 123(R). Among other things, SAB 107 provides interpretive guidance related to the interaction between SFAS No. 123(R) and certain SEC rules and regulations as well as provides the SEC staff’s views regarding the valuation of share-based payment arrangements for public companies. The Company is required to adopt SFAS No. 123(R) in the beginning of 2006 and its adoption is not expected to have a significant effect on the Company’s financial condition or cash flows. Upon adoption, the Company will record non-cash stock compensation expense which will have an adverse effect on its results of operations. (See “Stock-based compensation”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December 2004, the FASB issued SFAS No. 153, “Exchanges of Nonmonetary Assets – An Amendment of APB No. 29,” which eliminates the exception for nonmonetary exchanges of similar productive assets and replaces it with a general exception for exchanges of nonmonetary assets that do not have commercial substance. The Company is required to adopt SFAS No. 153 for nonmonetary asset exchanges occurring in the first quarter of 2006 and its adoption is not expected to have a significant effect on the Company’s results of operations or financial condition.</w:t>
      </w:r>
    </w:p>
    <w:p>
      <w:pPr>
        <w:spacing w:after="0" w:line="171"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In November 2004, the FASB issued SFAS No. 151, “Inventory Costs – An Amendment of ARB No. 43, Chapter 4,” which clarifies the accounting for abnormal amounts of idle facility expense, freight, handling costs and wasted material (spoilage). The Company is required to adopt SFAS No. 151 in the beginning of 2006 and its adoption is not expected to have a significant effect on the Company’s results of operations or financial condition.</w:t>
      </w:r>
    </w:p>
    <w:p>
      <w:pPr>
        <w:spacing w:after="0" w:line="143" w:lineRule="exact"/>
        <w:rPr>
          <w:sz w:val="20"/>
          <w:szCs w:val="20"/>
          <w:color w:val="auto"/>
        </w:rPr>
      </w:pPr>
    </w:p>
    <w:p>
      <w:pPr>
        <w:ind w:right="700" w:firstLine="648"/>
        <w:spacing w:after="0" w:line="347" w:lineRule="auto"/>
        <w:rPr>
          <w:sz w:val="20"/>
          <w:szCs w:val="20"/>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color w:val="auto"/>
        </w:rPr>
        <w:t>The Company has determined, based on the nature of its operations and products offered to customers, that its only</w:t>
      </w:r>
      <w:r>
        <w:rPr>
          <w:rFonts w:ascii="Arial" w:cs="Arial" w:eastAsia="Arial" w:hAnsi="Arial"/>
          <w:sz w:val="16"/>
          <w:szCs w:val="16"/>
          <w:b w:val="1"/>
          <w:bCs w:val="1"/>
          <w:color w:val="auto"/>
        </w:rPr>
        <w:t xml:space="preserve"> </w:t>
      </w:r>
      <w:r>
        <w:rPr>
          <w:rFonts w:ascii="Arial" w:cs="Arial" w:eastAsia="Arial" w:hAnsi="Arial"/>
          <w:sz w:val="16"/>
          <w:szCs w:val="16"/>
          <w:color w:val="auto"/>
        </w:rPr>
        <w:t>reportable segment is Semiconductor Operations. The Semiconductor Operations segment’s primary product is semiconductor memory.</w:t>
      </w:r>
    </w:p>
    <w:p>
      <w:pPr>
        <w:spacing w:after="0" w:line="11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Employee stock plans are accounted for using the intrinsic value method prescribed by APB No. 25, “Accounting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Issued to Employees.” The Company utilizes the Black-Scholes option valuation model to value stock options for pro forma presentation of income and per share data as if the fair value based method in SFAS No. 123, “Accounting for Stock-Based Compensation,” had been used to account for stock-based compensation. The following presents pro forma income (loss) and per share data as if a fair value based method had been used to account for stock-based compensation: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2,</w:t>
            </w: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73"/>
              <w:spacing w:after="0" w:line="119" w:lineRule="exact"/>
              <w:rPr>
                <w:sz w:val="20"/>
                <w:szCs w:val="20"/>
                <w:color w:val="auto"/>
              </w:rPr>
            </w:pPr>
            <w:r>
              <w:rPr>
                <w:rFonts w:ascii="Arial" w:cs="Arial" w:eastAsia="Arial" w:hAnsi="Arial"/>
                <w:sz w:val="13"/>
                <w:szCs w:val="13"/>
                <w:b w:val="1"/>
                <w:bCs w:val="1"/>
                <w:color w:val="auto"/>
                <w:w w:val="93"/>
              </w:rPr>
              <w:t>June 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June 2,</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53"/>
              <w:spacing w:after="0" w:line="119" w:lineRule="exact"/>
              <w:rPr>
                <w:sz w:val="20"/>
                <w:szCs w:val="20"/>
                <w:color w:val="auto"/>
              </w:rPr>
            </w:pPr>
            <w:r>
              <w:rPr>
                <w:rFonts w:ascii="Arial" w:cs="Arial" w:eastAsia="Arial" w:hAnsi="Arial"/>
                <w:sz w:val="13"/>
                <w:szCs w:val="13"/>
                <w:b w:val="1"/>
                <w:bCs w:val="1"/>
                <w:color w:val="auto"/>
              </w:rPr>
              <w:t>June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8"/>
                <w:szCs w:val="18"/>
                <w:color w:val="auto"/>
              </w:rPr>
              <w:t>Net income (loss) available to common shareholders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(127.9)</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90.9</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144.9</w:t>
            </w: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Stock-based employee compensation expense included in reported net income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net of tax</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3"/>
              </w:rPr>
              <w:t>Less total stock-based employee compensation expense determined under a fair</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value based method for all awards, net of tax</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 (loss) available to common shareholders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Basic, as reported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pro forma</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as reported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Diluted, pro forma</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Stock-based compensation expense in the above presentation does not reflect any significant income taxes, which is consistent with the Company’s treatment of income or loss from its U.S. operations. (See “Income Taxes” note.)</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On April 4, 2005, the Governance and Compensation Committee of the Company’s Board of Directors approved accelerating the vesting of approximately 44.6 million unvested stock options outstanding under the Company’s stock plans with exercise prices per share of $12.00 or higher. The options had a range of exercise prices of $12.00 to $44.90 and a weighted average exercise price of $14.08. The closing price of the Company’s common stock on April 1, 2005, the last trading day before approval of acceleration, was $10.26. The acceleration was effective as of April 4, 2005. The purpose of</w:t>
      </w:r>
    </w:p>
    <w:p>
      <w:pPr>
        <w:sectPr>
          <w:pgSz w:w="11900" w:h="16918" w:orient="portrait"/>
          <w:cols w:equalWidth="0" w:num="1">
            <w:col w:w="11420"/>
          </w:cols>
          <w:pgMar w:left="240" w:top="125" w:right="239" w:bottom="0" w:gutter="0" w:footer="0" w:header="0"/>
        </w:sectPr>
      </w:pPr>
    </w:p>
    <w:bookmarkStart w:id="4" w:name="page5"/>
    <w:bookmarkEnd w:id="4"/>
    <w:p>
      <w:pPr>
        <w:ind w:right="680"/>
        <w:spacing w:after="0" w:line="277" w:lineRule="auto"/>
        <w:rPr>
          <w:sz w:val="20"/>
          <w:szCs w:val="20"/>
          <w:color w:val="auto"/>
        </w:rPr>
      </w:pPr>
      <w:r>
        <w:rPr>
          <w:rFonts w:ascii="Arial" w:cs="Arial" w:eastAsia="Arial" w:hAnsi="Arial"/>
          <w:sz w:val="18"/>
          <w:szCs w:val="18"/>
          <w:color w:val="auto"/>
        </w:rPr>
        <w:t>the accelerated vesting was to enable the Company to avoid recognizing compensation expense associated with these options upon adoption of SFAS No. 123(R). The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aggregate pre-tax expense associated with the accelerated options that would have been reflected in the Company’s consolidated financial statements in future fiscal years is approximately $100 million. Pro forma stock-based employee compensation expense for the third quarter and first nine months of 2005 reflects an additional $134.6 million of expenses as a result of the accelerated vesting.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Receivables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June 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September 2,</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1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Joint venture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Taxes other than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7"/>
        </w:trPr>
        <w:tc>
          <w:tcPr>
            <w:tcW w:w="58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Inventories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June 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September 2,</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1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Raw materials and supplies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Allowance for obsolescence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7"/>
        </w:trPr>
        <w:tc>
          <w:tcPr>
            <w:tcW w:w="58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June 2, 2005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September 2, 2004</w:t>
            </w:r>
          </w:p>
        </w:tc>
        <w:tc>
          <w:tcPr>
            <w:tcW w:w="0" w:type="dxa"/>
            <w:vAlign w:val="bottom"/>
          </w:tcPr>
          <w:p>
            <w:pPr>
              <w:spacing w:after="0"/>
              <w:rPr>
                <w:sz w:val="1"/>
                <w:szCs w:val="1"/>
                <w:color w:val="auto"/>
              </w:rPr>
            </w:pPr>
          </w:p>
        </w:tc>
      </w:tr>
      <w:tr>
        <w:trPr>
          <w:trHeight w:val="119"/>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and process technology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Joint venture supply arrangement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490.9</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4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During the first nine months of 2005 and 2004, the Company capitalized $24.9 million and $28.8 million, respectively, for product and process technology with weighted average useful lives of 10 years.</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Amortization expense for intangible assets was $12.7 million and $37.8 million for the third quarter and first nine months of 2005, respectively, and $12.2 million and $38.0 million for the third quarter and first nine months of 2004, respectively. Annual amortization expense is estimated to be $50.7 million for 2005, $50.1 million for 2006, $48.3 million for 2007, $47.5 million for 2008 and $36.5 million for 2009.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50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Buildings</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2,371.2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w:t>
            </w: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4620" w:type="dxa"/>
            <w:vAlign w:val="bottom"/>
          </w:tcPr>
          <w:p>
            <w:pPr>
              <w:jc w:val="right"/>
              <w:ind w:right="27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960" w:type="dxa"/>
            <w:vAlign w:val="bottom"/>
            <w:tcBorders>
              <w:bottom w:val="single" w:sz="8" w:color="808080"/>
            </w:tcBorders>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Depreciation expense was $305.6 million and $908.4 million for the third quarter and first nine months of 2005, respectively, and $287.7 million and $869.4 million for the third quarter and first nine months of 2004, respectively.</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has a manufacturing facility in Utah that is only partially utilized. The Utah facility had a net book value of $699.1 million as of June 2, 2005. A portion of the Utah facility is being used for component test operations. The Company is depreciating substantially all assets at the Utah facility other than $193.3 million included in construction in progress as of June 2, 2005. Increased utilization of the facility is dependent upon market conditions, including, but not limited to, worldwide market supply of, and demand for, semiconductor products and the Company’s operations, cash flows and alternative capacity utilization opportunities.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220" w:type="dxa"/>
            <w:vAlign w:val="bottom"/>
            <w:vMerge w:val="restart"/>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June 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September 2,</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5" w:right="219" w:bottom="0" w:gutter="0" w:footer="0" w:header="0"/>
        </w:sectPr>
      </w:pPr>
    </w:p>
    <w:p>
      <w:pPr>
        <w:spacing w:after="0" w:line="2" w:lineRule="exact"/>
        <w:rPr>
          <w:sz w:val="20"/>
          <w:szCs w:val="20"/>
          <w:color w:val="auto"/>
        </w:rPr>
      </w:pPr>
    </w:p>
    <w:p>
      <w:pPr>
        <w:ind w:left="360"/>
        <w:spacing w:after="0"/>
        <w:tabs>
          <w:tab w:leader="none" w:pos="8780" w:val="left"/>
          <w:tab w:leader="none" w:pos="9520" w:val="left"/>
          <w:tab w:leader="none" w:pos="10160" w:val="left"/>
          <w:tab w:leader="none" w:pos="1088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311.9</w:t>
        <w:tab/>
        <w:t>$</w:t>
      </w:r>
      <w:r>
        <w:rPr>
          <w:sz w:val="20"/>
          <w:szCs w:val="20"/>
          <w:color w:val="auto"/>
        </w:rPr>
        <w:tab/>
      </w:r>
      <w:r>
        <w:rPr>
          <w:rFonts w:ascii="Arial" w:cs="Arial" w:eastAsia="Arial" w:hAnsi="Arial"/>
          <w:sz w:val="16"/>
          <w:szCs w:val="16"/>
          <w:color w:val="auto"/>
        </w:rPr>
        <w:t>419.7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Joint venture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Taxes other than income</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7"/>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8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22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2,</w:t>
            </w:r>
          </w:p>
        </w:tc>
        <w:tc>
          <w:tcPr>
            <w:tcW w:w="0" w:type="dxa"/>
            <w:vAlign w:val="bottom"/>
          </w:tcPr>
          <w:p>
            <w:pPr>
              <w:spacing w:after="0"/>
              <w:rPr>
                <w:sz w:val="1"/>
                <w:szCs w:val="1"/>
                <w:color w:val="auto"/>
              </w:rPr>
            </w:pPr>
          </w:p>
        </w:tc>
      </w:tr>
      <w:tr>
        <w:trPr>
          <w:trHeight w:val="171"/>
        </w:trPr>
        <w:tc>
          <w:tcPr>
            <w:tcW w:w="8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Convertible subordinated notes payable, interest rate of 2.5%, due February 2010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02"/>
        </w:trPr>
        <w:tc>
          <w:tcPr>
            <w:tcW w:w="88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5"/>
              </w:rPr>
              <w:t>Subordinated notes payable, face amount of $100.0 million and $210.0 million, respectively, net of unamortized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ind w:left="540"/>
              <w:spacing w:after="0"/>
              <w:rPr>
                <w:sz w:val="20"/>
                <w:szCs w:val="20"/>
                <w:color w:val="auto"/>
              </w:rPr>
            </w:pPr>
            <w:r>
              <w:rPr>
                <w:rFonts w:ascii="Arial" w:cs="Arial" w:eastAsia="Arial" w:hAnsi="Arial"/>
                <w:sz w:val="18"/>
                <w:szCs w:val="18"/>
                <w:color w:val="auto"/>
                <w:w w:val="96"/>
              </w:rPr>
              <w:t>discount of $1.3 million and $8.5 million, respectively, stated interest rate of 6.5%, effective yield to maturity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540"/>
              <w:spacing w:after="0"/>
              <w:rPr>
                <w:sz w:val="20"/>
                <w:szCs w:val="20"/>
                <w:color w:val="auto"/>
              </w:rPr>
            </w:pPr>
            <w:r>
              <w:rPr>
                <w:rFonts w:ascii="Arial" w:cs="Arial" w:eastAsia="Arial" w:hAnsi="Arial"/>
                <w:sz w:val="18"/>
                <w:szCs w:val="18"/>
                <w:color w:val="auto"/>
              </w:rPr>
              <w:t>of 10.7%, due September 2005</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2"/>
        </w:trPr>
        <w:tc>
          <w:tcPr>
            <w:tcW w:w="88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Notes payable in periodic installments through July 2015, weighted average interest rate of 1.9% and 3.0%,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02"/>
        </w:trPr>
        <w:tc>
          <w:tcPr>
            <w:tcW w:w="88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Capital lease obligations payable in monthly installments through January 2009, weighted average imputed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540"/>
              <w:spacing w:after="0"/>
              <w:rPr>
                <w:sz w:val="20"/>
                <w:szCs w:val="20"/>
                <w:color w:val="auto"/>
              </w:rPr>
            </w:pPr>
            <w:r>
              <w:rPr>
                <w:rFonts w:ascii="Arial" w:cs="Arial" w:eastAsia="Arial" w:hAnsi="Arial"/>
                <w:sz w:val="18"/>
                <w:szCs w:val="18"/>
                <w:color w:val="auto"/>
              </w:rPr>
              <w:t>interest rate of 6.4% and 6.6%, respectively</w:t>
            </w: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7"/>
        </w:trPr>
        <w:tc>
          <w:tcPr>
            <w:tcW w:w="85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third quarter of 2005, the Company entered into two yen-dominated loans aggregating 23.5 billion yen ($221.4 million), payable in semi-annual installments through 2010. The first, a syndicated term loan for 13.5 billion yen ($127.0 million) bears interest at the 6-month Tokyo Interbank Offered Rate (“TIBOR”) plus 1.25% (currently 1.35%) and requires the Company to maintain a deposit with the lead bank ($15.0 million as of June 2, 2005), which is included in restricted cash in the accompanying consolidated balance sheet. The second loan for 10.0 billion yen ($94.4 million) bears interest at a fixed rate of 0.95% and is collateralized by certain equipment owned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 2005, notes payable aggregating $304.0 million, denominated in yen, were at a weighted average interest rate of 1.2%.</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prepaid $110.0 million of the principal due on its subordinated notes in the first nine months of 2005, including $90.0 million during the third quarter of 2005.</w:t>
      </w:r>
    </w:p>
    <w:p>
      <w:pPr>
        <w:spacing w:after="0" w:line="166"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 xml:space="preserve">Interest Rate Swap: </w:t>
      </w:r>
      <w:r>
        <w:rPr>
          <w:rFonts w:ascii="Arial" w:cs="Arial" w:eastAsia="Arial" w:hAnsi="Arial"/>
          <w:sz w:val="17"/>
          <w:szCs w:val="17"/>
          <w:color w:val="auto"/>
        </w:rPr>
        <w:t>The Company entered into an interest rate swap agreement (the “Swap”) that effectively converted, beginning August 29, 2003, the</w:t>
      </w:r>
      <w:r>
        <w:rPr>
          <w:rFonts w:ascii="Arial" w:cs="Arial" w:eastAsia="Arial" w:hAnsi="Arial"/>
          <w:sz w:val="17"/>
          <w:szCs w:val="17"/>
          <w:b w:val="1"/>
          <w:bCs w:val="1"/>
          <w:color w:val="auto"/>
        </w:rPr>
        <w:t xml:space="preserve"> </w:t>
      </w:r>
      <w:r>
        <w:rPr>
          <w:rFonts w:ascii="Arial" w:cs="Arial" w:eastAsia="Arial" w:hAnsi="Arial"/>
          <w:sz w:val="17"/>
          <w:szCs w:val="17"/>
          <w:color w:val="auto"/>
        </w:rPr>
        <w:t>fixed interest rate on the Company’s 2.5% Convertible Subordinated Notes (the “Notes”) to a variable interest rate based on the 3-month London Interbank Offering Rate (“LIBOR”) less 65 basis points (2.3% for the third quarter of 2005). The Swap qualifies as a fair-value hedge under SFAS No. 133, “Accounting for Derivative Instruments and Hedging Activities,” as amended. The gain or loss from changes in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fair value of the Swap is expected to be highly effective at offsetting the gain or loss from changes in the fair value of the Notes attributable to changes in interest rates. The Company measures the effectiveness of the Swap using regression analysis. The Company recognizes changes in the fair value of the Swap and changes in the fair value of the Notes since inception of the Swap in the accompanying consolidated balance sheets. Through June 2, 2005, the cumulative difference between the change in the fair value of the Swap and the change in the fair value of the Notes was de minimis. As of June 2, 2005, the Company had pledged $28.9 million as collateral for the Swap which is included in restricted cash in the accompanying consolidated balance sheet. The amount of collateral fluctuates based on the fair value of the Swap. The Swap will terminate if the closing price of the Company’s common stock is at or exceeds $14.15 after February 6,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United States, Germany, France, the United Kingdom and Italy. The Company also is engaged in litigation with Tessera, Inc. (“Tessera”) relating to certain of Tessera’s patents and certain of the Company’s patents in the U.S. District Court for the Eastern District of Texas. Among other things, the above lawsuits pertain to certain of the Company’s SDRAM, DDR SDRAM, and DDR2 SDRAM products, which account for a significant portion of net sales. 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 Subsequent to the commencement of the DOJ investigation, at least seventy-five purported class action lawsuits have been filed against the Company and other DRAM suppliers in various federal and state courts in the United States by direct and indirect purchasers alleging price-fixing in violation of federal antitrust laws, violations of state unfair competition law, and/or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Three purported class action lawsuits also have been filed in Canada, alleging violations of the Canadian Competition Act. The substantive allegations in these cases are similar to those asserted in the cases filed in the United States. The Company is unable to predict the outcome of these suits. Based upon the Company’s analysis of the claims made and the nature of the DRAM industry, the Company believes that class treatment of these cases is not appropriate and that any purported injury alleged by plaintiffs in the direct purchaser cases would be more appropriately resolved on a customer-</w:t>
      </w:r>
    </w:p>
    <w:p>
      <w:pPr>
        <w:sectPr>
          <w:pgSz w:w="11900" w:h="16838" w:orient="portrait"/>
          <w:cols w:equalWidth="0" w:num="1">
            <w:col w:w="11420"/>
          </w:cols>
          <w:pgMar w:left="240" w:top="125" w:right="239" w:bottom="0" w:gutter="0" w:footer="0" w:header="0"/>
        </w:sectPr>
      </w:pPr>
    </w:p>
    <w:bookmarkStart w:id="6" w:name="page7"/>
    <w:bookmarkEnd w:id="6"/>
    <w:p>
      <w:pPr>
        <w:ind w:right="420"/>
        <w:spacing w:after="0" w:line="277" w:lineRule="auto"/>
        <w:rPr>
          <w:sz w:val="20"/>
          <w:szCs w:val="20"/>
          <w:color w:val="auto"/>
        </w:rPr>
      </w:pPr>
      <w:r>
        <w:rPr>
          <w:rFonts w:ascii="Arial" w:cs="Arial" w:eastAsia="Arial" w:hAnsi="Arial"/>
          <w:sz w:val="18"/>
          <w:szCs w:val="18"/>
          <w:color w:val="auto"/>
        </w:rPr>
        <w:t>by-customer basis. The final resolution of these alleged violations of antitrust laws could result in significant liability and could have a material adverse effect on the Company’s business, results of operations or financial condition.</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The Company is unable to predict the outcome of these suits. A court determination against the Company could result in significant liability and could have a material adverse effect on the Company’s business, results of operations or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$67.5 million in cash. During the first quarter of 2004, Toshiba exercised its option and the Company redeemed the 1.5 million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Rights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On September 24, 2003, the Company received $450.0 million, which is included in additional capital in the accompanying consolidated balance sheet,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or be subject to monetary penalties. The Company has achieved the DDR2 production and 300mm wafer processing milestones and, consequently, does not expect to make any payments to Intel under this agreement. The shares issuable pursuant to the stock rights are included in weighted average common shares outstanding in the computations of earnings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the second quarter of 2003, the Company announced a series of cost-reduction initiatives. The restructure plan included the shutdown of the Company’s 200mm production line in Virginia; the discontinuance of certain memory products, including SRAM and TCAM products; and an approximate 10% reduction of the Company’s worldwide workforce. The Company has substantially completed the restructure plan. Through September 2, 2004, the Company had paid essentially all of the severance and other termination benefits and other costs incurred in connection with the restructure plan. The credit to restructure in the first nine months of 2004 primarily reflects sales of equipment associated with the Company’s 200mm production line in Virginia.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and Expense</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Other operating income for the third quarter of 2005 includes gains net of losses on write-downs and disposals of semiconductor equipment of $14.5 million and net gains of $12.2 million from changes in currency exchange rates primarily as the result of a generally stronger U.S. dollar relative to the yen and euro. Other operating income for the first nine months of 2005 includes gains net of losses on write-downs and disposals of semiconductor equipment of $13.1 million and $12.0 million in receipts from the U.S. government in connection with anti-dumping tariffs. Other operating expense for the first nine months of 2004 includes losses of $16.2 million from changes in currency exchange rates.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40" w:firstLine="648"/>
        <w:spacing w:after="0" w:line="285" w:lineRule="auto"/>
        <w:rPr>
          <w:sz w:val="20"/>
          <w:szCs w:val="20"/>
          <w:color w:val="auto"/>
        </w:rPr>
      </w:pPr>
      <w:r>
        <w:rPr>
          <w:rFonts w:ascii="Arial" w:cs="Arial" w:eastAsia="Arial" w:hAnsi="Arial"/>
          <w:sz w:val="16"/>
          <w:szCs w:val="16"/>
          <w:color w:val="auto"/>
        </w:rPr>
        <w:t>Income taxes for 2005 and 2004 primarily reflect taxes on the Company’s non-U.S. operations. The Company has a valuation allowance for its net deferred tax asset associated with its U.S. operations. The provision for taxes on U.S. operations in the first nine months of 2005 and 2004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June 2, 2005, the Company had aggregate U.S. tax net operating loss carryforwards of $2.5 billion and unused U.S. tax credits of $128.4 million, which expire through 2025.</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Company also has unused state tax net operating loss carryforwards of $1.6 billion for tax purposes which expire through 2025 and unused state tax credits of $133.6 million for tax and financial reporting purposes, which expire through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Basic earnings per share is computed based on the weighted average number of common shares outstanding. Diluted earnings per share is computed based on the weighted average number of common shares outstanding plus the dilutive effects of stock options, warrants and convertible notes. Potential common shares that would increase earnings per share amounts or decrease loss per share amounts are antidilutive and are, therefore, excluded from per share calculations. Antidilutive potential common shares that could dilute basic earnings per share in the future were 204.5 million and 147.1 million for the third</w:t>
      </w:r>
    </w:p>
    <w:p>
      <w:pPr>
        <w:sectPr>
          <w:pgSz w:w="11900" w:h="16838" w:orient="portrait"/>
          <w:cols w:equalWidth="0" w:num="1">
            <w:col w:w="11400"/>
          </w:cols>
          <w:pgMar w:left="240" w:top="125" w:right="259" w:bottom="0" w:gutter="0" w:footer="0" w:header="0"/>
        </w:sectPr>
      </w:pPr>
    </w:p>
    <w:bookmarkStart w:id="7" w:name="page8"/>
    <w:bookmarkEnd w:id="7"/>
    <w:p>
      <w:pPr>
        <w:jc w:val="both"/>
        <w:ind w:right="20"/>
        <w:spacing w:after="0" w:line="342" w:lineRule="auto"/>
        <w:rPr>
          <w:sz w:val="20"/>
          <w:szCs w:val="20"/>
          <w:color w:val="auto"/>
        </w:rPr>
      </w:pPr>
      <w:r>
        <w:rPr>
          <w:rFonts w:ascii="Arial" w:cs="Arial" w:eastAsia="Arial" w:hAnsi="Arial"/>
          <w:sz w:val="16"/>
          <w:szCs w:val="16"/>
          <w:color w:val="auto"/>
        </w:rPr>
        <w:t>quarter and first nine months of 2005, respectively, and 89.2 million and 143.3 million for the third quarter and first nine months of 2004, respectively. Basic and diluted per share computations for the first nine months of 2004 reflect the effect of accretion of, and fair value adjustment to, redeemable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2,</w:t>
            </w: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73"/>
              <w:spacing w:after="0" w:line="119" w:lineRule="exact"/>
              <w:rPr>
                <w:sz w:val="20"/>
                <w:szCs w:val="20"/>
                <w:color w:val="auto"/>
              </w:rPr>
            </w:pPr>
            <w:r>
              <w:rPr>
                <w:rFonts w:ascii="Arial" w:cs="Arial" w:eastAsia="Arial" w:hAnsi="Arial"/>
                <w:sz w:val="13"/>
                <w:szCs w:val="13"/>
                <w:b w:val="1"/>
                <w:bCs w:val="1"/>
                <w:color w:val="auto"/>
                <w:w w:val="93"/>
              </w:rPr>
              <w:t>June 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June 2,</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53"/>
              <w:spacing w:after="0" w:line="119" w:lineRule="exact"/>
              <w:rPr>
                <w:sz w:val="20"/>
                <w:szCs w:val="20"/>
                <w:color w:val="auto"/>
              </w:rPr>
            </w:pPr>
            <w:r>
              <w:rPr>
                <w:rFonts w:ascii="Arial" w:cs="Arial" w:eastAsia="Arial" w:hAnsi="Arial"/>
                <w:sz w:val="13"/>
                <w:szCs w:val="13"/>
                <w:b w:val="1"/>
                <w:bCs w:val="1"/>
                <w:color w:val="auto"/>
              </w:rPr>
              <w:t>June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8"/>
                <w:szCs w:val="18"/>
                <w:color w:val="auto"/>
              </w:rPr>
              <w:t>Net income (loss) available to common shareholders – Basic</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144.9</w:t>
            </w: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effect of assumed conversions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available to common shareholders – Diluted</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648.2</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647.1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stock options and convertible debt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648.2</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3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Comprehensive income (loss) for the third quarter and first nine months of 2005 was ($127.7) million and $145.0 million, respectively, and included $0.2 million and $0.1 million of unrealized gains net of tax, respectively, on investments. Comprehensive income for the third quarter and first nine months of 2004 was $90.6 million and $63.3 million, respectively, and included ($0.3) million and ($0.4) million of unrealized losses net of tax, respectively, on investments.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Since 1998, the Company has participated in TECH Semiconductor Singapore Pte. Ltd. (“TECH”), a semiconductor memory manufacturing joint venture in Singapore among the Company, the Singapore Economic Development Board, Canon Inc. and Hewlett-Packard Company. As of June 2, 2005, the Company had a 39.12% ownership interest in TECH. Significant financing, investment and operating decisions for TECH typically require approval from TECH’s Board of Directors. The shareholders’ agreement for the TECH joint venture expires in 2011. Under FASB Interpretation No. 46, “Consolidation of Variable Interest Entities,” TECH does not qualify for consolidation.</w:t>
      </w:r>
    </w:p>
    <w:p>
      <w:pPr>
        <w:spacing w:after="0" w:line="18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$227.4 million and $547.9 million for the third quarter and first nine months of 2005, respectively, and $88.3 million and $336.2 million for the third quarter and first nine months of 2004, respectively. Amortization expense resulting from the TECH supply arrangement, included in the cost of products purchased from TECH, was $2.9 million and $8.8 million for the third quarter and first nine months of 2005, respectively, and $3.9 million and $8.9 million for the third quarter and first nine months of 2004, respectively. Receivables from TECH were $25.7 million and payables to TECH were $106.4 million as of June 2, 2005. Receivables from TECH were $23.8 million and payables to TECH were $56.8 million as of September 2, 2004. TECH supplied approximately 25% of the total megabits of memory produced by the Company in the first nine months of 2005. As of June 2, 2005, the Company had intangible assets with a net book value of $53.2 million relating to the supply arrangement to purchase product from TECH.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NAND Flash and CMOS image sensor markets and allocation of manufacturing capacity to products other than Core DRAM; in “Net Sales” regarding output from the Company’s 300mm facility, future megabit production growth, production increases and allocation of wafer starts to DDR2 products, CMOS image sensors and, Specialty memory products; in “Gross Margin” regarding manufacturing cost reductions in future periods and costs of products purchased from TECH in the fourth quarter of 2005; in “Selling, General and Administrative” regarding the level of selling, general and administrative expenses in the fourth quarter of 2005; in “Research and Development” regarding the level of research and development expenses in the fourth quarter of 2005; in “Income Taxes” regarding future provisions for income taxes; in “Liquidity and Capital Resources” regarding capital spending in 2005 and 2006 and in “Recently Issued Accounting Standards” regarding the impact on the Company’s results of operations and financial condition from the adoption of new accounting standards.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September 2, 2004. All period references are to the Company’s fiscal periods unless otherwise indicated. All tabular dollar amounts are in millions. Unless otherwise stated, all production data reflects production of the Company and its TECH joint venture.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ectPr>
          <w:pgSz w:w="11900" w:h="16838" w:orient="portrait"/>
          <w:cols w:equalWidth="0" w:num="1">
            <w:col w:w="11420"/>
          </w:cols>
          <w:pgMar w:left="240" w:top="125" w:right="239" w:bottom="0" w:gutter="0" w:footer="0" w:header="0"/>
        </w:sectPr>
      </w:pPr>
    </w:p>
    <w:bookmarkStart w:id="8" w:name="page9"/>
    <w:bookmarkEnd w:id="8"/>
    <w:p>
      <w:pPr>
        <w:ind w:right="380" w:firstLine="648"/>
        <w:spacing w:after="0" w:line="286" w:lineRule="auto"/>
        <w:rPr>
          <w:sz w:val="20"/>
          <w:szCs w:val="20"/>
          <w:color w:val="auto"/>
        </w:rPr>
      </w:pPr>
      <w:r>
        <w:rPr>
          <w:rFonts w:ascii="Arial" w:cs="Arial" w:eastAsia="Arial" w:hAnsi="Arial"/>
          <w:sz w:val="17"/>
          <w:szCs w:val="17"/>
          <w:color w:val="auto"/>
        </w:rPr>
        <w:t>The Company is a global manufacturer of semiconductor memory devices, principally DRAM and NAND Flash, and CMOS image sensors. Its products are used in a broad range of electronic applications including personal computers, workstations, servers, mobile phones and other consumer products. The Company’s customers are principally original equipment manufacturers located around the world.</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markets for most of the Company’s products behave in a manner similar to commodity markets as the products are generally standardized with selling prices that fluctuate based on industry-wide relationships of supply and demand. The Company’s operating results and financial condition in these types of markets are dependent on reductions in costs of production, capital efficiency and return on research and development investments. Historically, the semiconductor memory market has been subject to governmental subsidization, resulting in the periodic entry of new competitors and, at times, excess supply.</w:t>
      </w:r>
    </w:p>
    <w:p>
      <w:pPr>
        <w:spacing w:after="0" w:line="18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recent years, a significant portion of the Company’s products were sold into computer and computer peripheral markets. The computing market for a number of decades has had an extremely high growth rate. However, as with any maturing market, it is unlikely that historic growth rates for this market will be sustained.</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utilizes its proprietary product and process technology to manufacture complex semiconductor memory devices having progressively smaller die sizes. By reducing the size of the circuits (“shrinking”) that make up each memory cell, the Company is able to produce more megabits of memory on each wafer and thus reduce the cost of its memory products. In 2004, the Company introduced products featuring its 6F² Hypershrink™ array architecture technology that enabled it to shrink die sizes further. This 6F² technology results in approximately 20% more die per wafer than industry standard 8F² technology without significant additional investment in equipment. The Company continually introduces new generations of products that have lower costs per megabit and improved performance characteristics such as higher data transfer rates, reduced package size per megabit and lower power consumption.</w:t>
      </w:r>
    </w:p>
    <w:p>
      <w:pPr>
        <w:spacing w:after="0" w:line="18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has made substantial investments in its manufacturing facilities in the United States, Europe and Asia. A significant portion of the Company’s semiconductor manufacturing equipment is replaced every three to five years with increasingly advanced equipment to implement leading edge technology and reduce costs per megabit. Because the Company owns most of its manufacturing capacity, a significant portion of the Company’s operating costs are fixed. In general, these fixed costs do not vary with changes in the Company’s utilization of its manufacturing capacity. Accordingly, the Company’s margins fluctuate with utilization. The Company must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generate sufficient cash flow from operations or obtain external financing for reinvestment in manufacturing capability. Historically, the Company has accessed external markets to fund a portion of its cash requirements.</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Maximizing returns from investments in research and development (“R&amp;D”) is dependent on developing process technology that effectively reduces production costs, leveraging required investments across a substantial scale of production, and designing new products that can be successfully brought to market. The Company must invest heavily in R&amp;D to expand its product offering and enable development of leading-edge product and process technologies. The Company has made significant R&amp;D investments in recent periods to develop products that will enable it to enter new markets.</w:t>
      </w:r>
    </w:p>
    <w:p>
      <w:pPr>
        <w:spacing w:after="0" w:line="15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is strategically diversifying its business into semiconductor products other than Core DRAM. Core DRAM, currently DDR and DDR2, consists of standardized, high-volume, products that are sold primarily for use as main system memory in computers. The Company’s other products include Specialty memory (which includes SDRAM, PSRAM, mobile SDRAM and reduced latency DRAM), NAND Flash memory and CMOS image sensors. These products leverage the Company’s competencies in semiconductor memory manufacturing and product and process technology and are used in electronic devices other than computers and in many cases the Company can differentiate them from competitor’s products based on performance characteristics.</w:t>
      </w:r>
    </w:p>
    <w:p>
      <w:pPr>
        <w:spacing w:after="0" w:line="19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Markets for some of the Company’s non-DRAM products are expected to grow rapidly, in particular the markets for NAND Flash and CMOS image sensors. The Company believes that its product and process technology and manufacturing competencies position it well to compete in these markets. Accordingly, the Company plans to allocate an increasing portion of its manufacturing capacity to these products through 2006. Success in these markets is largely dependent in part on the Company’s ability to timely develop new products that are well received by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Third Quarter</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Nine Months</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2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0"/>
                <w:szCs w:val="10"/>
                <w:color w:val="auto"/>
              </w:rPr>
            </w:pPr>
          </w:p>
        </w:tc>
        <w:tc>
          <w:tcPr>
            <w:tcW w:w="9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 net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0"/>
                <w:szCs w:val="10"/>
                <w:color w:val="auto"/>
              </w:rPr>
            </w:pPr>
          </w:p>
        </w:tc>
        <w:tc>
          <w:tcPr>
            <w:tcW w:w="76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0"/>
                <w:szCs w:val="10"/>
                <w:color w:val="auto"/>
              </w:rPr>
            </w:pPr>
          </w:p>
        </w:tc>
        <w:tc>
          <w:tcPr>
            <w:tcW w:w="74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0"/>
                <w:szCs w:val="10"/>
                <w:color w:val="auto"/>
              </w:rPr>
            </w:pPr>
          </w:p>
        </w:tc>
        <w:tc>
          <w:tcPr>
            <w:tcW w:w="9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 of net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0"/>
                <w:szCs w:val="10"/>
                <w:color w:val="auto"/>
              </w:rPr>
            </w:pPr>
          </w:p>
        </w:tc>
        <w:tc>
          <w:tcPr>
            <w:tcW w:w="72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1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1,054.2</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1,116.8</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1,307.9</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3,622.4</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3,215.0</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Gross margin</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86.6</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387.9</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354.0</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27.1%</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863.6</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922.1</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SG&amp;A</w:t>
            </w:r>
          </w:p>
        </w:tc>
        <w:tc>
          <w:tcPr>
            <w:tcW w:w="11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88.6</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84.9</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260.3</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257.3</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line="149" w:lineRule="exact"/>
              <w:rPr>
                <w:sz w:val="20"/>
                <w:szCs w:val="20"/>
                <w:color w:val="auto"/>
              </w:rPr>
            </w:pPr>
            <w:r>
              <w:rPr>
                <w:rFonts w:ascii="Arial" w:cs="Arial" w:eastAsia="Arial" w:hAnsi="Arial"/>
                <w:sz w:val="14"/>
                <w:szCs w:val="14"/>
                <w:color w:val="auto"/>
              </w:rPr>
              <w:t>R&amp;D</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153.4</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181.4</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151.4</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453.2</w:t>
            </w: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555.7</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Restructure</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(21.9)</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4"/>
                <w:szCs w:val="14"/>
                <w:color w:val="auto"/>
              </w:rPr>
              <w:t>Operating income (loss)</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(130.1)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(12.3)%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109.7</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9.8%</w:t>
            </w:r>
          </w:p>
        </w:tc>
        <w:tc>
          <w:tcPr>
            <w:tcW w:w="16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126.4</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9.7%</w:t>
            </w:r>
          </w:p>
        </w:tc>
        <w:tc>
          <w:tcPr>
            <w:tcW w:w="16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171.2</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124.3</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2004 contained 53 weeks and its first quarter of fiscal 2004 contained 14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Net sales for the third quarter of 2005 decreased by 19% as compared to the second quarter of 2005 primarily due to a 28% decrease in the overall average selling price per megabit for the Company’s memory products. The decline in average selling prices for the third quarter of 2005 was partially offset by a 6% increase in megabits sold. The Company’s overall megabit production in the third quarter of 2005 increased by 8% as compared to the second quarter of 2005 principally due to gains in manufacturing efficiencies as well as increased production from the Company’s 300mm wafer fabrication facility in Virginia. Production outpaced sales in the third quarter of 2005 resulting in an increase in inventories, primarily consisting of Core DRAM products. The Company’s Core DRAM products, DDR and DDR2, constituted approximately 60% of the Company’s net sales in the third quarter of 2005 and approximately 64% of net sales in the second quarter of 2005.</w:t>
      </w:r>
    </w:p>
    <w:p>
      <w:pPr>
        <w:sectPr>
          <w:pgSz w:w="11900" w:h="16838" w:orient="portrait"/>
          <w:cols w:equalWidth="0" w:num="1">
            <w:col w:w="11420"/>
          </w:cols>
          <w:pgMar w:left="240" w:top="341"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expects significant increases in output from its 300mm facility over the next several quarters. The Company expects that future growth in megabit production will be mitigated in part by an increase in wafers allocated to DDR2 products, CMOS image sensors and Specialty memory products. The Company’s DDR2 products produce fewer megabits per wafer than DDR products because they have a relatively larger die size. In addition, the Company’s Specialty memory products produce fewer megabits per wafer than Core DRAM products because of their relatively lower density and/or greater complexity. Production of CMOS image sensors is not measured in megabits or included in the Company’s calculation of megabit growth. Due to the shift in market demand, the Company expects to significantly increase production of DDR2 over the next several quarters and that DDR2 will become the Company’s primary DRAM product type in 2006.</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Net sales for the third quarter of 2005 decreased by 6% as compared to the third quarter of 2004 primarily due to a 41% decrease in the Company’s overall average selling price per megabit partially offset by an increase of 55% in megabits sold and, to a lesser extent, an increase in sales of CMOS image sensors. Net sales for the first nine months of 2005 increased by 13% as compared to the first nine months of 2004 primarily due to an increase of 27% in megabits sold and, to a lesser extent, an increase in sales of CMOS image sensors. The increase in net sales for the first nine months of 2005 was adversely affected by a 14% decrease in the Company’s overall average selling price per megabit. Average per megabit selling prices in the first nine months of 2005 as compared to the first nine months of 2004 benefited from the Company’s shift to Specialty memory products, which generally had higher per megabit average selling prices than Core DRAM products. DDR products constituted 51% of the Company’s net sales in the third quarter of 2004.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Company’s gross margin percentage for the third quarter of 2005 declined to 8% as compared to 27% for the second quarter of 2005. This reduction was primarily due to the 28% decrease in the Company’s overall average selling price per megabit of memory. Costs of products purchased from TECH in the third quarter of 2005 were significantly higher than the costs of products manufactured by the Company’s wholly-owned operations due to the quarter-lag pricing described in “TECH Semiconductor Singapore Pte. Ltd.” section below, resulting in a loss on sales of TECH products. The Company’s gross margin for the third quarter of 2005 benefited from a reduction in cost of goods sold per megabit and a shift in product mix from Core DRAM products to higher margin CMOS image sensor, Specialty memory and NAND Flash products.</w:t>
      </w:r>
    </w:p>
    <w:p>
      <w:pPr>
        <w:spacing w:after="0" w:line="178"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Company’s overall cost of goods sold per megabit in the third quarter of 2005 declined from the second quarter of 2005 primarily due to manufacturing improvements. The Company reduced product costs through manufacturing efficiencies achieved through increasing: product yields, production utilizing the Company’s 110nm process technology and 6F² technology, and 300mm wafer production. The cost per megabit for products manufactured at the Company’s 300mm wafer fabrication facility decreased significantly in the third quarter of 2005 as compared to the second quarter of 2005 as the Company continued to increase wafer production. Manufacturing costs per megabit for DDR2 products were higher than the Company’s DDR products in the third quarter of 2005 because of their relatively larger die size. The Company expects that per megabit cost reductions over the next several quarters will continue to be mitigated by higher costs associated with shifts in product mix to DDR2 and Specialty memory products.</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Company’s gross margin percentage for the third quarter of 2005 decreased to 8% from 35% for the third quarter of 2004, primarily due to the 41% decrease in average selling prices per megabit for the Company’s semiconductor products partially offset by a reduction in cost of goods sold per megabit. The Company’s gross margin percentage for the first nine months of 2005 decreased to 24% from 29% for the first nine months of 2004, primarily due to the 14% decrease in average selling prices per megabit for the Company’s semiconductor products partially offset by a reduction in cost of goods sold per megabit.</w:t>
      </w:r>
    </w:p>
    <w:p>
      <w:pPr>
        <w:spacing w:after="0" w:line="18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 xml:space="preserve">TECH Semiconductor Singapore Pte. Ltd. (“TECH”): </w:t>
      </w:r>
      <w:r>
        <w:rPr>
          <w:rFonts w:ascii="Arial" w:cs="Arial" w:eastAsia="Arial" w:hAnsi="Arial"/>
          <w:sz w:val="18"/>
          <w:szCs w:val="18"/>
          <w:color w:val="auto"/>
        </w:rPr>
        <w:t>The TECH joint venture supplied approximately 25% of the total megabits of memory</w:t>
      </w:r>
      <w:r>
        <w:rPr>
          <w:rFonts w:ascii="Arial" w:cs="Arial" w:eastAsia="Arial" w:hAnsi="Arial"/>
          <w:sz w:val="18"/>
          <w:szCs w:val="18"/>
          <w:b w:val="1"/>
          <w:bCs w:val="1"/>
          <w:color w:val="auto"/>
        </w:rPr>
        <w:t xml:space="preserve"> </w:t>
      </w:r>
      <w:r>
        <w:rPr>
          <w:rFonts w:ascii="Arial" w:cs="Arial" w:eastAsia="Arial" w:hAnsi="Arial"/>
          <w:sz w:val="18"/>
          <w:szCs w:val="18"/>
          <w:color w:val="auto"/>
        </w:rPr>
        <w:t>produced by the Company in the first nine months of 2005 and approximately 30% of the total megabits produced in the first nine months of 2004. The Company generally purchases memory products from TECH at prices determined quarterly, based on a discount from average selling prices realized by the Company for the immediately preceding quarter. Depending on market conditions, the gross margin from the sale of TECH products may be higher or lower than the gross margin from the sale of products manufactured by the Company’s wholly-owned operations. In each of the first three quarters of 2005, the Company realized lower gross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margin percentages on sales of TECH products than for products manufactured by its wholly-owned operations. In the third quarter and first nine months of 2004, the Company realized higher gross margin percentages on sales of TECH products than for products manufactured by its wholly-owned operations. The Company expects that costs of products purchased from TECH in the fourth quarter of 2005 will be significantly higher than the costs of products manufactured by its wholly-owned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Selling, general and administrative (“SG&amp;A”) expenses for the third quarter of 2005 were slightly higher than for the second quarter of 2005. SG&amp;A expenses for the third quarter of 2005 were 6% lower than for the third quarter of 2004 primarily due to lower costs associated with legal matters. SG&amp;A expenses for the first nine months of 2005 were slightly higher than for the first nine months of 2004 primarily due to higher levels of performance-based compensation expense and other personnel costs offset by a decrease in costs associated with legal matters. SG&amp;A expenses for the fourth quarter of 2005 are expected to approximate $85 million to $95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w:t>
      </w:r>
    </w:p>
    <w:p>
      <w:pPr>
        <w:sectPr>
          <w:pgSz w:w="11900" w:h="16838" w:orient="portrait"/>
          <w:cols w:equalWidth="0" w:num="1">
            <w:col w:w="11400"/>
          </w:cols>
          <w:pgMar w:left="240" w:top="125" w:right="259" w:bottom="90" w:gutter="0" w:footer="0" w:header="0"/>
        </w:sectPr>
      </w:pPr>
    </w:p>
    <w:bookmarkStart w:id="10" w:name="page11"/>
    <w:bookmarkEnd w:id="10"/>
    <w:p>
      <w:pPr>
        <w:ind w:right="40" w:firstLine="648"/>
        <w:spacing w:after="0" w:line="273" w:lineRule="auto"/>
        <w:rPr>
          <w:sz w:val="20"/>
          <w:szCs w:val="20"/>
          <w:color w:val="auto"/>
        </w:rPr>
      </w:pPr>
      <w:r>
        <w:rPr>
          <w:rFonts w:ascii="Arial" w:cs="Arial" w:eastAsia="Arial" w:hAnsi="Arial"/>
          <w:sz w:val="17"/>
          <w:szCs w:val="17"/>
          <w:color w:val="auto"/>
        </w:rPr>
        <w:t>R&amp;D expenses for the third quarter of 2005 were approximately the same as for the second quarter of 2005. R&amp;D expenses for the third quarter and first nine months of 2005 decreased 15% and 18%, respectively, from the corresponding periods of 2004 principally because the Company qualified devices for sale to customers from its 300mm wafer fabrication facility in Virginia in the first quarter of 2005. When devices are qualified, the Company includes costs associated with the manufacture of these devices in inventory and costs of goods sold rather than research and development expense. Higher compensation costs partially offset the decreases in R&amp;D expenses for the first nine months of 2005 as compared to the first nine months of 2004. R&amp;D expenses for the fourth quarter of 2005 are expected to approximate $150 million to $170 million.</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Company’s process technology R&amp;D efforts are focused primarily on development of 95nm, 78nm and smaller line-width process technologies, which are designed to facilitate the Company’s transition to next generation products. Additional R&amp;D efforts include process development to support the Company’s 300mm wafer manufacturing, CMOS image sensors, NAND Flash memory, Specialty memory products (including PSRAM, mobile SDRAM and reduced latency DRAM) and new manufacturing materials. Efforts toward the design and development of new products are concentrated on the Company’s 1 Gig and 2 Gig DDR, DDR2 and DDR3 products as well as NAND Flash memory, CMOS image sensors and Specialty memory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the second quarter of 2003, the Company announced a series of cost-reduction initiatives. The restructure plan included the shutdown of the Company’s 200mm production line in Virginia; the discontinuance of certain memory products, including SRAM and TCAM; and an approximate 10% reduction in the Company’s worldwide workforce. The Company has substantially completed the restructure plan. Through September 2, 2004, the Company had paid essentially all of the severance and other termination benefits and other costs incurred in connection with the restructure plan. The credit to restructure in the first nine months of 2004 primarily reflects sales of equipment associated with the Company’s 200mm production line in Virginia.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and Expense</w:t>
      </w:r>
    </w:p>
    <w:p>
      <w:pPr>
        <w:spacing w:after="0" w:line="22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Other operating income for the third quarter of 2005 includes net gains of $14.5 million on disposals and write-downs of semiconductor equipment and net gains of $12.2 million from changes in currency exchange rates primarily as the result of a generally stronger U.S. dollar relative to the yen and euro. Other operating income for the first nine months of 2005 includes gains net of losses on write-downs and disposals of semiconductor equipment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$13.1 million and $12.0 million in receipts from the U.S. government in connection with anti-dumping tariffs. Other operating expense for the first nine months of 2004 includes net losses of $16.2 million from changes in currency exchange rates. The Company estimates that, based on its assets and liabilities denominated in currencies other than U.S. dollar as of June 2, 2005, a 1% change in the exchange rate versus the U.S. dollar would result in foreign currency gains or losses of approximately $1 million for the yen and $1 million for the euro.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40" w:firstLine="648"/>
        <w:spacing w:after="0" w:line="285" w:lineRule="auto"/>
        <w:rPr>
          <w:sz w:val="20"/>
          <w:szCs w:val="20"/>
          <w:color w:val="auto"/>
        </w:rPr>
      </w:pPr>
      <w:r>
        <w:rPr>
          <w:rFonts w:ascii="Arial" w:cs="Arial" w:eastAsia="Arial" w:hAnsi="Arial"/>
          <w:sz w:val="16"/>
          <w:szCs w:val="16"/>
          <w:color w:val="auto"/>
        </w:rPr>
        <w:t>Income taxes for 2005 and 2004 primarily reflect taxes on the Company’s non-U.S. operations. The Company has a valuation allowance for its net deferred tax asset associated with its U.S. operations. The provision for taxes on U.S. operations in the first nine months of 2005 and 2004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June 2, 2005, the Company had aggregate U.S. tax net operating loss carryforwards of $2.5 billion and unused U.S. tax credits of $128.4 million, which expire through 2025.</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Company also has unused state tax net operating loss carryforwards of $1.6 billion for tax purposes, which expire through 2025 and unused state tax credits of $133.6 million for tax and financial reporting purposes, which expire through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Company’s liquidity is highly dependent on average selling prices for its semiconductor memory products and the timing of capital expenditures, both of which can vary significantly from period to period. As of June 2, 2005, the Company had cash and marketable investments totaling $1,295.6 million compared to $1,231.0 million as of September 2, 2004.</w:t>
      </w:r>
    </w:p>
    <w:p>
      <w:pPr>
        <w:spacing w:after="0" w:line="177" w:lineRule="exact"/>
        <w:rPr>
          <w:sz w:val="20"/>
          <w:szCs w:val="20"/>
          <w:color w:val="auto"/>
        </w:rPr>
      </w:pPr>
    </w:p>
    <w:p>
      <w:pPr>
        <w:jc w:val="both"/>
        <w:ind w:right="40" w:firstLine="648"/>
        <w:spacing w:after="0" w:line="289"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For the first nine months of 2005, net cash provided by operating activities was $933.4 million, which principally reflects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$144.9 million of net income adjusted by $949.6 million for non-cash depreciation and amortization expense, partially offset by a $248.5 million increase in inventories as production outpaced sales and capacity utilization at the Company’s 300mm facility increased.</w:t>
      </w:r>
    </w:p>
    <w:p>
      <w:pPr>
        <w:spacing w:after="0" w:line="158"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 xml:space="preserve">Investing Activities: </w:t>
      </w:r>
      <w:r>
        <w:rPr>
          <w:rFonts w:ascii="Arial" w:cs="Arial" w:eastAsia="Arial" w:hAnsi="Arial"/>
          <w:sz w:val="16"/>
          <w:szCs w:val="16"/>
          <w:color w:val="auto"/>
        </w:rPr>
        <w:t>For the first nine months of 2005, net cash used by investing activities was $1,004.6 million, which included expenditures for</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plant and equipment of $921.6 million. The Company believes that to develop new product and process technologies, support future growth, achieve operating efficiencies and maintain product quality, it must continue to invest in manufacturing technologies, facilities and capital equipment, research and development, and product and process technologies. The Company expects 2005 capital spending to approximate $1.5 billion, of which, approximately $1.1 billion occurred in the first nine months of 2005. The Company expects 2006 capital spending to be between $1.0 billion to $1.5 billion. As of June 2, 2005, the Company had commitments extending into 2006 of approximately $225 million for the acquisition of property, plant and equipment.</w:t>
      </w:r>
    </w:p>
    <w:p>
      <w:pPr>
        <w:spacing w:after="0" w:line="1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For the first nine months of 2005, net cash provided by financing activities was $55.4 million. In the third quarter of 2005,</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obtained an aggregate of $221.4 million from two financing arrangements. The first, a syndicated loan for 13.5 billion yen ($127.0 million), bears interest at the 6-month Tokyo Interbank Offered Rate (“TIBOR”) plus 1.25% (1.35% as of closing) and is payable in semi-annual installments through 2010. The second, a 10.0 billion yen ($94.4 million) loan has a fixed rate of 0.95% and is payable in semi-annual installments through 2010. In the first nine months of 2005, the Company received $161.3 million in proceeds from sales-leaseback transactions which are payable in periodic installments through January 2009. Payments on equipment purchase contracts and debt were $353.9 million for the first nine months of 2005, and included $110.0 million in prepayments on the Company’s $210.0 million subordinated notes due September 2005.</w:t>
      </w:r>
    </w:p>
    <w:p>
      <w:pPr>
        <w:spacing w:after="0" w:line="17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the first quarter of 2004, the Company received $450.0 million from Intel in exchange for the issuance of stock rights exchangeable into approximately 33.9 million shares of the Company’s common stock. In conjunction with the issuance of the stock rights, the Company agreed to achieve operational objectives, including certain levels of DDR2 production and 300 mm wafer processing capacity, or be subject to monetary penalties. The Company has</w:t>
      </w:r>
    </w:p>
    <w:p>
      <w:pPr>
        <w:sectPr>
          <w:pgSz w:w="11900" w:h="16838" w:orient="portrait"/>
          <w:cols w:equalWidth="0" w:num="1">
            <w:col w:w="11400"/>
          </w:cols>
          <w:pgMar w:left="240" w:top="125" w:right="259" w:bottom="0" w:gutter="0" w:footer="0" w:header="0"/>
        </w:sectPr>
      </w:pPr>
    </w:p>
    <w:bookmarkStart w:id="11" w:name="page12"/>
    <w:bookmarkEnd w:id="11"/>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achieved the DDR2 production and 300mm wafer processing milestones and, consequently, does not expect to make any payments to Intel under this agreement.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from time to time, issue registered or unregistered securities to raise capital to fund a portion of its operations.</w:t>
      </w:r>
    </w:p>
    <w:p>
      <w:pPr>
        <w:spacing w:after="0" w:line="166"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As of June 2, 2005, future maturities of notes payable, minimum lease payments under capital lease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commitments under operating leases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w w:val="93"/>
              </w:rPr>
              <w:t>Remainder</w:t>
            </w:r>
          </w:p>
        </w:tc>
        <w:tc>
          <w:tcPr>
            <w:tcW w:w="320" w:type="dxa"/>
            <w:vAlign w:val="bottom"/>
          </w:tcPr>
          <w:p>
            <w:pPr>
              <w:spacing w:after="0"/>
              <w:rPr>
                <w:sz w:val="14"/>
                <w:szCs w:val="14"/>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9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8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8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2010 and</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77"/>
              <w:spacing w:after="0"/>
              <w:rPr>
                <w:sz w:val="20"/>
                <w:szCs w:val="20"/>
                <w:color w:val="auto"/>
              </w:rPr>
            </w:pPr>
            <w:r>
              <w:rPr>
                <w:rFonts w:ascii="Arial" w:cs="Arial" w:eastAsia="Arial" w:hAnsi="Arial"/>
                <w:sz w:val="14"/>
                <w:szCs w:val="14"/>
                <w:b w:val="1"/>
                <w:bCs w:val="1"/>
                <w:color w:val="auto"/>
              </w:rPr>
              <w:t>of 2005</w:t>
            </w: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thereafter</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(amounts in millions)</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87.8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234.5</w:t>
            </w:r>
          </w:p>
        </w:tc>
        <w:tc>
          <w:tcPr>
            <w:tcW w:w="22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63.6</w:t>
            </w:r>
          </w:p>
        </w:tc>
        <w:tc>
          <w:tcPr>
            <w:tcW w:w="42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June 2, 2005, the Company had the following off-balance sheet arrangements: convertible debt, call spread options, stock warrants and its variable interest in the TECH joint venture.</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2003, the Company issued $632.5 million of 2.5% Convertible Subordinated Notes (the “Notes”). Holders of the Notes may convert all or some of their Notes at any time prior to maturity, unless previously redeemed or repurchased, into the Company’s common stock at a conversion rate of 84.8320 shares for each $1,000 principal amount of the Notes. This conversion rate is equivalent to a conversion price of approximately $11.79 per share. The Company may redeem the Notes at any time after February 6, 2006, at declining premiums to par.</w:t>
      </w:r>
    </w:p>
    <w:p>
      <w:pPr>
        <w:spacing w:after="0" w:line="18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would result in the Company receiving an amount ranging from zero if the market price per share of the Company’s common stock is at or below $11.79 to a maximum of $343.4 million if the market price per share of the Company’s common stock is at or above $18.19.</w:t>
      </w:r>
    </w:p>
    <w:p>
      <w:pPr>
        <w:spacing w:after="0" w:line="19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2001, the Company received $480.2 million from the issuance of warrants to purchase 29.1 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June 2, 2005, there had been no exercises of warrants and all warrants issued remained outstanding.</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See “Item 1. Financial Statements – Notes to Consolidated Financial Statements – Joint Venture” for a description of the Company’s arrangement with its TECH joint venture.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May 2005, the Financial Accounting Standards Board (“FASB”) issued Statement of Financial Accounting Standards (“SFAS”) No. 154, “Accounting Changes and Error Corrections.” SFAS No. 154 replaces APB Opinion No. 20, “Accounting Changes”, and SFAS No. 3, “Reporting Accounting Changes in Interim Financial Statements,” and changes the requirements for the accounting for and reporting of a change in accounting principle. The Company is required to adopt SFAS No. 154 for accounting changes and error corrections that occur after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beginning of 2007. The Company’s results of operations and financial condition will only be impacted by SFAS No. 154 if it implements changes in accounting principle that are addressed by the standard or corrects accounting errors in future periods.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by the end of 2006. The Company is currently assessing the impact of Interpretation No. 47 on its results of operations and financial condition.</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December 2004, the FASB issued SFAS No. 123(R), “Share-Based Payment.” SFAS No. 123(R) establishes standards for the accounting for transactions in which an entity exchanges its equity instruments for goods or services or incurs liabilities in exchange for goods or services that are based on the fair value of the entity’s equity instruments, focusing primarily on accounting for transactions in which an entity obtains employee services in share-based payment transactions. SFAS No. 123(R) requires public entities to measure the cost of employee services received in exchange for an award of equity instruments based on the grant-date fair value of the award (with limited exceptions) and recognize the cost over the period during which an employee is required to provide service in exchange for the award. In March 2005, the U.S. Securities and Exchange Commission (“SEC”) issued SAB 107 which expresses views of the SEC staff regarding the application of SFAS No. 123(R). Among other things, SAB 107 provides interpretive guidance related to the interaction between SFAS No. 123(R) and certain SEC rules and regulations as well as provides the SEC staff’s views regarding the valuation of share-based payment arrangements for public companies. The Company is required to adopt SFAS No. 123(R) in the beginning of 2006 and its adoption is not expected to have a significant effect on the Company’s financial condition or cash flows. Upon adoption, the Company will record non-cash stock compensation expense which will have an adverse effect on its results of operations.</w:t>
      </w:r>
    </w:p>
    <w:p>
      <w:pPr>
        <w:sectPr>
          <w:pgSz w:w="11900" w:h="16849" w:orient="portrait"/>
          <w:cols w:equalWidth="0" w:num="1">
            <w:col w:w="11420"/>
          </w:cols>
          <w:pgMar w:left="240" w:top="125" w:right="239" w:bottom="0" w:gutter="0" w:footer="0" w:header="0"/>
        </w:sectPr>
      </w:pPr>
    </w:p>
    <w:bookmarkStart w:id="12" w:name="page13"/>
    <w:bookmarkEnd w:id="12"/>
    <w:p>
      <w:pPr>
        <w:ind w:firstLine="648"/>
        <w:spacing w:after="0" w:line="302" w:lineRule="auto"/>
        <w:rPr>
          <w:sz w:val="20"/>
          <w:szCs w:val="20"/>
          <w:color w:val="auto"/>
        </w:rPr>
      </w:pPr>
      <w:r>
        <w:rPr>
          <w:rFonts w:ascii="Arial" w:cs="Arial" w:eastAsia="Arial" w:hAnsi="Arial"/>
          <w:sz w:val="16"/>
          <w:szCs w:val="16"/>
          <w:color w:val="auto"/>
        </w:rPr>
        <w:t>In December 2004, the FASB issued SFAS No. 153, “Exchanges of Nonmonetary Assets – An Amendment of APB Opinion No. 29,” which eliminates the exception for nonmonetary exchanges of similar productive assets and replaces it with a general exception for exchanges of nonmonetary assets that do not have commercial substance. The Company is required to adopt SFAS No. 153 for nonmonetary asset exchanges occurring in the first quarter of 2006 and its adoption is not expected to have a significant effect on the Company’s results of operations or financial condition.</w:t>
      </w:r>
    </w:p>
    <w:p>
      <w:pPr>
        <w:spacing w:after="0" w:line="154"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In November 2004, the FASB issued SFAS No. 151, “Inventory Costs – An Amendment of ARB No. 43, Chapter 4,” which clarifies the accounting for abnormal amounts of idle facility expense, freight, handling costs and wasted material (spoilage). The Company is required to adopt SFAS No. 151 in the beginning of 2006 and its adoption is not expected to have a significant effect on the Company’s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18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6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U.S. GAAP provides for products to be grouped into categories in order to compare costs to market values. The amount of any inventory write-down can vary significantly depending on the determination of inventory categories. The Company’s inventory has been categorized as semiconductor memory products or CMOS image sensors. The major characteristics the Company considers in determining inventory categories are product type and markets. A 5% reduction in estimated selling prices would reduce the estimated net realizable value of inventories by approximately $65 million, but would still not result in the need to record an inventory write-down.</w:t>
      </w:r>
    </w:p>
    <w:p>
      <w:pPr>
        <w:spacing w:after="0" w:line="184"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2"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ectPr>
          <w:pgSz w:w="11900" w:h="16838" w:orient="portrait"/>
          <w:cols w:equalWidth="0" w:num="1">
            <w:col w:w="11420"/>
          </w:cols>
          <w:pgMar w:left="240" w:top="341" w:right="239" w:bottom="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We have experienced dramatic declines in average selling prices for our memory products which have adversely affected our business.</w:t>
      </w:r>
    </w:p>
    <w:p>
      <w:pPr>
        <w:spacing w:after="0" w:line="24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Per megabit average selling prices decreased 28% in the third quarter of 2005 as compared to the second quarter of 2005 which followed a 15% decrease in the second quarter of 2005 as compared to the first quarter of 2005. In recent years, we have also experienced annual decreases in per megabit average selling prices for our semiconductor memory products including: 17% in 2003, 53% in 2002, 60% in 2001, 37% in 1999, 60% in 1998 and 75% in 1997. At times, average selling prices for our semiconductor products have been below our costs. If average selling prices for our memory products decrease faster than we can decrease per megabit costs, our business, results of operations or financial condition could be materially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worldwide DRAM production or lack of demand for DRAM could lead to further declines in average selling prices for DRAM.</w:t>
      </w:r>
    </w:p>
    <w:p>
      <w:pPr>
        <w:spacing w:after="0" w:line="24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transition to smaller line-width process technologies and 300mm wafers in the industry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Several of our competitors have announced plans to increase production through construction of new facilities or expansion of existing facilities. Increases in worldwide supply of DRAM, if not accompanied with increases in demand, could lead to further declines in average selling prices for our products and could materially adversely affect our business, results of operations or financial condition.</w:t>
      </w:r>
    </w:p>
    <w:p>
      <w:pPr>
        <w:spacing w:after="0" w:line="18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As the computer industry matures and the growth rate of computers sold or growth rate of the amount of semiconductor memory included in each computer decreases, sales of our semiconductor products could decrease.</w:t>
      </w:r>
    </w:p>
    <w:p>
      <w:pPr>
        <w:spacing w:after="0" w:line="16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primarily dependent on the computing market as most of the semiconductor products we sell are used in computers, servers or peripheral products. Approximately 70% of our sales of semiconductor products for the third quarter of 2005 were to the computing market. DRAMs are the primary semiconductor memory components in computers. Throughout most of the 1980s and 1990s, industry revenue for the DRAM market grew at a much faster rate than the overall economy, driven by both growth in sales of computers and the amount of memory included in each computer sold. However, as with any maturing market, it is unlikely that historic growth rates for this market will be sustained. In recent years, the DRAM market has grown at a significantly slower rate as the computer industry has continued to mature. The reduction in the growth rate of computers sold or growth rate of the amount of semiconductor memory included in each computer could reduce sales of our semiconductor products and our business, results of operations or financial condition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Historically, our gross margin has benefited from decreases in per megabit manufacturing costs achieved through improvements in our manufacturing processes, including reducing the die size of our existing products. In future periods, we may be unable to reduce our per megabit manufacturing costs or reduce costs at historical rates due to the ever increasing complexity of manufacturing processes, to changes in process technologies or products which inherently may require relatively larger die sizes, or to strategic product diversification decisions affecting product mix.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are unable to timely and efficiently convert our manufacturing operations to 300mm wafer fabrication, our business, results of operations or financial condition could be materially adversely affected.</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currently ramping production at our 300mm wafer fabrication facility in Virginia. Until such time that the production in the Virginia facility reaches mature product yields and significant volume with regards to capacity utilization, it will adversely affect our results of operations. We are also assessing which of our other facilities will be converted to 300mm wafer fabrication and when those facilities will be converted. We may also experience disruptions in manufacturing operations, reduced wafer output and reduced yields during our conversion of other facilities to 300mm wafers and our business, results of operations or financial condition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cash flows from operations depend primarily on the volume of semiconductor memory sold, average selling prices and per megabit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face intense competition from a number of companies, including Elpida Memory, Inc., Hynix Semiconductor Inc., Infineon Technologies AG and Samsung Electronics Co., Ltd. Additionally, we face competition from emerging companies in Taiwan and China who have announced plans to significantly expand the scale of their operations.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93"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Historically, various governments have provided economic assistance to international competitors, which has enabled, or artificially supported, competitors’ production of semiconductor memory. This factor may continue to increase the supply of semiconductor products in future periods.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implementation of new Sarbanes-Oxley Section 404 controls audit.</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Beginning in 2005, Section 404 of the Sarbanes-Oxley Act of 2002 requires that our management conduct an evaluation of the effectiveness of our internal controls over financial reporting and include a report on their assessment in our Annual Report on Form 10-K. In addition, our independent registered public accounting firm is required to express an opinion as to the fairness of management’s assessment and separately on the effectiveness of our</w:t>
      </w:r>
    </w:p>
    <w:p>
      <w:pPr>
        <w:sectPr>
          <w:pgSz w:w="11900" w:h="16838" w:orient="portrait"/>
          <w:cols w:equalWidth="0" w:num="1">
            <w:col w:w="11400"/>
          </w:cols>
          <w:pgMar w:left="240" w:top="337" w:right="259" w:bottom="0" w:gutter="0" w:footer="0" w:header="0"/>
        </w:sectPr>
      </w:pPr>
    </w:p>
    <w:bookmarkStart w:id="14" w:name="page15"/>
    <w:bookmarkEnd w:id="14"/>
    <w:p>
      <w:pPr>
        <w:ind w:right="180"/>
        <w:spacing w:after="0" w:line="273" w:lineRule="auto"/>
        <w:rPr>
          <w:sz w:val="20"/>
          <w:szCs w:val="20"/>
          <w:color w:val="auto"/>
        </w:rPr>
      </w:pPr>
      <w:r>
        <w:rPr>
          <w:rFonts w:ascii="Arial" w:cs="Arial" w:eastAsia="Arial" w:hAnsi="Arial"/>
          <w:sz w:val="17"/>
          <w:szCs w:val="17"/>
          <w:color w:val="auto"/>
        </w:rPr>
        <w:t>internal controls over financial reporting as of the end of our fiscal year being reported on. Our fiscal 2005 will be the first year that we undergo an audit of our assessment of the effectiveness of our internal controls over financial reporting and it is possible that either significant deficiencies or material weaknesses could be found in connection with these evaluation and audit processes. If we are unable to remediate such deficiencies and weaknesses, management may be unable to conclude our controls are operating effectively and our independent registered public accounting firm may issue an adverse opinion on our management’s assessment or on the effectiveness of our internal controls over financial reporting. If this were to occur, investor confidence regarding our internal controls could be harmed and our stock price could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yen and euro. In the event that the U.S. dollar weakens significantly compared to the yen or euro, our results of operations or financial condition will be adversely affected. The Company estimates that, based on its assets and liabilities denominated in currencies other than U.S. dollar as of June 2, 2005, a 1% change in the exchange rate versus the U.S. dollar would result in foreign currency gains or losses of approximately $1 million for the yen and $1 million for the euro.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business, results of operations or financial condition could be materially adversely affected.</w:t>
      </w:r>
    </w:p>
    <w:p>
      <w:pPr>
        <w:spacing w:after="0" w:line="1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business, results of operations or financial condition could be materially adversely affected.</w:t>
      </w:r>
    </w:p>
    <w:p>
      <w:pPr>
        <w:spacing w:after="0" w:line="1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TECH supplied approximately 25% of our total megabits of memory produced in the first nine months of 2005. We have agreements to purchase all of the products manufactured by TECH subject to specific terms and conditions. In some periods, we have realized higher margins on products purchased from TECH than products manufactured by our wholly-owned facilities. Any reduction in supply could materially adversely affect our business, results of operations or financial condition. As of June 2, 2005, we had intangible assets with a net book value of $53.2 million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74"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b w:val="1"/>
          <w:bCs w:val="1"/>
          <w:color w:val="auto"/>
        </w:rPr>
        <w:t>If we are unable to respond to customer demand for diversified semiconductor memory products or are unable to do so in a cost-effective manner, we may lose market share and our business, results of operations or financial condition could be materially adversely affected.</w:t>
      </w:r>
    </w:p>
    <w:p>
      <w:pPr>
        <w:spacing w:after="0" w:line="14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recent periods, the semiconductor memory market has become increasingly segmented, with diverse memory needs being driven by the different requirements of desktop and notebook computers, servers, workstations, handheld devices, and communications, industrial and other applications that demand specific memory solutions. We offer customers a variety of semiconductor memory products, including DDR, DDR2, SDRAM, PSRAM, Mobile SDRAM, RLDRAM, NAND Flash and NOR Flash.</w:t>
      </w:r>
    </w:p>
    <w:p>
      <w:pPr>
        <w:spacing w:after="0" w:line="18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business, results of operations or financial condition could be materially adversely affected.</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U.S. District Court for the District of Delaware seeking monetary damages and declaratory and injunctive relief. Among other things, our amended complaint alleges violation of federal antitrust laws, breach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us and Reptronic (a distributor of our products) in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w:t>
      </w:r>
    </w:p>
    <w:p>
      <w:pPr>
        <w:sectPr>
          <w:pgSz w:w="11900" w:h="16838" w:orient="portrait"/>
          <w:cols w:equalWidth="0" w:num="1">
            <w:col w:w="11420"/>
          </w:cols>
          <w:pgMar w:left="240" w:top="125" w:right="239" w:bottom="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Patent Office declared Rambus’ 525 068 and 1 004 956 European patents invalid and revoked the patents. We also are engaged in litigation with Tessera, Inc. (“Tessera”) relating to certain of Tessera’s patents and certain of our patents. On March 1, 2005, Tessera filed suit against us in the U.S. District Court for the Eastern District of Texas alleging infringement of five Tessera patents. On June 22, 2005, we filed an answer and counterclaim denying Tessera’s claims and alleging infringement of eight of our patents.</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Among other things, the above lawsuits pertain to certain of our SDRAM, DDRSDRAM, and DDR2 SDRAM products, which account for a significant portion of our net sales. 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the Company. Any of the foregoing could have a material adverse effect on our business, results of operations or financial condition.</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7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Subsequent to the commencement of the DOJ investigation, a number of purported class action lawsuits have been filed against us and other DRAM suppliers. Eighteen cases have been filed in various federal district courts asserting claims on behalf of a purported class of individuals and entities that purchased DRAM directly from various DRAM suppliers during the period from April 1, 1999 through at least June 30, 2002. To date, all but one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Additionally, two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December 31, 2002. The complaints allege price fixing in violation of federal antitrust laws and various state antitrust and unfair competition laws and seek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treble monetary damages, restitution, costs, interest and attorneys’ fees. In addition, at least fifty-five cases have been filed in various state courts asserting claims on behalf of a purported class of indirect purchasers of DRAM. Cases have been filed in the following states: Arkansas, Arizona, California, Florida, Hawaii, Iowa, Kansas, Massachusetts, Maine, Michigan, Montana, North Carolina, North Dakota, Nebraska, New Hampshire, New Jersey, New Mexico, Nevada, New York, Ohio, Pennsylvania, South Dakota, Tennessee, Vermont, Wisconsin, and West Virginia. The complaints purport to be on behalf of individuals and entities that indirectly purchased DRAM and/or products containing DRAM in the respective states during various time periods ranging from 1999 through the filing date of the various complaints. The complaints allege violations of various state antitrust, consumer protection and/or unfair competition laws relating to the sale and pricing of DRAM products and seek treble monetary damages, restitution, costs, interest and attorneys’ fees. A number of the state court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our analysis of the claims made and the nature of the DRAM industry, we believe that class treatment of these cases is not appropriate and that any purported injury alleged by plaintiffs in the direct purchaser cases would be more appropriately resolved on a customer-by-customer basis. The final resolution of these alleged violations of antitrust laws could result in significant liability and could have a material adverse effect on our business, results of operations or financial condition.</w:t>
      </w:r>
    </w:p>
    <w:p>
      <w:pPr>
        <w:spacing w:after="0" w:line="17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We are unable to predict the outcome of the suit. A court determination against us could result in significant liability and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6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Sales to customers outside the United States approximated 67% of our consolidated net sales for the third quarter of 2005. In addition, we have manufacturing operations in Italy, Japan, Puerto Rico, Scotland and Singapore. Our international sales and operations are subject to a variety of risks, including:</w:t>
      </w:r>
    </w:p>
    <w:p>
      <w:pPr>
        <w:spacing w:after="0" w:line="186"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currency exchange rate fluctuations,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export and import duties, changes to import and export regulations, and restrictions on the transfer of funds,</w:t>
      </w:r>
    </w:p>
    <w:p>
      <w:pPr>
        <w:sectPr>
          <w:pgSz w:w="11900" w:h="16838" w:orient="portrait"/>
          <w:cols w:equalWidth="0" w:num="1">
            <w:col w:w="11400"/>
          </w:cols>
          <w:pgMar w:left="240" w:top="125" w:right="259" w:bottom="0" w:gutter="0" w:footer="0" w:header="0"/>
        </w:sectPr>
      </w:pPr>
    </w:p>
    <w:bookmarkStart w:id="16" w:name="page17"/>
    <w:bookmarkEnd w:id="16"/>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problems with the transportation or delivery of our products,</w:t>
      </w:r>
    </w:p>
    <w:p>
      <w:pPr>
        <w:spacing w:after="0" w:line="228" w:lineRule="exact"/>
        <w:rPr>
          <w:rFonts w:ascii="Arial" w:cs="Arial" w:eastAsia="Arial" w:hAnsi="Arial"/>
          <w:sz w:val="22"/>
          <w:szCs w:val="22"/>
          <w:color w:val="auto"/>
        </w:rPr>
      </w:pPr>
    </w:p>
    <w:p>
      <w:pPr>
        <w:ind w:left="5620" w:right="5180" w:hanging="4640"/>
        <w:spacing w:after="0" w:line="579" w:lineRule="auto"/>
        <w:tabs>
          <w:tab w:leader="none" w:pos="1295" w:val="left"/>
        </w:tabs>
        <w:numPr>
          <w:ilvl w:val="0"/>
          <w:numId w:val="4"/>
        </w:numPr>
        <w:rPr>
          <w:rFonts w:ascii="Arial" w:cs="Arial" w:eastAsia="Arial" w:hAnsi="Arial"/>
          <w:sz w:val="19"/>
          <w:szCs w:val="19"/>
          <w:color w:val="auto"/>
        </w:rPr>
      </w:pPr>
      <w:r>
        <w:rPr>
          <w:rFonts w:ascii="Arial" w:cs="Arial" w:eastAsia="Arial" w:hAnsi="Arial"/>
          <w:sz w:val="16"/>
          <w:szCs w:val="16"/>
          <w:color w:val="auto"/>
        </w:rPr>
        <w:t>issues arising from cultural or language differences and labor unrest, 24</w:t>
      </w:r>
    </w:p>
    <w:p>
      <w:pPr>
        <w:spacing w:after="0" w:line="343" w:lineRule="exact"/>
        <w:rPr>
          <w:rFonts w:ascii="Arial" w:cs="Arial" w:eastAsia="Arial" w:hAnsi="Arial"/>
          <w:sz w:val="19"/>
          <w:szCs w:val="19"/>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longer payment cycles and greater difficulty in collecting accounts receivable,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compliance with trade and other laws in a variety of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-807720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89" w:lineRule="exact"/>
        <w:rPr>
          <w:sz w:val="20"/>
          <w:szCs w:val="20"/>
          <w:color w:val="auto"/>
        </w:rPr>
      </w:pPr>
    </w:p>
    <w:p>
      <w:pPr>
        <w:ind w:right="16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9"/>
          <w:szCs w:val="19"/>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18" w:lineRule="exact"/>
        <w:rPr>
          <w:rFonts w:ascii="Arial" w:cs="Arial" w:eastAsia="Arial" w:hAnsi="Arial"/>
          <w:sz w:val="19"/>
          <w:szCs w:val="19"/>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encounter adverse publicity, which could cause a decrease in sales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expect to make future acquisitions where we believe it is advisable to enhance shareholder value. Acquisitions involve numerous risks, including:</w:t>
      </w:r>
    </w:p>
    <w:p>
      <w:pPr>
        <w:spacing w:after="0" w:line="175"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semiconductor memory products,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difficulties in integrating the operations, technologies and products of the acquired companies,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increasing capital expenditures to upgrade and maintain facilities,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increasing debt to finance any acquisition,</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ectPr>
          <w:pgSz w:w="11900" w:h="16838" w:orient="portrait"/>
          <w:cols w:equalWidth="0" w:num="1">
            <w:col w:w="11420"/>
          </w:cols>
          <w:pgMar w:left="240" w:top="346" w:right="239" w:bottom="0" w:gutter="0" w:footer="0" w:header="0"/>
        </w:sectPr>
      </w:pPr>
    </w:p>
    <w:bookmarkStart w:id="17" w:name="page18"/>
    <w:bookmarkEnd w:id="17"/>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enacted changes in the securities laws and regulations are likely to increase our costs.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Sarbanes-Oxley Act of 2002 has required changes in some of our corporate governance, securities disclosure and compliance practices. In response to the requirements of that Act, the Securities and Exchange Commission and the New York Stock Exchange have promulgated new rules on a variety of subjects. Compliance with these new rules has increased our costs, and we expect these increased costs to continue indefinitely. We also expect these developments to make it more difficult and more expensive for us to obtain director and officer liability insurance, and we may be forced to accept reduced coverage or incur substantially higher costs to obtain coverage. Likewise, these developments may make it more difficult for us to attract and retain qualified members of our board of directors or qualified executive officers.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Substantially all of the Company’s investments are at fixed interest rates; therefore, the fair value of these instruments is affected by changes in market interest rates. The Company believes that the market risk arising from its holdings of investments is minimal as the Company’s investments generally mature within one year.</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Substantially all of the Company’s debt is at fixed interest rates; therefore, the fair value of the debt fluctuates based on changes in market interest rates. The estimated fair market value of the Company’s debt approximated $1.3 billion as of June 2, 2005 and $1.2 billion as of September 2, 2004. The Company entered into an interest rate swap agreement (the “Swap”) that effectively converted, beginning August 29, 2003, the 2.5% fixed interest rate on the Company’s $632.5 million Convertible Subordinated Notes (the “Notes”) to a variable interest rate based on the 3-month London Interbank Offering Rate (“LIBOR”) less 65 basis points. The Swap qualifies as a fair-value hedge under SFAS No. 133, “Accounting for Derivative Instruments and Hedging Activities” as amended. The gain or loss from changes in the fair value of the Swap is expected to be highly effective at offsetting the gain or loss from changes in the fair value of the Notes attributable to changes in interest rates. The Company does not use derivative financial instruments for trading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in this section should be read in conjunction with the information related to changes in the exchange rates of foreign currency in “Item 2. Management’s Discussion and Analysis of Financial Condition and Results of Operations – Certain Factors.” Changes in foreign currency exchange rates could materially adversely affect the Company’s results of operations or financial condition.</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functional currency for substantially all of the Company’s operations is the U.S. dollar. The Company held aggregate cash and other assets in foreign currency valued at U.S. $356.1 million as of June 2, 2005, and U.S. $118.9 million as of September 2, 2004 (including cash and equivalents denominated in yen valued at U.S. $219.8 million as of June 2, 2005, and U.S. $10.9 million as of September 2, 2004 and deferred income tax assets denominated in yen valued at U.S. $48.7 million as of June 2, 2005, and U.S. $52.4 million as of September 2, 2004). The Company also held aggregate foreign currency liabilities valued at U.S. $590.7 million as of June 2, 2005, and U.S. $403.6 million as of September 2, 2004 (including debt denominated in yen valued at U.S. $304.1 million as of June 2, 2005, and U.S. $113.1 million as of September 2, 2004). Foreign currency receivables and payables as of June 2, 2005, were comprised primarily of yen, euros, Singapore dollars and British pounds. The Company estimates that, based on its assets and liabilities denominated in currencies other than U.S. dollar as of June 2, 2005, a 1% change in the exchange rate versus the U.S. dollar would result in foreign currency gains or losses of approximately $1 million for the yen and $1 million for the euro.</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third quarter of 2005, the Company entered into two yen-denominated loans aggregating 23.5 billion yen ($221.4 million) payable in semi-annual installments through 2010. The first, a syndicated loan for 13.5 billion yen ($127.0 million), bears interest at the 6-month Tokyo Interbank Offered Rate (“TIBOR”) plus 1.25% (1.35% as of closing). The second, a 10.0 billion yen ($94.4 million) loan has a fixed rate of 0.95%. The Company invested the proceeds of the loans in yen-denominated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quarterly period covered by this report, there were no significant changes in the Company’s internal controls over financial reporting that have materially affected, or are reasonably likely to materially affect, the Company’s internal controls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August 28, 2000, the Company filed a complaint against Rambus, Inc. (“Rambus”) in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w:t>
      </w:r>
    </w:p>
    <w:p>
      <w:pPr>
        <w:sectPr>
          <w:pgSz w:w="11900" w:h="16847" w:orient="portrait"/>
          <w:cols w:equalWidth="0" w:num="1">
            <w:col w:w="11380"/>
          </w:cols>
          <w:pgMar w:left="240" w:top="121" w:right="279" w:bottom="0" w:gutter="0" w:footer="0" w:header="0"/>
        </w:sectPr>
      </w:pPr>
    </w:p>
    <w:bookmarkStart w:id="18" w:name="page19"/>
    <w:bookmarkEnd w:id="18"/>
    <w:p>
      <w:pPr>
        <w:spacing w:after="0" w:line="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the Company and Reptronic (a distributor of the Company’s products) in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declared Rambus’ 525 068 and 1 004 956 European patents invalid and revoked the patents.</w:t>
      </w:r>
    </w:p>
    <w:p>
      <w:pPr>
        <w:spacing w:after="0" w:line="17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March 1, 2005, Tessera, Inc. (“Tessera”) filed suit against the Company in the U.S. District Court for the Eastern District of Texas alleging infringement of five Tessera patents. On June 22, 2005, the Company filed an answer and counterclaim denying Tessera’s claims and alleging infringement of eight Company patents.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and DDR2 SDRAM products, which account for a significant portion of the Company’s net sales. The Company is unable to predict the outcome of these suits.</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6"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the Company and other DRAM suppliers. Eighteen cases have been filed in various federal district courts asserting claims on behalf of a purported class of individuals and entities that purchased DRAM directly from the various DRAM suppliers during the period from April 1, 1999 through at least June 30, 2002. To date, all but one of the cases have been transferred to the U.S. District Court for the Northern District of California for consolidated proceedings. The complaints allege price-fixing in violation of federal antitrust laws and seek treble monetary damages, costs, attorneys’ fees, and 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injunction against the allegedly unlawful conduct. Additionally, two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December 31, 2002. The complaints allege price fixing in violation of federal antitrust laws and various state antitrust and unfair competition laws and seek treble monetary damages, restitution, costs, interest and attorneys’ fees. In addition, at least fifty-five cases have been filed in various state courts asserting claims on behalf of a purported class of indirect purchasers of DRAM. Cases have been filed in the following states: Arkansas, Arizona, California, Florida, Hawaii, Iowa, Kansas, Massachusetts, Maine, Michigan, Montana, North Carolina, North Dakota, Nebraska, New Hampshire, New Jersey, New Mexico, Nevada, New York, Ohio, Pennsylvania, South Dakota, Tennessee, Vermont, Wisconsin, and West Virginia. The complaints purport to be on behalf of a class of individuals and entities that indirectly purchased DRAM and/or products containing DRAM in the respective states during various time periods ranging from 1999 through the filing date of the various complaints. The complaints allege violations of the various state antitrust, consumer protection and/or unfair competition laws relating to the sale and pricing of DRAM products and seek treble monetary damages, restitution, costs, interest and attorneys’ fees. A number of the state court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the Company’s analysis of the claims made and the nature of the DRAM industry, the Company believes that class treatment of these cases is not appropriate and that any purported injury alleged by plaintiffs in the direct purchaser cases would be more appropriately resolved on a customer-by-customer basis. The Company is unable to predict the outcome of these suits. The final resolution of these alleged violations of antitrust laws could result in significant liability and could have a material adverse effect on the Company’s business, results of operations or financial condition.</w:t>
      </w:r>
    </w:p>
    <w:p>
      <w:pPr>
        <w:spacing w:after="0" w:line="17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The Company is unable to predict the outcome of the suit. A court determination against the Company could result in significant liability and could have a material adverse effect on the Company’s business, results of operations or financial condition.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“Part I Item 2. Management’s Discussion and Analysis of Financial Condition and Results of Operations – Certain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99" w:orient="portrait"/>
          <w:cols w:equalWidth="0" w:num="1">
            <w:col w:w="11420"/>
          </w:cols>
          <w:pgMar w:left="240" w:top="125" w:right="239" w:bottom="0" w:gutter="0" w:footer="0" w:header="0"/>
        </w:sectPr>
      </w:pP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700" w:type="dxa"/>
            <w:vAlign w:val="bottom"/>
            <w:vMerge w:val="restart"/>
          </w:tcPr>
          <w:p>
            <w:pPr>
              <w:ind w:left="234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67322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ectPr>
          <w:pgSz w:w="11900" w:h="16899" w:orient="portrait"/>
          <w:cols w:equalWidth="0" w:num="1">
            <w:col w:w="11420"/>
          </w:cols>
          <w:pgMar w:left="240" w:top="125" w:right="23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1200" w:type="dxa"/>
            <w:vAlign w:val="bottom"/>
          </w:tcPr>
          <w:p>
            <w:pPr>
              <w:ind w:left="460"/>
              <w:spacing w:after="0"/>
              <w:rPr>
                <w:sz w:val="20"/>
                <w:szCs w:val="20"/>
                <w:color w:val="auto"/>
              </w:rPr>
            </w:pPr>
            <w:r>
              <w:rPr>
                <w:rFonts w:ascii="Arial" w:cs="Arial" w:eastAsia="Arial" w:hAnsi="Arial"/>
                <w:sz w:val="18"/>
                <w:szCs w:val="18"/>
                <w:color w:val="auto"/>
              </w:rPr>
              <w:t>3.8</w:t>
            </w:r>
          </w:p>
        </w:tc>
        <w:tc>
          <w:tcPr>
            <w:tcW w:w="10240" w:type="dxa"/>
            <w:vAlign w:val="bottom"/>
          </w:tcPr>
          <w:p>
            <w:pPr>
              <w:ind w:left="400"/>
              <w:spacing w:after="0"/>
              <w:rPr>
                <w:sz w:val="20"/>
                <w:szCs w:val="20"/>
                <w:color w:val="auto"/>
              </w:rPr>
            </w:pPr>
            <w:r>
              <w:rPr>
                <w:rFonts w:ascii="Arial" w:cs="Arial" w:eastAsia="Arial" w:hAnsi="Arial"/>
                <w:sz w:val="18"/>
                <w:szCs w:val="18"/>
                <w:color w:val="auto"/>
              </w:rPr>
              <w:t>By-laws of the Registrant, as amended</w:t>
            </w:r>
          </w:p>
        </w:tc>
      </w:tr>
      <w:tr>
        <w:trPr>
          <w:trHeight w:val="216"/>
        </w:trPr>
        <w:tc>
          <w:tcPr>
            <w:tcW w:w="1200" w:type="dxa"/>
            <w:vAlign w:val="bottom"/>
          </w:tcPr>
          <w:p>
            <w:pPr>
              <w:ind w:left="460"/>
              <w:spacing w:after="0"/>
              <w:rPr>
                <w:sz w:val="20"/>
                <w:szCs w:val="20"/>
                <w:color w:val="auto"/>
              </w:rPr>
            </w:pPr>
            <w:r>
              <w:rPr>
                <w:rFonts w:ascii="Arial" w:cs="Arial" w:eastAsia="Arial" w:hAnsi="Arial"/>
                <w:sz w:val="18"/>
                <w:szCs w:val="18"/>
                <w:color w:val="auto"/>
              </w:rPr>
              <w:t>31.1</w:t>
            </w:r>
          </w:p>
        </w:tc>
        <w:tc>
          <w:tcPr>
            <w:tcW w:w="10240" w:type="dxa"/>
            <w:vAlign w:val="bottom"/>
          </w:tcPr>
          <w:p>
            <w:pPr>
              <w:ind w:left="400"/>
              <w:spacing w:after="0"/>
              <w:rPr>
                <w:sz w:val="20"/>
                <w:szCs w:val="20"/>
                <w:color w:val="auto"/>
              </w:rPr>
            </w:pPr>
            <w:r>
              <w:rPr>
                <w:rFonts w:ascii="Arial" w:cs="Arial" w:eastAsia="Arial" w:hAnsi="Arial"/>
                <w:sz w:val="18"/>
                <w:szCs w:val="18"/>
                <w:color w:val="auto"/>
              </w:rPr>
              <w:t>Rule 13a-14(a) Certification of Chief Executive Officer</w:t>
            </w:r>
          </w:p>
        </w:tc>
      </w:tr>
      <w:tr>
        <w:trPr>
          <w:trHeight w:val="216"/>
        </w:trPr>
        <w:tc>
          <w:tcPr>
            <w:tcW w:w="1200" w:type="dxa"/>
            <w:vAlign w:val="bottom"/>
          </w:tcPr>
          <w:p>
            <w:pPr>
              <w:ind w:left="460"/>
              <w:spacing w:after="0"/>
              <w:rPr>
                <w:sz w:val="20"/>
                <w:szCs w:val="20"/>
                <w:color w:val="auto"/>
              </w:rPr>
            </w:pPr>
            <w:r>
              <w:rPr>
                <w:rFonts w:ascii="Arial" w:cs="Arial" w:eastAsia="Arial" w:hAnsi="Arial"/>
                <w:sz w:val="18"/>
                <w:szCs w:val="18"/>
                <w:color w:val="auto"/>
              </w:rPr>
              <w:t>31.2</w:t>
            </w:r>
          </w:p>
        </w:tc>
        <w:tc>
          <w:tcPr>
            <w:tcW w:w="10240" w:type="dxa"/>
            <w:vAlign w:val="bottom"/>
          </w:tcPr>
          <w:p>
            <w:pPr>
              <w:ind w:left="400"/>
              <w:spacing w:after="0"/>
              <w:rPr>
                <w:sz w:val="20"/>
                <w:szCs w:val="20"/>
                <w:color w:val="auto"/>
              </w:rPr>
            </w:pPr>
            <w:r>
              <w:rPr>
                <w:rFonts w:ascii="Arial" w:cs="Arial" w:eastAsia="Arial" w:hAnsi="Arial"/>
                <w:sz w:val="18"/>
                <w:szCs w:val="18"/>
                <w:color w:val="auto"/>
              </w:rPr>
              <w:t>Rule 13a-14(a) Certification of Chief Financial Officer</w:t>
            </w:r>
          </w:p>
        </w:tc>
      </w:tr>
      <w:tr>
        <w:trPr>
          <w:trHeight w:val="216"/>
        </w:trPr>
        <w:tc>
          <w:tcPr>
            <w:tcW w:w="1200" w:type="dxa"/>
            <w:vAlign w:val="bottom"/>
          </w:tcPr>
          <w:p>
            <w:pPr>
              <w:ind w:left="460"/>
              <w:spacing w:after="0"/>
              <w:rPr>
                <w:sz w:val="20"/>
                <w:szCs w:val="20"/>
                <w:color w:val="auto"/>
              </w:rPr>
            </w:pPr>
            <w:r>
              <w:rPr>
                <w:rFonts w:ascii="Arial" w:cs="Arial" w:eastAsia="Arial" w:hAnsi="Arial"/>
                <w:sz w:val="18"/>
                <w:szCs w:val="18"/>
                <w:color w:val="auto"/>
              </w:rPr>
              <w:t>32.1</w:t>
            </w:r>
          </w:p>
        </w:tc>
        <w:tc>
          <w:tcPr>
            <w:tcW w:w="1024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230"/>
        </w:trPr>
        <w:tc>
          <w:tcPr>
            <w:tcW w:w="1200" w:type="dxa"/>
            <w:vAlign w:val="bottom"/>
          </w:tcPr>
          <w:p>
            <w:pPr>
              <w:ind w:left="460"/>
              <w:spacing w:after="0"/>
              <w:rPr>
                <w:sz w:val="20"/>
                <w:szCs w:val="20"/>
                <w:color w:val="auto"/>
              </w:rPr>
            </w:pPr>
            <w:r>
              <w:rPr>
                <w:rFonts w:ascii="Arial" w:cs="Arial" w:eastAsia="Arial" w:hAnsi="Arial"/>
                <w:sz w:val="18"/>
                <w:szCs w:val="18"/>
                <w:color w:val="auto"/>
              </w:rPr>
              <w:t>32.2</w:t>
            </w:r>
          </w:p>
        </w:tc>
        <w:tc>
          <w:tcPr>
            <w:tcW w:w="1024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Pursuant to 18 U.S.C. 1350</w:t>
            </w:r>
          </w:p>
        </w:tc>
      </w:tr>
      <w:tr>
        <w:trPr>
          <w:trHeight w:val="432"/>
        </w:trPr>
        <w:tc>
          <w:tcPr>
            <w:tcW w:w="1200" w:type="dxa"/>
            <w:vAlign w:val="bottom"/>
          </w:tcPr>
          <w:p>
            <w:pPr>
              <w:spacing w:after="0"/>
              <w:rPr>
                <w:sz w:val="24"/>
                <w:szCs w:val="24"/>
                <w:color w:val="auto"/>
              </w:rPr>
            </w:pPr>
          </w:p>
        </w:tc>
        <w:tc>
          <w:tcPr>
            <w:tcW w:w="10240" w:type="dxa"/>
            <w:vAlign w:val="bottom"/>
          </w:tcPr>
          <w:p>
            <w:pPr>
              <w:ind w:left="4420"/>
              <w:spacing w:after="0"/>
              <w:rPr>
                <w:sz w:val="20"/>
                <w:szCs w:val="20"/>
                <w:color w:val="auto"/>
              </w:rPr>
            </w:pPr>
            <w:r>
              <w:rPr>
                <w:rFonts w:ascii="Arial" w:cs="Arial" w:eastAsia="Arial" w:hAnsi="Arial"/>
                <w:sz w:val="18"/>
                <w:szCs w:val="18"/>
                <w:color w:val="auto"/>
              </w:rPr>
              <w:t>30</w:t>
            </w:r>
          </w:p>
        </w:tc>
      </w:tr>
      <w:tr>
        <w:trPr>
          <w:trHeight w:val="91"/>
        </w:trPr>
        <w:tc>
          <w:tcPr>
            <w:tcW w:w="1200" w:type="dxa"/>
            <w:vAlign w:val="bottom"/>
            <w:tcBorders>
              <w:bottom w:val="single" w:sz="8" w:color="808080"/>
            </w:tcBorders>
          </w:tcPr>
          <w:p>
            <w:pPr>
              <w:spacing w:after="0"/>
              <w:rPr>
                <w:sz w:val="7"/>
                <w:szCs w:val="7"/>
                <w:color w:val="auto"/>
              </w:rPr>
            </w:pPr>
          </w:p>
        </w:tc>
        <w:tc>
          <w:tcPr>
            <w:tcW w:w="102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c>
          <w:tcPr>
            <w:tcW w:w="740" w:type="dxa"/>
            <w:vAlign w:val="bottom"/>
          </w:tcPr>
          <w:p>
            <w:pPr>
              <w:spacing w:after="0"/>
              <w:rPr>
                <w:sz w:val="20"/>
                <w:szCs w:val="20"/>
                <w:color w:val="auto"/>
              </w:rPr>
            </w:pPr>
          </w:p>
        </w:tc>
      </w:tr>
      <w:tr>
        <w:trPr>
          <w:trHeight w:val="224"/>
        </w:trPr>
        <w:tc>
          <w:tcPr>
            <w:tcW w:w="3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(Registrant)</w:t>
            </w:r>
          </w:p>
        </w:tc>
        <w:tc>
          <w:tcPr>
            <w:tcW w:w="740" w:type="dxa"/>
            <w:vAlign w:val="bottom"/>
          </w:tcPr>
          <w:p>
            <w:pPr>
              <w:spacing w:after="0"/>
              <w:rPr>
                <w:sz w:val="19"/>
                <w:szCs w:val="19"/>
                <w:color w:val="auto"/>
              </w:rPr>
            </w:pPr>
          </w:p>
        </w:tc>
      </w:tr>
      <w:tr>
        <w:trPr>
          <w:trHeight w:val="634"/>
        </w:trPr>
        <w:tc>
          <w:tcPr>
            <w:tcW w:w="3520" w:type="dxa"/>
            <w:vAlign w:val="bottom"/>
          </w:tcPr>
          <w:p>
            <w:pPr>
              <w:spacing w:after="0"/>
              <w:rPr>
                <w:sz w:val="20"/>
                <w:szCs w:val="20"/>
                <w:color w:val="auto"/>
              </w:rPr>
            </w:pPr>
            <w:r>
              <w:rPr>
                <w:rFonts w:ascii="Arial" w:cs="Arial" w:eastAsia="Arial" w:hAnsi="Arial"/>
                <w:sz w:val="18"/>
                <w:szCs w:val="18"/>
                <w:color w:val="auto"/>
              </w:rPr>
              <w:t>Dated: July 6, 2005</w:t>
            </w:r>
          </w:p>
        </w:tc>
        <w:tc>
          <w:tcPr>
            <w:tcW w:w="2520" w:type="dxa"/>
            <w:vAlign w:val="bottom"/>
          </w:tcPr>
          <w:p>
            <w:pPr>
              <w:spacing w:after="0"/>
              <w:rPr>
                <w:sz w:val="24"/>
                <w:szCs w:val="24"/>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7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W. G. Stover, Jr., Vice President of Finance and</w:t>
            </w:r>
          </w:p>
        </w:tc>
        <w:tc>
          <w:tcPr>
            <w:tcW w:w="74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74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Accounting Officer)</w:t>
            </w:r>
          </w:p>
        </w:tc>
        <w:tc>
          <w:tcPr>
            <w:tcW w:w="7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4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05"/>
        </w:trPr>
        <w:tc>
          <w:tcPr>
            <w:tcW w:w="352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3.8</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BYLAWS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registered office shall be 100 West Tenth Street, in the City of Wilmington, County of New Castle, State of Delaware.</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OF STOCKHOLDERS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6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6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Business transacted at any special meeting of stockholders shall be limited to the purposes stated in the notice.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6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ectPr>
          <w:pgSz w:w="11900" w:h="16838" w:orient="portrait"/>
          <w:cols w:equalWidth="0" w:num="1">
            <w:col w:w="11420"/>
          </w:cols>
          <w:pgMar w:left="240" w:top="121" w:right="239" w:bottom="0" w:gutter="0" w:footer="0" w:header="0"/>
        </w:sectPr>
      </w:pPr>
    </w:p>
    <w:bookmarkStart w:id="21" w:name="page22"/>
    <w:bookmarkEnd w:id="21"/>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 of office.</w:t>
      </w:r>
    </w:p>
    <w:p>
      <w:pPr>
        <w:spacing w:after="0" w:line="21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BOARD OF DIRECTORS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SECTION 7. The Board of Directors of the corporation may hold meetings, both regular and special, either within or without the State of Delaware.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SECTION 9. Regular meetings of the Board of Directors may be held without notice at such time and at such place as shall from time to time be determined by the Board.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COMMITTEES OF DIRECTORS</w:t>
      </w:r>
    </w:p>
    <w:p>
      <w:pPr>
        <w:sectPr>
          <w:pgSz w:w="11900" w:h="16838" w:orient="portrait"/>
          <w:cols w:equalWidth="0" w:num="1">
            <w:col w:w="11420"/>
          </w:cols>
          <w:pgMar w:left="240" w:top="341" w:right="239" w:bottom="0" w:gutter="0" w:footer="0" w:header="0"/>
        </w:sectPr>
      </w:pPr>
    </w:p>
    <w:bookmarkStart w:id="22" w:name="page23"/>
    <w:bookmarkEnd w:id="22"/>
    <w:p>
      <w:pPr>
        <w:ind w:firstLine="648"/>
        <w:spacing w:after="0" w:line="289"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1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SECTION 2. The Board of Directors at its first meeting after each annual meeting of stockholders shall choose a president, one or more vice-presidents, a secretary and a treasurer.</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7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salaries of all officers and agents of the corporation shall be fixed by the Board of Directors.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BOARD</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PRESIDENT</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w:t>
      </w:r>
    </w:p>
    <w:p>
      <w:pPr>
        <w:sectPr>
          <w:pgSz w:w="11900" w:h="16838" w:orient="portrait"/>
          <w:cols w:equalWidth="0" w:num="1">
            <w:col w:w="11400"/>
          </w:cols>
          <w:pgMar w:left="240" w:top="125" w:right="259" w:bottom="0" w:gutter="0" w:footer="0" w:header="0"/>
        </w:sectPr>
      </w:pPr>
    </w:p>
    <w:bookmarkStart w:id="23" w:name="page24"/>
    <w:bookmarkEnd w:id="23"/>
    <w:p>
      <w:pPr>
        <w:ind w:right="760"/>
        <w:spacing w:after="0" w:line="308" w:lineRule="auto"/>
        <w:rPr>
          <w:sz w:val="20"/>
          <w:szCs w:val="20"/>
          <w:color w:val="auto"/>
        </w:rPr>
      </w:pPr>
      <w:r>
        <w:rPr>
          <w:rFonts w:ascii="Arial" w:cs="Arial" w:eastAsia="Arial" w:hAnsi="Arial"/>
          <w:sz w:val="17"/>
          <w:szCs w:val="17"/>
          <w:color w:val="auto"/>
        </w:rPr>
        <w:t>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VICE-PRESIDENTS</w:t>
      </w:r>
    </w:p>
    <w:p>
      <w:pPr>
        <w:spacing w:after="0" w:line="225"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SECRETARY AND ASSISTANT SECRETARY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TREASURER AND ASSISTANT TREASURERS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8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STOCK</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ectPr>
          <w:pgSz w:w="11900" w:h="16838" w:orient="portrait"/>
          <w:cols w:equalWidth="0" w:num="1">
            <w:col w:w="11400"/>
          </w:cols>
          <w:pgMar w:left="240" w:top="125" w:right="259" w:bottom="94" w:gutter="0" w:footer="0" w:header="0"/>
        </w:sectPr>
      </w:pPr>
    </w:p>
    <w:bookmarkStart w:id="24" w:name="page25"/>
    <w:bookmarkEnd w:id="24"/>
    <w:p>
      <w:pPr>
        <w:jc w:val="both"/>
        <w:ind w:right="100" w:firstLine="648"/>
        <w:spacing w:after="0" w:line="286" w:lineRule="auto"/>
        <w:rPr>
          <w:sz w:val="20"/>
          <w:szCs w:val="20"/>
          <w:color w:val="auto"/>
        </w:rPr>
      </w:pPr>
      <w:r>
        <w:rPr>
          <w:rFonts w:ascii="Arial" w:cs="Arial" w:eastAsia="Arial" w:hAnsi="Arial"/>
          <w:sz w:val="17"/>
          <w:szCs w:val="17"/>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LOST CERTIFICATES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TRANSFER OF STOCK</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FIXING RECORD DATE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 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REGISTERED STOCKHOLDERS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CHECKS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fiscal year of the corporation shall be fixed by resolution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99"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SECTION 6. The corporation shall indemnify its officers, directors, employees and agents to the extent permitted by the General Corporation Law of Delaware.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Nancy A. Stanger, the secretary of Micron Technology, Inc., a Delaware corporation, hereby certify: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bylaws, comprising 14 pages, were adopted as the bylaws of Micron Technology on May 21, 1984.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25, 1984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FIRST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 adopted was pursuant to a Resolution reading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RESOLVED: The Board hereby approves that the second paragraph of Article II Section 10 of the Bylaws of the Company be amended to read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we have hereunto set our hands and the seal of the Corporation this 5th day of July,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Joseph L. Parkinson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L. Parkinson,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Cathy L. Smith, Secretary</w:t>
      </w:r>
    </w:p>
    <w:p>
      <w:pPr>
        <w:sectPr>
          <w:pgSz w:w="11900" w:h="16838" w:orient="portrait"/>
          <w:cols w:equalWidth="0" w:num="1">
            <w:col w:w="11380"/>
          </w:cols>
          <w:pgMar w:left="240" w:top="584" w:right="279" w:bottom="328" w:gutter="0" w:footer="0" w:header="0"/>
        </w:sectPr>
      </w:pPr>
    </w:p>
    <w:p>
      <w:pPr>
        <w:spacing w:after="0" w:line="211" w:lineRule="exact"/>
        <w:rPr>
          <w:sz w:val="20"/>
          <w:szCs w:val="20"/>
          <w:color w:val="auto"/>
        </w:rPr>
      </w:pPr>
    </w:p>
    <w:p>
      <w:pPr>
        <w:ind w:right="500"/>
        <w:spacing w:after="0" w:line="530" w:lineRule="auto"/>
        <w:rPr>
          <w:sz w:val="20"/>
          <w:szCs w:val="20"/>
          <w:color w:val="auto"/>
        </w:rPr>
      </w:pPr>
      <w:r>
        <w:rPr>
          <w:rFonts w:ascii="Arial" w:cs="Arial" w:eastAsia="Arial" w:hAnsi="Arial"/>
          <w:sz w:val="17"/>
          <w:szCs w:val="17"/>
          <w:color w:val="auto"/>
        </w:rPr>
        <w:t>STATE OF IDAHO County of Ada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 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0" w:lineRule="exact"/>
        <w:rPr>
          <w:sz w:val="20"/>
          <w:szCs w:val="20"/>
          <w:color w:val="auto"/>
        </w:rPr>
      </w:pPr>
    </w:p>
    <w:p>
      <w:pPr>
        <w:sectPr>
          <w:pgSz w:w="11900" w:h="16838" w:orient="portrait"/>
          <w:cols w:equalWidth="0" w:num="2">
            <w:col w:w="1940" w:space="720"/>
            <w:col w:w="8720"/>
          </w:cols>
          <w:pgMar w:left="240" w:top="584" w:right="279" w:bottom="328" w:gutter="0" w:footer="0" w:header="0"/>
          <w:type w:val="continuous"/>
        </w:sectPr>
      </w:pPr>
    </w:p>
    <w:p>
      <w:pPr>
        <w:ind w:right="320"/>
        <w:spacing w:after="0" w:line="264" w:lineRule="auto"/>
        <w:rPr>
          <w:sz w:val="20"/>
          <w:szCs w:val="20"/>
          <w:color w:val="auto"/>
        </w:rPr>
      </w:pPr>
      <w:r>
        <w:rPr>
          <w:rFonts w:ascii="Arial" w:cs="Arial" w:eastAsia="Arial" w:hAnsi="Arial"/>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and affixed my official seal in said County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Jill L. Henson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84" w:right="279" w:bottom="328"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CERTIFICATE OF SECOND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March 3, 1986: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have hereunto set my hand and affixed the corporate seal of said corporation effective as of the 3rd day of March, 1986.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CERTIFICATE THIRD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November 24, 1986: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November, 1986.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FOURTH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28, 1987: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September, 1987.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FIFTH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March 28, 1988: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ectPr>
          <w:pgSz w:w="11900" w:h="16838" w:orient="portrait"/>
          <w:cols w:equalWidth="0" w:num="1">
            <w:col w:w="11420"/>
          </w:cols>
          <w:pgMar w:left="240" w:top="341" w:right="239" w:bottom="0" w:gutter="0" w:footer="0" w:header="0"/>
        </w:sectPr>
      </w:pPr>
    </w:p>
    <w:bookmarkStart w:id="27" w:name="page28"/>
    <w:bookmarkEnd w:id="27"/>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March, 1988.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SIXTH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3, 1988: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17th day of October, 1988.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25, 1989: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September, 1989.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EIGHTH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30, 1989: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October, 1989.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420"/>
          </w:cols>
          <w:pgMar w:left="240" w:top="341"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NINTH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August 27, 1990: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August, 1990.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TENTH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24, 1990: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September, 1990.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ELEVENTH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July 27, 1992: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July, 1992.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13"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CERTIFICATE OF TWELFTH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May 23, 1994: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I. The authorized number of directors of the Corporation shall be ten.</w:t>
      </w:r>
    </w:p>
    <w:p>
      <w:pPr>
        <w:spacing w:after="0" w:line="225" w:lineRule="exact"/>
        <w:rPr>
          <w:sz w:val="20"/>
          <w:szCs w:val="20"/>
          <w:color w:val="auto"/>
        </w:rPr>
      </w:pPr>
    </w:p>
    <w:p>
      <w:pPr>
        <w:ind w:left="660" w:right="220" w:firstLine="648"/>
        <w:spacing w:after="0" w:line="277" w:lineRule="auto"/>
        <w:rPr>
          <w:sz w:val="20"/>
          <w:szCs w:val="20"/>
          <w:color w:val="auto"/>
        </w:rPr>
      </w:pPr>
      <w:r>
        <w:rPr>
          <w:rFonts w:ascii="Arial" w:cs="Arial" w:eastAsia="Arial" w:hAnsi="Arial"/>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23rd day of May, 1994.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THIRTEENTH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1, 1994: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1st day of September, 1994.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FOURTEENTH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27, 1994:</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October, 1994.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CERTIFICATE OF FIFTEENTH</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MICRON TECHNOLOGY, INC.</w:t>
      </w:r>
    </w:p>
    <w:p>
      <w:pPr>
        <w:sectPr>
          <w:pgSz w:w="11900" w:h="16838" w:orient="portrait"/>
          <w:cols w:equalWidth="0" w:num="1">
            <w:col w:w="11320"/>
          </w:cols>
          <w:pgMar w:left="240" w:top="584" w:right="339" w:bottom="0" w:gutter="0" w:footer="0" w:header="0"/>
        </w:sectPr>
      </w:pPr>
    </w:p>
    <w:bookmarkStart w:id="30" w:name="page31"/>
    <w:bookmarkEnd w:id="30"/>
    <w:p>
      <w:pPr>
        <w:spacing w:after="0" w:line="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 was adopted by the Board of Directors on February 5, 1996:</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RESOLVED, that pursuant to Article VIII, Section 1 of the Company s Bylaws, the Board hereby amends Article V, Section 1 of the Bylaws to read in its entirety as follows:</w:t>
      </w:r>
    </w:p>
    <w:p>
      <w:pPr>
        <w:spacing w:after="0" w:line="170" w:lineRule="exact"/>
        <w:rPr>
          <w:sz w:val="20"/>
          <w:szCs w:val="20"/>
          <w:color w:val="auto"/>
        </w:rPr>
      </w:pPr>
    </w:p>
    <w:p>
      <w:pPr>
        <w:jc w:val="both"/>
        <w:ind w:right="480" w:firstLine="648"/>
        <w:spacing w:after="0" w:line="312" w:lineRule="auto"/>
        <w:rPr>
          <w:sz w:val="20"/>
          <w:szCs w:val="20"/>
          <w:color w:val="auto"/>
        </w:rPr>
      </w:pPr>
      <w:r>
        <w:rPr>
          <w:rFonts w:ascii="Arial" w:cs="Arial" w:eastAsia="Arial" w:hAnsi="Arial"/>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Jan R. Reimer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SIXTEENTH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September 30, 1996: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that Article II, Section 10 of the Bylaws of this Company be amended to read as follows: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RESOLVED FURTHER, that Article II of the Bylaws of this Company be amended to add Section 12, which will read in its entirety as follows:</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12. Advance Notice of Stockholder Nominees and Stockholder Business</w:t>
      </w:r>
    </w:p>
    <w:p>
      <w:pPr>
        <w:spacing w:after="0" w:line="225" w:lineRule="exact"/>
        <w:rPr>
          <w:sz w:val="20"/>
          <w:szCs w:val="20"/>
          <w:color w:val="auto"/>
        </w:rPr>
      </w:pPr>
    </w:p>
    <w:p>
      <w:pPr>
        <w:ind w:left="780" w:right="100" w:firstLine="6"/>
        <w:spacing w:after="0" w:line="312" w:lineRule="auto"/>
        <w:tabs>
          <w:tab w:leader="none" w:pos="107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46" w:lineRule="exact"/>
        <w:rPr>
          <w:rFonts w:ascii="Arial" w:cs="Arial" w:eastAsia="Arial" w:hAnsi="Arial"/>
          <w:sz w:val="16"/>
          <w:szCs w:val="16"/>
          <w:color w:val="auto"/>
        </w:rPr>
      </w:pPr>
    </w:p>
    <w:p>
      <w:pPr>
        <w:ind w:left="780" w:firstLine="6"/>
        <w:spacing w:after="0" w:line="285"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780" w:right="40" w:firstLine="6"/>
        <w:spacing w:after="0" w:line="293" w:lineRule="auto"/>
        <w:tabs>
          <w:tab w:leader="none" w:pos="1115" w:val="left"/>
        </w:tabs>
        <w:numPr>
          <w:ilvl w:val="0"/>
          <w:numId w:val="8"/>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-1216660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40" w:orient="portrait"/>
          <w:cols w:equalWidth="0" w:num="1">
            <w:col w:w="11420"/>
          </w:cols>
          <w:pgMar w:left="240" w:top="341" w:right="239" w:bottom="0" w:gutter="0" w:footer="0" w:header="0"/>
        </w:sectPr>
      </w:pPr>
    </w:p>
    <w:bookmarkStart w:id="31" w:name="page32"/>
    <w:bookmarkEnd w:id="31"/>
    <w:p>
      <w:pPr>
        <w:ind w:left="780"/>
        <w:spacing w:after="0"/>
        <w:rPr>
          <w:sz w:val="20"/>
          <w:szCs w:val="20"/>
          <w:color w:val="auto"/>
        </w:rPr>
      </w:pPr>
      <w:r>
        <w:rPr>
          <w:rFonts w:ascii="Arial" w:cs="Arial" w:eastAsia="Arial" w:hAnsi="Arial"/>
          <w:sz w:val="16"/>
          <w:szCs w:val="16"/>
          <w:color w:val="auto"/>
        </w:rPr>
        <w:t>director: (A) the name, age, business address and residence address of such person, (B) the principal occupation or employment of such person,</w:t>
      </w:r>
    </w:p>
    <w:p>
      <w:pPr>
        <w:spacing w:after="0" w:line="46" w:lineRule="exact"/>
        <w:rPr>
          <w:sz w:val="20"/>
          <w:szCs w:val="20"/>
          <w:color w:val="auto"/>
        </w:rPr>
      </w:pPr>
    </w:p>
    <w:p>
      <w:pPr>
        <w:ind w:left="780" w:right="20" w:firstLine="6"/>
        <w:spacing w:after="0" w:line="286" w:lineRule="auto"/>
        <w:tabs>
          <w:tab w:leader="none" w:pos="106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FURTHER, that Article III, Section 1 of the Bylaws of this Company be amended to read as follows:</w:t>
      </w:r>
    </w:p>
    <w:p>
      <w:pPr>
        <w:spacing w:after="0" w:line="225"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September, 1996.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SEVENTEENTH AMENDMENT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June 30, 1997: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EIGHTEENTH AMENDMENT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April 14, 1998:</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ind w:left="660" w:right="60" w:firstLine="64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20th day of July, 1998.</w:t>
      </w:r>
    </w:p>
    <w:p>
      <w:pPr>
        <w:spacing w:after="0" w:line="24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518" w:gutter="0" w:footer="0" w:header="0"/>
        </w:sectPr>
      </w:pPr>
    </w:p>
    <w:bookmarkStart w:id="32" w:name="page33"/>
    <w:bookmarkEnd w:id="32"/>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NINETEENTH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November 23, 1998:</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ind w:left="660" w:right="60" w:firstLine="64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1998.</w:t>
      </w:r>
    </w:p>
    <w:p>
      <w:pPr>
        <w:spacing w:after="0" w:line="25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TWENTIETH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June 16, 1999:</w:t>
      </w:r>
    </w:p>
    <w:p>
      <w:pPr>
        <w:spacing w:after="0" w:line="166" w:lineRule="exact"/>
        <w:rPr>
          <w:sz w:val="20"/>
          <w:szCs w:val="20"/>
          <w:color w:val="auto"/>
        </w:rPr>
      </w:pPr>
    </w:p>
    <w:p>
      <w:pPr>
        <w:ind w:left="660" w:right="20" w:firstLine="648"/>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Article VIII, Section 1 of the Company’s Bylaws, the Board hereby amends Article III, Sections 14 and 15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Bylaws to read in their entirety as follows:</w:t>
      </w:r>
    </w:p>
    <w:p>
      <w:pPr>
        <w:spacing w:after="0" w:line="166" w:lineRule="exact"/>
        <w:rPr>
          <w:sz w:val="20"/>
          <w:szCs w:val="20"/>
          <w:color w:val="auto"/>
        </w:rPr>
      </w:pPr>
    </w:p>
    <w:p>
      <w:pPr>
        <w:ind w:left="660" w:right="20" w:firstLine="648"/>
        <w:spacing w:after="0" w:line="270" w:lineRule="auto"/>
        <w:rPr>
          <w:sz w:val="20"/>
          <w:szCs w:val="20"/>
          <w:color w:val="auto"/>
        </w:rPr>
      </w:pPr>
      <w:r>
        <w:rPr>
          <w:rFonts w:ascii="Arial" w:cs="Arial" w:eastAsia="Arial" w:hAnsi="Arial"/>
          <w:sz w:val="17"/>
          <w:szCs w:val="17"/>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78" w:lineRule="exact"/>
        <w:rPr>
          <w:sz w:val="20"/>
          <w:szCs w:val="20"/>
          <w:color w:val="auto"/>
        </w:rPr>
      </w:pPr>
    </w:p>
    <w:p>
      <w:pPr>
        <w:ind w:left="660" w:right="40" w:firstLine="648"/>
        <w:spacing w:after="0" w:line="257" w:lineRule="auto"/>
        <w:rPr>
          <w:sz w:val="20"/>
          <w:szCs w:val="20"/>
          <w:color w:val="auto"/>
        </w:rPr>
      </w:pPr>
      <w:r>
        <w:rPr>
          <w:rFonts w:ascii="Arial" w:cs="Arial" w:eastAsia="Arial" w:hAnsi="Arial"/>
          <w:sz w:val="18"/>
          <w:szCs w:val="18"/>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184" w:lineRule="exact"/>
        <w:rPr>
          <w:sz w:val="20"/>
          <w:szCs w:val="20"/>
          <w:color w:val="auto"/>
        </w:rPr>
      </w:pPr>
    </w:p>
    <w:p>
      <w:pPr>
        <w:ind w:left="660" w:right="660" w:firstLine="648"/>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and all actions taken prior to the adoption of the foregoing resolution by the “Employee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are hereby ratified, confirmed, approved and adopted as actions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16th day of June, 1999.</w:t>
      </w:r>
    </w:p>
    <w:p>
      <w:pPr>
        <w:spacing w:after="0" w:line="24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TWENTY-FIRST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November 23, 1999:</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pursuant to Article VIII, Section 1 of the Company’s Bylaws, the Board hereby amends Article III, Section 1 of the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Bylaws to read in its entirety as follows:</w:t>
      </w:r>
    </w:p>
    <w:p>
      <w:pPr>
        <w:spacing w:after="0" w:line="211" w:lineRule="exact"/>
        <w:rPr>
          <w:sz w:val="20"/>
          <w:szCs w:val="20"/>
          <w:color w:val="auto"/>
        </w:rPr>
      </w:pPr>
    </w:p>
    <w:p>
      <w:pPr>
        <w:ind w:left="660" w:firstLine="64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ectPr>
          <w:pgSz w:w="11900" w:h="16850" w:orient="portrait"/>
          <w:cols w:equalWidth="0" w:num="1">
            <w:col w:w="11420"/>
          </w:cols>
          <w:pgMar w:left="240" w:top="121" w:right="239" w:bottom="0" w:gutter="0" w:footer="0" w:header="0"/>
        </w:sectPr>
      </w:pPr>
    </w:p>
    <w:bookmarkStart w:id="33" w:name="page34"/>
    <w:bookmarkEnd w:id="33"/>
    <w:p>
      <w:pPr>
        <w:ind w:left="1300"/>
        <w:spacing w:after="0"/>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Board hereby amends Article II, Section 12 of the Company’s Bylaws to read in its entirely as follows: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12. Advance Notice of Stockholder Nominees and Stockholder Business</w:t>
      </w:r>
    </w:p>
    <w:p>
      <w:pPr>
        <w:spacing w:after="0" w:line="225" w:lineRule="exact"/>
        <w:rPr>
          <w:sz w:val="20"/>
          <w:szCs w:val="20"/>
          <w:color w:val="auto"/>
        </w:rPr>
      </w:pPr>
    </w:p>
    <w:p>
      <w:pPr>
        <w:ind w:left="660" w:firstLine="645"/>
        <w:spacing w:after="0" w:line="312" w:lineRule="auto"/>
        <w:tabs>
          <w:tab w:leader="none" w:pos="192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46" w:lineRule="exact"/>
        <w:rPr>
          <w:rFonts w:ascii="Arial" w:cs="Arial" w:eastAsia="Arial" w:hAnsi="Arial"/>
          <w:sz w:val="16"/>
          <w:szCs w:val="16"/>
          <w:color w:val="auto"/>
        </w:rPr>
      </w:pPr>
    </w:p>
    <w:p>
      <w:pPr>
        <w:ind w:left="660" w:firstLine="645"/>
        <w:spacing w:after="0" w:line="285" w:lineRule="auto"/>
        <w:tabs>
          <w:tab w:leader="none" w:pos="19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ind w:left="660" w:firstLine="645"/>
        <w:spacing w:after="0" w:line="285" w:lineRule="auto"/>
        <w:tabs>
          <w:tab w:leader="none" w:pos="1929"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-2710815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1999.</w:t>
      </w:r>
    </w:p>
    <w:p>
      <w:pPr>
        <w:spacing w:after="0" w:line="25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TWENTY-SECOND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Bylaws of the Company have been amended by the Board from time to time as it has deemed advisable, necessary or convenient;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Company’s Bylaws indicate that the President of the Company will participate as an ex officio member of all board committees;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such provisions may be inconsistent with provisions of the Sarbanes-Oxley Act of 2002 (“SOXA”) requiring that certain Board</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consist solely of independent directors; and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determined that it is in the best interests of the Company to amend the foregoing Bylaws to comply with SOXA;</w:t>
      </w:r>
    </w:p>
    <w:p>
      <w:pPr>
        <w:sectPr>
          <w:pgSz w:w="11900" w:h="16838" w:orient="portrait"/>
          <w:cols w:equalWidth="0" w:num="1">
            <w:col w:w="11400"/>
          </w:cols>
          <w:pgMar w:left="240" w:top="337" w:right="259" w:bottom="0" w:gutter="0" w:footer="0" w:header="0"/>
        </w:sectPr>
      </w:pPr>
    </w:p>
    <w:bookmarkStart w:id="34" w:name="page35"/>
    <w:bookmarkEnd w:id="34"/>
    <w:p>
      <w:pPr>
        <w:ind w:left="66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Article V, Section 7 of the Bylaws of the Company be, and the same hereby is, amended to read 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189"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including the Secretary and Assistant Secretary, be, and each of them hereby is,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September, 2002.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vMerge w:val="restart"/>
          </w:tcPr>
          <w:p>
            <w:pPr>
              <w:ind w:left="760"/>
              <w:spacing w:after="0"/>
              <w:rPr>
                <w:sz w:val="20"/>
                <w:szCs w:val="20"/>
                <w:color w:val="auto"/>
              </w:rPr>
            </w:pPr>
            <w:r>
              <w:rPr>
                <w:rFonts w:ascii="Arial" w:cs="Arial" w:eastAsia="Arial" w:hAnsi="Arial"/>
                <w:sz w:val="18"/>
                <w:szCs w:val="18"/>
                <w:color w:val="auto"/>
              </w:rPr>
              <w:t>(SEAL)</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1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6120" w:type="dxa"/>
            <w:vAlign w:val="bottom"/>
            <w:tcBorders>
              <w:bottom w:val="single" w:sz="8" w:color="808080"/>
            </w:tcBorders>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TWENTY-THIRD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April 22, 2003:</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directors desire to reduce the number of directors permitted to serve on the Board of the Directors to six;</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III, Section I of the Bylaws of this Company be amended to read in its entirety as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220" w:firstLine="64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April, 2003.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vMerge w:val="restart"/>
          </w:tcPr>
          <w:p>
            <w:pPr>
              <w:ind w:left="760"/>
              <w:spacing w:after="0"/>
              <w:rPr>
                <w:sz w:val="20"/>
                <w:szCs w:val="20"/>
                <w:color w:val="auto"/>
              </w:rPr>
            </w:pPr>
            <w:r>
              <w:rPr>
                <w:rFonts w:ascii="Arial" w:cs="Arial" w:eastAsia="Arial" w:hAnsi="Arial"/>
                <w:sz w:val="18"/>
                <w:szCs w:val="18"/>
                <w:color w:val="auto"/>
              </w:rPr>
              <w:t>(SEAL)</w:t>
            </w:r>
          </w:p>
        </w:tc>
        <w:tc>
          <w:tcPr>
            <w:tcW w:w="2800" w:type="dxa"/>
            <w:vAlign w:val="bottom"/>
            <w:vMerge w:val="restart"/>
          </w:tcPr>
          <w:p>
            <w:pPr>
              <w:ind w:left="2000"/>
              <w:spacing w:after="0"/>
              <w:rPr>
                <w:sz w:val="20"/>
                <w:szCs w:val="20"/>
                <w:color w:val="auto"/>
              </w:rPr>
            </w:pPr>
            <w:r>
              <w:rPr>
                <w:rFonts w:ascii="Arial" w:cs="Arial" w:eastAsia="Arial" w:hAnsi="Arial"/>
                <w:sz w:val="18"/>
                <w:szCs w:val="18"/>
                <w:color w:val="auto"/>
              </w:rPr>
              <w:t>Assistant</w:t>
            </w: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 Reimer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2800" w:type="dxa"/>
            <w:vAlign w:val="bottom"/>
            <w:vMerge w:val="continue"/>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Corporate Secretary</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33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TWENTY-FOURTH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June 22, 2004:</w:t>
      </w:r>
    </w:p>
    <w:p>
      <w:pPr>
        <w:spacing w:after="0" w:line="166" w:lineRule="exact"/>
        <w:rPr>
          <w:sz w:val="20"/>
          <w:szCs w:val="20"/>
          <w:color w:val="auto"/>
        </w:rPr>
      </w:pPr>
    </w:p>
    <w:p>
      <w:pPr>
        <w:ind w:left="660" w:right="1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 Mr.</w:t>
      </w:r>
      <w:r>
        <w:rPr>
          <w:rFonts w:ascii="Arial" w:cs="Arial" w:eastAsia="Arial" w:hAnsi="Arial"/>
          <w:sz w:val="18"/>
          <w:szCs w:val="18"/>
          <w:b w:val="1"/>
          <w:bCs w:val="1"/>
          <w:color w:val="auto"/>
        </w:rPr>
        <w:t xml:space="preserve"> </w:t>
      </w:r>
      <w:r>
        <w:rPr>
          <w:rFonts w:ascii="Arial" w:cs="Arial" w:eastAsia="Arial" w:hAnsi="Arial"/>
          <w:sz w:val="18"/>
          <w:szCs w:val="18"/>
          <w:color w:val="auto"/>
        </w:rPr>
        <w:t>Ronald C. Foster sit as a member of the Company’s Board of Directors; 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220" w:firstLine="648"/>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 substituted therefore: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I. The authorized number of directors of the corporation shall be seven.”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22nd day of June, 2004.</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vMerge w:val="restart"/>
          </w:tcPr>
          <w:p>
            <w:pPr>
              <w:ind w:left="760"/>
              <w:spacing w:after="0"/>
              <w:rPr>
                <w:sz w:val="20"/>
                <w:szCs w:val="20"/>
                <w:color w:val="auto"/>
              </w:rPr>
            </w:pPr>
            <w:r>
              <w:rPr>
                <w:rFonts w:ascii="Arial" w:cs="Arial" w:eastAsia="Arial" w:hAnsi="Arial"/>
                <w:sz w:val="18"/>
                <w:szCs w:val="18"/>
                <w:color w:val="auto"/>
              </w:rPr>
              <w:t>(SEAL)</w:t>
            </w:r>
          </w:p>
        </w:tc>
        <w:tc>
          <w:tcPr>
            <w:tcW w:w="5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 R.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1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6120" w:type="dxa"/>
            <w:vAlign w:val="bottom"/>
            <w:tcBorders>
              <w:bottom w:val="single" w:sz="8" w:color="808080"/>
            </w:tcBorders>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81"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t>CERTIFICATE OF TWENTY-FIFTH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66" w:lineRule="exact"/>
        <w:rPr>
          <w:sz w:val="20"/>
          <w:szCs w:val="20"/>
          <w:color w:val="auto"/>
        </w:rPr>
      </w:pPr>
    </w:p>
    <w:p>
      <w:pPr>
        <w:ind w:left="660" w:right="1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 Ms.</w:t>
      </w:r>
      <w:r>
        <w:rPr>
          <w:rFonts w:ascii="Arial" w:cs="Arial" w:eastAsia="Arial" w:hAnsi="Arial"/>
          <w:sz w:val="18"/>
          <w:szCs w:val="18"/>
          <w:b w:val="1"/>
          <w:bCs w:val="1"/>
          <w:color w:val="auto"/>
        </w:rPr>
        <w:t xml:space="preserve"> </w:t>
      </w:r>
      <w:r>
        <w:rPr>
          <w:rFonts w:ascii="Arial" w:cs="Arial" w:eastAsia="Arial" w:hAnsi="Arial"/>
          <w:sz w:val="18"/>
          <w:szCs w:val="18"/>
          <w:color w:val="auto"/>
        </w:rPr>
        <w:t>Mercedes Johnson sit as a member of the Company’s Board of Directors; 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220" w:firstLine="648"/>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 substituted therefore: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I. The authorized number of directors of the corporation shall be eight.”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27th day of June, 2005.</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vMerge w:val="restart"/>
          </w:tcPr>
          <w:p>
            <w:pPr>
              <w:ind w:left="760"/>
              <w:spacing w:after="0"/>
              <w:rPr>
                <w:sz w:val="20"/>
                <w:szCs w:val="20"/>
                <w:color w:val="auto"/>
              </w:rPr>
            </w:pPr>
            <w:r>
              <w:rPr>
                <w:rFonts w:ascii="Arial" w:cs="Arial" w:eastAsia="Arial" w:hAnsi="Arial"/>
                <w:sz w:val="18"/>
                <w:szCs w:val="18"/>
                <w:color w:val="auto"/>
              </w:rPr>
              <w:t>(SEAL)</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1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6120" w:type="dxa"/>
            <w:vAlign w:val="bottom"/>
            <w:tcBorders>
              <w:bottom w:val="single" w:sz="8" w:color="808080"/>
            </w:tcBorders>
          </w:tcPr>
          <w:p>
            <w:pPr>
              <w:spacing w:after="0"/>
              <w:rPr>
                <w:sz w:val="24"/>
                <w:szCs w:val="24"/>
                <w:color w:val="auto"/>
              </w:rPr>
            </w:pPr>
          </w:p>
        </w:tc>
        <w:tc>
          <w:tcPr>
            <w:tcW w:w="5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6" w:name="page37"/>
    <w:bookmarkEnd w:id="36"/>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20" w:hanging="332"/>
        <w:spacing w:after="0" w:line="277" w:lineRule="auto"/>
        <w:tabs>
          <w:tab w:leader="none" w:pos="3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July 6, 2005</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178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178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80" w:type="dxa"/>
            <w:vAlign w:val="bottom"/>
          </w:tcPr>
          <w:p>
            <w:pPr>
              <w:spacing w:after="0"/>
              <w:rPr>
                <w:sz w:val="20"/>
                <w:szCs w:val="20"/>
                <w:color w:val="auto"/>
              </w:rPr>
            </w:pPr>
          </w:p>
        </w:tc>
      </w:tr>
      <w:tr>
        <w:trPr>
          <w:trHeight w:val="321"/>
        </w:trPr>
        <w:tc>
          <w:tcPr>
            <w:tcW w:w="572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7" w:name="page38"/>
    <w:bookmarkEnd w:id="37"/>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Micron Technology, Inc.;</w:t>
      </w:r>
    </w:p>
    <w:p>
      <w:pPr>
        <w:spacing w:after="0" w:line="225" w:lineRule="exact"/>
        <w:rPr>
          <w:sz w:val="20"/>
          <w:szCs w:val="20"/>
          <w:color w:val="auto"/>
        </w:rPr>
      </w:pPr>
    </w:p>
    <w:p>
      <w:pPr>
        <w:ind w:left="340" w:right="140" w:hanging="332"/>
        <w:spacing w:after="0" w:line="342" w:lineRule="auto"/>
        <w:tabs>
          <w:tab w:leader="none" w:pos="353"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20" w:hanging="332"/>
        <w:spacing w:after="0" w:line="277" w:lineRule="auto"/>
        <w:tabs>
          <w:tab w:leader="none" w:pos="3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July 6, 2005</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178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178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80" w:type="dxa"/>
            <w:vAlign w:val="bottom"/>
          </w:tcPr>
          <w:p>
            <w:pPr>
              <w:spacing w:after="0"/>
              <w:rPr>
                <w:sz w:val="20"/>
                <w:szCs w:val="20"/>
                <w:color w:val="auto"/>
              </w:rPr>
            </w:pPr>
          </w:p>
        </w:tc>
      </w:tr>
      <w:tr>
        <w:trPr>
          <w:trHeight w:val="321"/>
        </w:trPr>
        <w:tc>
          <w:tcPr>
            <w:tcW w:w="572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8" w:name="page39"/>
    <w:bookmarkEnd w:id="38"/>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June 2, 2005,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July 6, 2005</w:t>
            </w:r>
          </w:p>
        </w:tc>
        <w:tc>
          <w:tcPr>
            <w:tcW w:w="2820" w:type="dxa"/>
            <w:vAlign w:val="bottom"/>
          </w:tcPr>
          <w:p>
            <w:pPr>
              <w:ind w:left="230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130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130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7"/>
              </w:rPr>
              <w:t>Chairman of the Board, Chief Executive Officer</w:t>
            </w:r>
          </w:p>
        </w:tc>
        <w:tc>
          <w:tcPr>
            <w:tcW w:w="130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and President</w:t>
            </w:r>
          </w:p>
        </w:tc>
        <w:tc>
          <w:tcPr>
            <w:tcW w:w="1300" w:type="dxa"/>
            <w:vAlign w:val="bottom"/>
          </w:tcPr>
          <w:p>
            <w:pPr>
              <w:spacing w:after="0"/>
              <w:rPr>
                <w:sz w:val="20"/>
                <w:szCs w:val="20"/>
                <w:color w:val="auto"/>
              </w:rPr>
            </w:pPr>
          </w:p>
        </w:tc>
      </w:tr>
      <w:tr>
        <w:trPr>
          <w:trHeight w:val="321"/>
        </w:trPr>
        <w:tc>
          <w:tcPr>
            <w:tcW w:w="364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9" w:name="page40"/>
    <w:bookmarkEnd w:id="39"/>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 for the period ended June 2, 2005,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July 6, 2005</w:t>
            </w:r>
          </w:p>
        </w:tc>
        <w:tc>
          <w:tcPr>
            <w:tcW w:w="2820" w:type="dxa"/>
            <w:vAlign w:val="bottom"/>
          </w:tcPr>
          <w:p>
            <w:pPr>
              <w:ind w:left="230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130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130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130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00" w:type="dxa"/>
            <w:vAlign w:val="bottom"/>
          </w:tcPr>
          <w:p>
            <w:pPr>
              <w:spacing w:after="0"/>
              <w:rPr>
                <w:sz w:val="20"/>
                <w:szCs w:val="20"/>
                <w:color w:val="auto"/>
              </w:rPr>
            </w:pPr>
          </w:p>
        </w:tc>
      </w:tr>
      <w:tr>
        <w:trPr>
          <w:trHeight w:val="321"/>
        </w:trPr>
        <w:tc>
          <w:tcPr>
            <w:tcW w:w="364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upperLetter"/>
      <w:start w:val="3"/>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2019-12-12T10:56:20Z</dcterms:created>
  <dcterms:modified xsi:type="dcterms:W3CDTF">2019-12-12T10:56:20Z</dcterms:modified>
</cp:coreProperties>
</file>