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FORM 10-K/A</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(Mark One)</w:t>
      </w:r>
    </w:p>
    <w:p>
      <w:pPr>
        <w:ind w:left="640" w:hanging="527"/>
        <w:spacing w:after="0" w:line="91" w:lineRule="auto"/>
        <w:tabs>
          <w:tab w:leader="none" w:pos="640" w:val="left"/>
        </w:tabs>
        <w:numPr>
          <w:ilvl w:val="0"/>
          <w:numId w:val="1"/>
        </w:numPr>
        <w:rPr>
          <w:rFonts w:ascii="Courier New" w:cs="Courier New" w:eastAsia="Courier New" w:hAnsi="Courier New"/>
          <w:sz w:val="1"/>
          <w:szCs w:val="1"/>
          <w:color w:val="auto"/>
        </w:rPr>
      </w:pPr>
      <w:r>
        <w:rPr>
          <w:rFonts w:ascii="Courier New" w:cs="Courier New" w:eastAsia="Courier New" w:hAnsi="Courier New"/>
          <w:sz w:val="1"/>
          <w:szCs w:val="1"/>
          <w:color w:val="auto"/>
        </w:rPr>
        <w:t>ANNUAL REPORT PURSUANT TO SECTION 13 OR 15(d) OF THE SECURITIES EXCHANGE</w:t>
      </w:r>
    </w:p>
    <w:p>
      <w:pPr>
        <w:spacing w:after="0" w:line="197" w:lineRule="exact"/>
        <w:rPr>
          <w:sz w:val="24"/>
          <w:szCs w:val="24"/>
          <w:color w:val="auto"/>
        </w:rPr>
      </w:pPr>
    </w:p>
    <w:p>
      <w:pPr>
        <w:ind w:left="1160"/>
        <w:spacing w:after="0"/>
        <w:tabs>
          <w:tab w:leader="none" w:pos="2620" w:val="left"/>
        </w:tabs>
        <w:rPr>
          <w:sz w:val="20"/>
          <w:szCs w:val="20"/>
          <w:color w:val="auto"/>
        </w:rPr>
      </w:pPr>
      <w:r>
        <w:rPr>
          <w:rFonts w:ascii="Courier New" w:cs="Courier New" w:eastAsia="Courier New" w:hAnsi="Courier New"/>
          <w:sz w:val="18"/>
          <w:szCs w:val="18"/>
          <w:color w:val="auto"/>
        </w:rPr>
        <w:t>ACT OF 1934</w:t>
      </w:r>
      <w:r>
        <w:rPr>
          <w:sz w:val="20"/>
          <w:szCs w:val="20"/>
          <w:color w:val="auto"/>
        </w:rPr>
        <w:tab/>
      </w:r>
      <w:r>
        <w:rPr>
          <w:rFonts w:ascii="Courier New" w:cs="Courier New" w:eastAsia="Courier New" w:hAnsi="Courier New"/>
          <w:sz w:val="16"/>
          <w:szCs w:val="16"/>
          <w:color w:val="auto"/>
        </w:rPr>
        <w:t>[FEE REQUIRED]</w:t>
      </w:r>
    </w:p>
    <w:p>
      <w:pPr>
        <w:sectPr>
          <w:pgSz w:w="11900" w:h="16838" w:orient="portrait"/>
          <w:cols w:equalWidth="0" w:num="1">
            <w:col w:w="10219"/>
          </w:cols>
          <w:pgMar w:left="240" w:top="244" w:right="1440" w:bottom="229" w:gutter="0" w:footer="0" w:header="0"/>
        </w:sectPr>
      </w:pPr>
    </w:p>
    <w:p>
      <w:pPr>
        <w:spacing w:after="0" w:line="20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For the fiscal year ended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August 31, 1995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740" w:space="0"/>
            <w:col w:w="7479"/>
          </w:cols>
          <w:pgMar w:left="240" w:top="244" w:right="1440" w:bottom="229" w:gutter="0" w:footer="0" w:header="0"/>
          <w:type w:val="continuous"/>
        </w:sectPr>
      </w:pPr>
    </w:p>
    <w:p>
      <w:pPr>
        <w:spacing w:after="0" w:line="18"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244" w:right="1440" w:bottom="229" w:gutter="0" w:footer="0" w:header="0"/>
          <w:type w:val="continuous"/>
        </w:sectPr>
      </w:pPr>
    </w:p>
    <w:p>
      <w:pPr>
        <w:spacing w:after="0" w:line="20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519" w:hanging="526"/>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 [NO FEE REQUIRED]</w:t>
      </w:r>
    </w:p>
    <w:p>
      <w:pPr>
        <w:spacing w:after="0" w:line="200" w:lineRule="exact"/>
        <w:rPr>
          <w:sz w:val="24"/>
          <w:szCs w:val="24"/>
          <w:color w:val="auto"/>
        </w:rPr>
      </w:pPr>
    </w:p>
    <w:p>
      <w:pPr>
        <w:sectPr>
          <w:pgSz w:w="11900" w:h="16838" w:orient="portrait"/>
          <w:cols w:equalWidth="0" w:num="2">
            <w:col w:w="440" w:space="720"/>
            <w:col w:w="9059"/>
          </w:cols>
          <w:pgMar w:left="240" w:top="244" w:right="1440" w:bottom="229" w:gutter="0" w:footer="0" w:header="0"/>
          <w:type w:val="continuous"/>
        </w:sectPr>
      </w:pPr>
    </w:p>
    <w:p>
      <w:pPr>
        <w:spacing w:after="0" w:line="8"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w:t>
      </w:r>
    </w:p>
    <w:p>
      <w:pPr>
        <w:spacing w:after="0" w:line="16" w:lineRule="exact"/>
        <w:rPr>
          <w:sz w:val="24"/>
          <w:szCs w:val="24"/>
          <w:color w:val="auto"/>
        </w:rPr>
      </w:pPr>
    </w:p>
    <w:p>
      <w:pPr>
        <w:sectPr>
          <w:pgSz w:w="11900" w:h="16838" w:orient="portrait"/>
          <w:cols w:equalWidth="0" w:num="2">
            <w:col w:w="4880" w:space="720"/>
            <w:col w:w="4619"/>
          </w:cols>
          <w:pgMar w:left="240" w:top="244" w:right="1440" w:bottom="229" w:gutter="0" w:footer="0" w:header="0"/>
          <w:type w:val="continuous"/>
        </w:sectPr>
      </w:pPr>
    </w:p>
    <w:p>
      <w:pPr>
        <w:spacing w:after="0" w:line="208"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840"/>
        <w:spacing w:after="0"/>
        <w:tabs>
          <w:tab w:leader="none" w:pos="33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1-10658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440" w:space="0"/>
            <w:col w:w="7779"/>
          </w:cols>
          <w:pgMar w:left="240" w:top="244" w:right="1440" w:bottom="229" w:gutter="0" w:footer="0" w:header="0"/>
          <w:type w:val="continuous"/>
        </w:sectPr>
      </w:pPr>
    </w:p>
    <w:p>
      <w:pPr>
        <w:spacing w:after="0" w:line="18"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Micron Technology, Inc.</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5260" w:type="dxa"/>
            <w:vAlign w:val="bottom"/>
          </w:tcPr>
          <w:p>
            <w:pPr>
              <w:ind w:left="1780"/>
              <w:spacing w:after="0"/>
              <w:rPr>
                <w:sz w:val="20"/>
                <w:szCs w:val="20"/>
                <w:color w:val="auto"/>
              </w:rPr>
            </w:pPr>
            <w:r>
              <w:rPr>
                <w:rFonts w:ascii="Courier New" w:cs="Courier New" w:eastAsia="Courier New" w:hAnsi="Courier New"/>
                <w:sz w:val="18"/>
                <w:szCs w:val="18"/>
                <w:color w:val="auto"/>
              </w:rPr>
              <w:t>Delaware</w:t>
            </w:r>
          </w:p>
        </w:tc>
        <w:tc>
          <w:tcPr>
            <w:tcW w:w="2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75-1618004</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5260" w:type="dxa"/>
            <w:vAlign w:val="bottom"/>
          </w:tcPr>
          <w:p>
            <w:pPr>
              <w:spacing w:after="0"/>
              <w:rPr>
                <w:sz w:val="20"/>
                <w:szCs w:val="20"/>
                <w:color w:val="auto"/>
              </w:rPr>
            </w:pPr>
            <w:r>
              <w:rPr>
                <w:rFonts w:ascii="Courier New" w:cs="Courier New" w:eastAsia="Courier New" w:hAnsi="Courier New"/>
                <w:sz w:val="18"/>
                <w:szCs w:val="18"/>
                <w:color w:val="auto"/>
              </w:rPr>
              <w:t>8000 S. Federal Way, P.O. Box 6, Boise, Idaho</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83707-0006</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5260" w:type="dxa"/>
            <w:vAlign w:val="bottom"/>
          </w:tcPr>
          <w:p>
            <w:pPr>
              <w:spacing w:after="0"/>
              <w:rPr>
                <w:sz w:val="20"/>
                <w:szCs w:val="20"/>
                <w:color w:val="auto"/>
              </w:rPr>
            </w:pPr>
            <w:r>
              <w:rPr>
                <w:rFonts w:ascii="Courier New" w:cs="Courier New" w:eastAsia="Courier New" w:hAnsi="Courier New"/>
                <w:sz w:val="18"/>
                <w:szCs w:val="18"/>
                <w:color w:val="auto"/>
                <w:w w:val="97"/>
              </w:rPr>
              <w:t>Registrant's telephone number, including area code</w:t>
            </w:r>
          </w:p>
        </w:tc>
        <w:tc>
          <w:tcPr>
            <w:tcW w:w="2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(208) 368-4000</w:t>
            </w:r>
          </w:p>
        </w:tc>
      </w:tr>
      <w:tr>
        <w:trPr>
          <w:trHeight w:val="203"/>
        </w:trPr>
        <w:tc>
          <w:tcPr>
            <w:tcW w:w="526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ind w:left="740"/>
        <w:spacing w:after="0"/>
        <w:tabs>
          <w:tab w:leader="none" w:pos="410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 registered</w:t>
      </w:r>
    </w:p>
    <w:p>
      <w:pPr>
        <w:spacing w:after="0"/>
        <w:tabs>
          <w:tab w:leader="none" w:pos="4840" w:val="left"/>
        </w:tabs>
        <w:rPr>
          <w:sz w:val="20"/>
          <w:szCs w:val="20"/>
          <w:color w:val="auto"/>
        </w:rPr>
      </w:pPr>
      <w:r>
        <w:rPr>
          <w:rFonts w:ascii="Courier New" w:cs="Courier New" w:eastAsia="Courier New" w:hAnsi="Courier New"/>
          <w:sz w:val="18"/>
          <w:szCs w:val="18"/>
          <w:color w:val="auto"/>
        </w:rPr>
        <w:t>Common Stock, par value $.10 per share</w:t>
      </w:r>
      <w:r>
        <w:rPr>
          <w:sz w:val="20"/>
          <w:szCs w:val="20"/>
          <w:color w:val="auto"/>
        </w:rPr>
        <w:tab/>
      </w:r>
      <w:r>
        <w:rPr>
          <w:rFonts w:ascii="Courier New" w:cs="Courier New" w:eastAsia="Courier New" w:hAnsi="Courier New"/>
          <w:sz w:val="16"/>
          <w:szCs w:val="16"/>
          <w:color w:val="auto"/>
        </w:rPr>
        <w:t>New York Stock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jc w:val="center"/>
        <w:ind w:right="1999"/>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209"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based upon the closing price of such stock on August 31, 1995, as reported by the New York Stock Exchange, was approximately $11.1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212" w:lineRule="exact"/>
        <w:rPr>
          <w:sz w:val="24"/>
          <w:szCs w:val="24"/>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on August 31, 1995 was 206,437,704.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4"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Portions of the Proxy Statement for registrant's 1995 Annual Meeting of Shareholders to be held on January 29, 1996, are incorporated by reference to Part III of this Annual Report on Form 10-K.</w:t>
      </w:r>
    </w:p>
    <w:p>
      <w:pPr>
        <w:sectPr>
          <w:pgSz w:w="11900" w:h="16838" w:orient="portrait"/>
          <w:cols w:equalWidth="0" w:num="1">
            <w:col w:w="10219"/>
          </w:cols>
          <w:pgMar w:left="240" w:top="244" w:right="1440" w:bottom="229"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Micron Technology, Inc. ("MTI") and its subsidiaries (hereinafter</w:t>
      </w:r>
    </w:p>
    <w:p>
      <w:pPr>
        <w:spacing w:after="0" w:line="238" w:lineRule="auto"/>
        <w:rPr>
          <w:sz w:val="20"/>
          <w:szCs w:val="20"/>
          <w:color w:val="auto"/>
        </w:rPr>
      </w:pPr>
      <w:r>
        <w:rPr>
          <w:rFonts w:ascii="Courier New" w:cs="Courier New" w:eastAsia="Courier New" w:hAnsi="Courier New"/>
          <w:sz w:val="18"/>
          <w:szCs w:val="18"/>
          <w:color w:val="auto"/>
        </w:rPr>
        <w:t>referred to collectively as "Micron" or the "Company") principally</w:t>
      </w:r>
    </w:p>
    <w:p>
      <w:pPr>
        <w:spacing w:after="0"/>
        <w:rPr>
          <w:sz w:val="20"/>
          <w:szCs w:val="20"/>
          <w:color w:val="auto"/>
        </w:rPr>
      </w:pPr>
      <w:r>
        <w:rPr>
          <w:rFonts w:ascii="Courier New" w:cs="Courier New" w:eastAsia="Courier New" w:hAnsi="Courier New"/>
          <w:sz w:val="18"/>
          <w:szCs w:val="18"/>
          <w:color w:val="auto"/>
        </w:rPr>
        <w:t>design, develop, manufacture, and market semiconductor memory products,</w:t>
      </w:r>
    </w:p>
    <w:p>
      <w:pPr>
        <w:spacing w:after="0" w:line="237" w:lineRule="auto"/>
        <w:rPr>
          <w:sz w:val="20"/>
          <w:szCs w:val="20"/>
          <w:color w:val="auto"/>
        </w:rPr>
      </w:pPr>
      <w:r>
        <w:rPr>
          <w:rFonts w:ascii="Courier New" w:cs="Courier New" w:eastAsia="Courier New" w:hAnsi="Courier New"/>
          <w:sz w:val="18"/>
          <w:szCs w:val="18"/>
          <w:color w:val="auto"/>
        </w:rPr>
        <w:t>personal computers ("PCs"), and custom complex printed circuit board</w:t>
      </w:r>
    </w:p>
    <w:p>
      <w:pPr>
        <w:spacing w:after="0"/>
        <w:tabs>
          <w:tab w:leader="none" w:pos="1360" w:val="left"/>
        </w:tabs>
        <w:rPr>
          <w:sz w:val="20"/>
          <w:szCs w:val="20"/>
          <w:color w:val="auto"/>
        </w:rPr>
      </w:pPr>
      <w:r>
        <w:rPr>
          <w:rFonts w:ascii="Courier New" w:cs="Courier New" w:eastAsia="Courier New" w:hAnsi="Courier New"/>
          <w:sz w:val="18"/>
          <w:szCs w:val="18"/>
          <w:color w:val="auto"/>
        </w:rPr>
        <w:t>assemblies.</w:t>
      </w:r>
      <w:r>
        <w:rPr>
          <w:sz w:val="20"/>
          <w:szCs w:val="20"/>
          <w:color w:val="auto"/>
        </w:rPr>
        <w:tab/>
      </w:r>
      <w:r>
        <w:rPr>
          <w:rFonts w:ascii="Courier New" w:cs="Courier New" w:eastAsia="Courier New" w:hAnsi="Courier New"/>
          <w:sz w:val="16"/>
          <w:szCs w:val="16"/>
          <w:color w:val="auto"/>
        </w:rPr>
        <w:t>During fiscal 1995, the Company consolidated the</w:t>
      </w:r>
    </w:p>
    <w:p>
      <w:pPr>
        <w:spacing w:after="0"/>
        <w:rPr>
          <w:sz w:val="20"/>
          <w:szCs w:val="20"/>
          <w:color w:val="auto"/>
        </w:rPr>
      </w:pPr>
      <w:r>
        <w:rPr>
          <w:rFonts w:ascii="Courier New" w:cs="Courier New" w:eastAsia="Courier New" w:hAnsi="Courier New"/>
          <w:sz w:val="18"/>
          <w:szCs w:val="18"/>
          <w:color w:val="auto"/>
        </w:rPr>
        <w:t>operations of Micron Semiconductor, Inc., and Micron Systems Integration,</w:t>
      </w:r>
    </w:p>
    <w:p>
      <w:pPr>
        <w:spacing w:after="0"/>
        <w:tabs>
          <w:tab w:leader="none" w:pos="1780" w:val="left"/>
        </w:tabs>
        <w:rPr>
          <w:sz w:val="20"/>
          <w:szCs w:val="20"/>
          <w:color w:val="auto"/>
        </w:rPr>
      </w:pPr>
      <w:r>
        <w:rPr>
          <w:rFonts w:ascii="Courier New" w:cs="Courier New" w:eastAsia="Courier New" w:hAnsi="Courier New"/>
          <w:sz w:val="18"/>
          <w:szCs w:val="18"/>
          <w:color w:val="auto"/>
        </w:rPr>
        <w:t>Inc., into MTI.</w:t>
      </w:r>
      <w:r>
        <w:rPr>
          <w:sz w:val="20"/>
          <w:szCs w:val="20"/>
          <w:color w:val="auto"/>
        </w:rPr>
        <w:tab/>
      </w:r>
      <w:r>
        <w:rPr>
          <w:rFonts w:ascii="Courier New" w:cs="Courier New" w:eastAsia="Courier New" w:hAnsi="Courier New"/>
          <w:sz w:val="16"/>
          <w:szCs w:val="16"/>
          <w:color w:val="auto"/>
        </w:rPr>
        <w:t>In addition, two other MTI subsidiaries, Micron</w:t>
      </w:r>
    </w:p>
    <w:p>
      <w:pPr>
        <w:spacing w:after="0"/>
        <w:rPr>
          <w:sz w:val="20"/>
          <w:szCs w:val="20"/>
          <w:color w:val="auto"/>
        </w:rPr>
      </w:pPr>
      <w:r>
        <w:rPr>
          <w:rFonts w:ascii="Courier New" w:cs="Courier New" w:eastAsia="Courier New" w:hAnsi="Courier New"/>
          <w:sz w:val="18"/>
          <w:szCs w:val="18"/>
          <w:color w:val="auto"/>
        </w:rPr>
        <w:t>Computer, Inc., and Micron Custom Manufacturing Services Inc., were</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merged on April 7, 1995, with and into ZEOS International, Ltd., a personal computer manufacturer. The newly merged company was renamed Micron Electronics, Inc. ("MEI"), and is a majority owned subsidiary of MTI.</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Micron's semiconductor operations focus on the design, manufacture, and marketing of semiconductor memory components primarily for use in computers. The Company's primary semiconductor products are Dynamic Random Access Memories ("DRAMs") and Static RAMs ("SRAMs"). The Company also manufactures and markets semiconductor testing equipment, including AMBYX(Registered Trademark) Intelligent Test and Burn-in systems, and high through-put device loading and unloading equipment. Micron Europe Limited and Micron Semiconductor Asia Pacific Pte., Ltd., wholly-owned subsidiaries of MTI, provide sales services in Europe and Asia</w:t>
      </w:r>
    </w:p>
    <w:p>
      <w:pPr>
        <w:spacing w:after="0" w:line="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Pacific. Additional MTI subsidiaries include Micron Communications, Inc., which designs and develops radio frequency identification systems; Micron Construction, Inc., which provides construction management and general contractor services for facility owners and developers; Micron Display Technology, Inc., which designs and develops new technologies relating to field emission flat panel displays; and Micron Quantum Devices, Inc., which designs and develops non-volatile semiconductor memory devices.</w:t>
      </w:r>
    </w:p>
    <w:p>
      <w:pPr>
        <w:spacing w:after="0" w:line="212" w:lineRule="exact"/>
        <w:rPr>
          <w:sz w:val="20"/>
          <w:szCs w:val="20"/>
          <w:color w:val="auto"/>
        </w:rPr>
      </w:pPr>
    </w:p>
    <w:p>
      <w:pPr>
        <w:ind w:right="2619" w:firstLine="527"/>
        <w:spacing w:after="0" w:line="271" w:lineRule="auto"/>
        <w:rPr>
          <w:sz w:val="20"/>
          <w:szCs w:val="20"/>
          <w:color w:val="auto"/>
        </w:rPr>
      </w:pPr>
      <w:r>
        <w:rPr>
          <w:rFonts w:ascii="Courier New" w:cs="Courier New" w:eastAsia="Courier New" w:hAnsi="Courier New"/>
          <w:sz w:val="16"/>
          <w:szCs w:val="16"/>
          <w:color w:val="auto"/>
        </w:rPr>
        <w:t>MEI's operations focus on the Company's PC, contract manufacturing, and component recovery operations. MEI's PC operations design, develop, market, manufacture, and support two brand names of PC systems and related hardware incorporating third party operating systems and application software. MEI's contract manufacturing operations provide a full range of turnkey manufacturing services, including the assembly and test of complex printed circuit boards and memory modules, design layout and product engineering, materials procurement, inventory management, quality assurance, and just-in-time delivery.</w:t>
      </w:r>
    </w:p>
    <w:p>
      <w:pPr>
        <w:spacing w:after="0" w:line="388" w:lineRule="exact"/>
        <w:rPr>
          <w:sz w:val="20"/>
          <w:szCs w:val="20"/>
          <w:color w:val="auto"/>
        </w:rPr>
      </w:pPr>
    </w:p>
    <w:p>
      <w:pPr>
        <w:ind w:right="2519" w:firstLine="527"/>
        <w:spacing w:after="0" w:line="275" w:lineRule="auto"/>
        <w:rPr>
          <w:sz w:val="20"/>
          <w:szCs w:val="20"/>
          <w:color w:val="auto"/>
        </w:rPr>
      </w:pPr>
      <w:r>
        <w:rPr>
          <w:rFonts w:ascii="Courier New" w:cs="Courier New" w:eastAsia="Courier New" w:hAnsi="Courier New"/>
          <w:sz w:val="16"/>
          <w:szCs w:val="16"/>
          <w:color w:val="auto"/>
        </w:rPr>
        <w:t>MTI was incorporated in Idaho in 1978 and reincorporated in Delaware in 1984. The Company's executive offices and principal manufacturing operations are located at 8000 South Federal Way, P.O. Box 6, Boise, Idaho, 83707-0006 and its telephone number is (208) 368-4000.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Company's principal product categories are semiconductor memory products, including DRAMs and SRAMs, PC systems, and contract manufactured board level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Company's semiconductor manufacturing operations focus primarily on the design, development, and manufacture of semiconductor memory products for standard and custom memory applications, with various packaging and configuration options, architectures, and performance characteristics.</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Dynamic Random Access Memory DRAMs are semiconductor devices which store digital information in the form of bits and provide high speed storage and retrieval of data. The Company is developing its 64 Meg DRAM and is in the design phase for its 256 Meg DRAM. DRAM sales represented approximately 68%, 73%, and 70% of the Company's total net sales in fiscal 1995, 1994, and 1993, respectively. Manufacture of</w:t>
      </w:r>
    </w:p>
    <w:p>
      <w:pPr>
        <w:spacing w:after="0" w:line="7"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Company's DRAM products utilizes proprietary advanced complimentary metal-oxide-semiconductor ("CMOS") silicon-gate process technology. DRAMs are the highest density, lowest cost per bit random access memory components available, and are the most widely used semiconductor memory components in most PC systems. Demand for the Company's products has recently benefited from strong market conditions for PC systems and increased utilization of more powerful</w:t>
      </w:r>
    </w:p>
    <w:p>
      <w:pPr>
        <w:sectPr>
          <w:pgSz w:w="11900" w:h="16838" w:orient="portrait"/>
          <w:cols w:equalWidth="0" w:num="1">
            <w:col w:w="10219"/>
          </w:cols>
          <w:pgMar w:left="240" w:top="339" w:right="1440" w:bottom="0" w:gutter="0" w:footer="0" w:header="0"/>
        </w:sectPr>
      </w:pPr>
    </w:p>
    <w:bookmarkStart w:id="2" w:name="page3"/>
    <w:bookmarkEnd w:id="2"/>
    <w:p>
      <w:pPr>
        <w:ind w:right="2839"/>
        <w:spacing w:after="0" w:line="272" w:lineRule="auto"/>
        <w:rPr>
          <w:sz w:val="20"/>
          <w:szCs w:val="20"/>
          <w:color w:val="auto"/>
        </w:rPr>
      </w:pPr>
      <w:r>
        <w:rPr>
          <w:rFonts w:ascii="Courier New" w:cs="Courier New" w:eastAsia="Courier New" w:hAnsi="Courier New"/>
          <w:sz w:val="16"/>
          <w:szCs w:val="16"/>
          <w:color w:val="auto"/>
        </w:rPr>
        <w:t>microprocessors, more memory-intensive software applications, and enhanced system architectures. The Company's primary product during fiscal 1995 was the 4 Meg DRAM which sells in multiple configurations, speeds, and package types. The Company is limiting its production of 16 Meg DRAMs in order to maximize production of the 4 Meg DRAM which currently is the Company's most profitable memory product.</w:t>
      </w:r>
    </w:p>
    <w:p>
      <w:pPr>
        <w:sectPr>
          <w:pgSz w:w="11900" w:h="16838" w:orient="portrait"/>
          <w:cols w:equalWidth="0" w:num="1">
            <w:col w:w="10219"/>
          </w:cols>
          <w:pgMar w:left="240" w:top="142" w:right="1440" w:bottom="1440" w:gutter="0" w:footer="0" w:header="0"/>
        </w:sectPr>
      </w:pPr>
    </w:p>
    <w:bookmarkStart w:id="3" w:name="page4"/>
    <w:bookmarkEnd w:id="3"/>
    <w:p>
      <w:pPr>
        <w:ind w:right="2519" w:firstLine="527"/>
        <w:spacing w:after="0" w:line="238" w:lineRule="auto"/>
        <w:rPr>
          <w:sz w:val="20"/>
          <w:szCs w:val="20"/>
          <w:color w:val="auto"/>
        </w:rPr>
      </w:pPr>
      <w:r>
        <w:rPr>
          <w:rFonts w:ascii="Courier New" w:cs="Courier New" w:eastAsia="Courier New" w:hAnsi="Courier New"/>
          <w:sz w:val="18"/>
          <w:szCs w:val="18"/>
          <w:color w:val="auto"/>
        </w:rPr>
        <w:t>The Company believes the market transition to the 16 Meg DRAM as the primary DRAM product will be largely driven by the timing of increases in demand for main memory in PC systems and by the increasing market availability of the 1 Meg x 16 configuration of the 16 Meg DRAM. Currently, most PC systems are sold with between 8 and 12 megabytes of main memory. Such system requirements can be satisfied with memory modules comprised of either 1 Meg x 4 (4 Meg) DRAMs or 1 Meg x 16 (16 Meg) DRAMs. The present limited market availability of the 1 Meg x 16 configuration of the 16 Meg DRAM has made the 1 Meg x 4 DRAM module a more cost-effective solution and has resulted in continued demand for the 4 Meg DRAM. When typical PC system requirements exceed 16 megabytes, memory modules can no longer cost-effectively incorporate 4 Meg DRAMs. Either increasing availability of the 1 Meg x 16 configuration of the 16 Meg DRAM or PC main memory requirements increasing to in excess of 16 megabytes will likely cause an industry transition to the 16 Meg DRAM as its primary product.</w:t>
      </w:r>
    </w:p>
    <w:p>
      <w:pPr>
        <w:spacing w:after="0" w:line="208"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Static Random Access Memory SRAMs are semiconductor devices which perform memory functions much the same as DRAMs; however, unlike DRAMs, SRAMs do not require their memory cells to be electronically refreshed which generally simplifies application system designs.</w:t>
      </w:r>
    </w:p>
    <w:p>
      <w:pPr>
        <w:spacing w:after="0" w:line="1"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SRAMs contain more complex electronic circuitry than DRAMs, and consequently have higher per bit production costs. The Company's SRAM family focuses on the high-performance, or "Very Fast", sector of the SRAM market which requires very high speed access to memory. Very Fast SRAMs provide access times approximately five times faster than that of DRAMs. The market for Very Fast SRAMs has grown with the number of applications that require a "buffer" or "cache" of high speed memory between the central processing unit and the main DRAM-based memory. The Company manufactures its current SRAM products utilizing CMOS silicon-gate process technology. The Company currently sells primarily synchronous 256K and 1 Meg SRAMs in a variety of configurations, speeds, and package types, and has 4 Meg and 16 Meg SRAMs under development. SRAM sales represented 6%, 8%, and 14% of the Company's total net sales in fiscal 1995, 1994, and 1993,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develops, markets, manufactures, and supports a broad line of memory intensive, high performance PC systems under the Micron and ZEOS brand names. The Company's PC product line includes: the Micron Millennia, targeted for high-end business users; the Micron PowerStation, targeted for general business users; the Micron Home</w:t>
      </w:r>
    </w:p>
    <w:p>
      <w:pPr>
        <w:spacing w:after="0" w:line="6"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MPC, targeted for home office and general consumers; the Micron PowerServer, a business network server; the ZEOS Pantera, targeted for mainstream business; and the ZEOS Meridian, a portable notebook.</w:t>
      </w:r>
    </w:p>
    <w:p>
      <w:pPr>
        <w:spacing w:after="0" w:line="209"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The Company continues to evaluate its product strategies to take advantage of both Micron and ZEOS brand names including coordination of marketing strategies, the sharing of research and development efforts, and the coordination and potential integration of overall product lines. While it is not yet known whether the Company will undertake any such potential actions, any such action would involve a number of significant risks, could result in the recognition of unanticipated expenses, and could otherwise have a material adverse effect on the Company's net sales.</w:t>
      </w:r>
    </w:p>
    <w:p>
      <w:pPr>
        <w:spacing w:after="0" w:line="186"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Revenue from the sale of PC systems, excluding the value of the Company's memory components contained therein, represented approximately 15%, 5%, and 2% of the Company's total net sales in fiscal 1995, 1994, and 1993, respectively.</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ZEOS(Registered Trademark) is a registered trademark and Micron(Trademark), Millennia(Trademark), PowerStation(Trademark), Home MPC(Trademark), PowerServer(Trademark), Pantera(Trademark), and Meridian(Trademark) are trademarks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contract manufacturing operations consist of assembling and testing complex printed circuit boards and memory modules and "box build" final product assembly services. In addition to assembly and test, the Company offers a full range of turnkey manufacturing services, including design lay-out and product engineering, materials procurement, inventory management, quality assurance, and just-in-time delivery.</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Revenue from contract manufacturing operations, excluding the value</w:t>
      </w:r>
    </w:p>
    <w:p>
      <w:pPr>
        <w:sectPr>
          <w:pgSz w:w="11900" w:h="16838" w:orient="portrait"/>
          <w:cols w:equalWidth="0" w:num="1">
            <w:col w:w="10219"/>
          </w:cols>
          <w:pgMar w:left="240" w:top="723" w:right="1440" w:bottom="0" w:gutter="0" w:footer="0" w:header="0"/>
        </w:sectPr>
      </w:pPr>
    </w:p>
    <w:bookmarkStart w:id="4" w:name="page5"/>
    <w:bookmarkEnd w:id="4"/>
    <w:p>
      <w:pPr>
        <w:ind w:right="2739"/>
        <w:spacing w:after="0" w:line="236" w:lineRule="auto"/>
        <w:rPr>
          <w:sz w:val="20"/>
          <w:szCs w:val="20"/>
          <w:color w:val="auto"/>
        </w:rPr>
      </w:pPr>
      <w:r>
        <w:rPr>
          <w:rFonts w:ascii="Courier New" w:cs="Courier New" w:eastAsia="Courier New" w:hAnsi="Courier New"/>
          <w:sz w:val="18"/>
          <w:szCs w:val="18"/>
          <w:color w:val="auto"/>
        </w:rPr>
        <w:t>of the Company's memory components contained therein, represented approximately 3%, 3%, and 2% of the Company's total net sales in fiscal 1995, 1994, and 1993, respectively.</w:t>
      </w:r>
    </w:p>
    <w:p>
      <w:pPr>
        <w:sectPr>
          <w:pgSz w:w="11900" w:h="16838" w:orient="portrait"/>
          <w:cols w:equalWidth="0" w:num="1">
            <w:col w:w="10219"/>
          </w:cols>
          <w:pgMar w:left="240"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Manufacturing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Semiconductor memory manufacturing cost per unit is primarily a function of die size (since the potential number of good die per wafer increases with reduced die size), number of mask layers, and the yield of acceptable die produced on each wafer. Other contributing factors are wafer size, number of fabrication steps, costs and sophistication of the manufacturing equipment, package type, equipment up time, process complexity, and cleanliness. The manufacture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The Company is engaged in ongoing efforts to enhance its production processes to reduce the die size of existing products and increase capacity utilization. Smaller die sizes and higher production yields generally reduce manufacturing cost per part.</w:t>
      </w:r>
    </w:p>
    <w:p>
      <w:pPr>
        <w:spacing w:after="0" w:line="194"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The Company's principal existing semiconductor manufacturing facility in Boise, Idaho, includes two wafer fabrication lines equipped with diffusion tubes, photolithography systems, ion implant equipment, chemical vapor deposition reactors, sputtering systems, plasma and wet etchers, and automated mask inspection systems. The production facility operates in 12-hour shifts, 24 hours per day, and 7 days per week to reduce down time during shift changes and to reduce fabrication costs further through maximum utilization of fabrication facilities. Wafer fabrication occurs in a highly controlled, clean environment to minimize dust and other yield- and quality-limiting contaminants. Notwithstanding the highly controlled manufacturing operations, equipment does not consistently perform flawlessly and minute impurities, defects in the photomasks, or other difficulties in the process may cause a substantial percentage of the wafers to be rejected or individual circuits to be nonfunctional. The success of</w:t>
      </w:r>
    </w:p>
    <w:p>
      <w:pPr>
        <w:spacing w:after="0" w:line="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Company's manufacturing operations will be largely dependent on its ability to minimize such impurities and to maximize its yield of acceptable, high-quality circuits. In this regard, the Company employs rigorous quality controls throughout the manufacturing, screening, and testing processes.</w:t>
      </w:r>
    </w:p>
    <w:p>
      <w:pPr>
        <w:spacing w:after="0" w:line="209"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After fabrication, each silicon wafer is separated into individual die. Functional die are connected to external leads by extremely fine wire and are assembled into plastic packages. Each completed package is then inspected, sealed, and tested. The assembly process uses high 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through the utilization of its proprietary AMBYX(Registered Trademark) line of intelligent test and burn-in systems, the Company simultaneously conducts circuit testing of all die during the burn-in process, thereby providing improved quality and reliability data and reduced time and cost of testing.</w:t>
      </w:r>
    </w:p>
    <w:p>
      <w:pPr>
        <w:spacing w:after="0" w:line="208" w:lineRule="exact"/>
        <w:rPr>
          <w:sz w:val="20"/>
          <w:szCs w:val="20"/>
          <w:color w:val="auto"/>
        </w:rPr>
      </w:pPr>
    </w:p>
    <w:p>
      <w:pPr>
        <w:ind w:right="2939" w:firstLine="527"/>
        <w:spacing w:after="0" w:line="271" w:lineRule="auto"/>
        <w:rPr>
          <w:sz w:val="20"/>
          <w:szCs w:val="20"/>
          <w:color w:val="auto"/>
        </w:rPr>
      </w:pPr>
      <w:r>
        <w:rPr>
          <w:rFonts w:ascii="Courier New" w:cs="Courier New" w:eastAsia="Courier New" w:hAnsi="Courier New"/>
          <w:sz w:val="16"/>
          <w:szCs w:val="16"/>
          <w:color w:val="auto"/>
        </w:rPr>
        <w:t>The Company is in the process of converting its two 6-inch wafer fabrication lines to 8-inch processing capabilities. Substantial conversion of Fab III to 8-inch wafer processing capabilities is targeted for the end of calendar 1995 and the Fab I/II conversion is targeted for calendar 1996. To date, only a limited number of 8-inch wafers have been processed. Significant capital expenditures are required for the 8-inch conversion. There can be no assurance that the conversion can be accomplished without disruption of production.</w:t>
      </w:r>
    </w:p>
    <w:p>
      <w:pPr>
        <w:spacing w:after="0" w:line="186" w:lineRule="exact"/>
        <w:rPr>
          <w:sz w:val="20"/>
          <w:szCs w:val="20"/>
          <w:color w:val="auto"/>
        </w:rPr>
      </w:pPr>
    </w:p>
    <w:p>
      <w:pPr>
        <w:ind w:right="2519" w:firstLine="527"/>
        <w:spacing w:after="0" w:line="270" w:lineRule="auto"/>
        <w:rPr>
          <w:sz w:val="20"/>
          <w:szCs w:val="20"/>
          <w:color w:val="auto"/>
        </w:rPr>
      </w:pPr>
      <w:r>
        <w:rPr>
          <w:rFonts w:ascii="Courier New" w:cs="Courier New" w:eastAsia="Courier New" w:hAnsi="Courier New"/>
          <w:sz w:val="16"/>
          <w:szCs w:val="16"/>
          <w:color w:val="auto"/>
        </w:rPr>
        <w:t>The Company has begun construction of a manufacturing facility in Lehi, Utah, that will include 8-inch wafer fabrication, assembly, and test operations. The approximate 2 million square foot facility is planned to have approximately two-thirds the manufacturing capacity of the existing Boise site. The cost of the Utah facility is currently estimated at approximately $2.5 billion and is targeted for initial wafer production in late calendar 1996. Several other semiconductor manufacturers are also adding significant manufacturing capacity. All semiconductor manufacturers are dependent upon and compete for products of a limited number of sophisticated equipment suppliers. The cyclical nature of the industry often results in extended lead times for equipment deliveries. There can be no assurance the Company will not encounter delays in the currently planned expansion as a result of limited</w:t>
      </w:r>
    </w:p>
    <w:p>
      <w:pPr>
        <w:sectPr>
          <w:pgSz w:w="11900" w:h="16838" w:orient="portrait"/>
          <w:cols w:equalWidth="0" w:num="1">
            <w:col w:w="10219"/>
          </w:cols>
          <w:pgMar w:left="240" w:top="717"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availability of equipment.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manufactures, sells, and supports its Micron brand name systems from the Nampa facility and ZEOS brand name systems from the Minneapolis facility. The Company's PC manufacturing process is designed to provide custom-configured products to its customers and includes assembling components, loading software, and performing quality control tests on each system prior to shipment. The Company's PC systems are assembled to customer specifications. Only</w:t>
      </w:r>
    </w:p>
    <w:p>
      <w:pPr>
        <w:spacing w:after="0" w:line="9"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a limited number of the most popular PC system configurations are manufactured in advance of customer orders. Parts and components required for each customer order are selected from inventory and</w:t>
      </w:r>
    </w:p>
    <w:p>
      <w:pPr>
        <w:spacing w:after="0"/>
        <w:tabs>
          <w:tab w:leader="none" w:pos="6100" w:val="left"/>
        </w:tabs>
        <w:rPr>
          <w:sz w:val="20"/>
          <w:szCs w:val="20"/>
          <w:color w:val="auto"/>
        </w:rPr>
      </w:pPr>
      <w:r>
        <w:rPr>
          <w:rFonts w:ascii="Courier New" w:cs="Courier New" w:eastAsia="Courier New" w:hAnsi="Courier New"/>
          <w:sz w:val="18"/>
          <w:szCs w:val="18"/>
          <w:color w:val="auto"/>
        </w:rPr>
        <w:t>are prepared for assembly into the customized PC system.</w:t>
      </w:r>
      <w:r>
        <w:rPr>
          <w:sz w:val="20"/>
          <w:szCs w:val="20"/>
          <w:color w:val="auto"/>
        </w:rPr>
        <w:tab/>
      </w:r>
      <w:r>
        <w:rPr>
          <w:rFonts w:ascii="Courier New" w:cs="Courier New" w:eastAsia="Courier New" w:hAnsi="Courier New"/>
          <w:sz w:val="16"/>
          <w:szCs w:val="16"/>
          <w:color w:val="auto"/>
        </w:rPr>
        <w:t>While custom</w:t>
      </w:r>
    </w:p>
    <w:p>
      <w:pPr>
        <w:sectPr>
          <w:pgSz w:w="11900" w:h="16838" w:orient="portrait"/>
          <w:cols w:equalWidth="0" w:num="1">
            <w:col w:w="10219"/>
          </w:cols>
          <w:pgMar w:left="240" w:top="136" w:right="1440" w:bottom="1440" w:gutter="0" w:footer="0" w:header="0"/>
        </w:sectPr>
      </w:pPr>
    </w:p>
    <w:bookmarkStart w:id="7" w:name="page8"/>
    <w:bookmarkEnd w:id="7"/>
    <w:p>
      <w:pPr>
        <w:ind w:right="2519"/>
        <w:spacing w:after="0" w:line="236" w:lineRule="auto"/>
        <w:rPr>
          <w:sz w:val="20"/>
          <w:szCs w:val="20"/>
          <w:color w:val="auto"/>
        </w:rPr>
      </w:pPr>
      <w:r>
        <w:rPr>
          <w:rFonts w:ascii="Courier New" w:cs="Courier New" w:eastAsia="Courier New" w:hAnsi="Courier New"/>
          <w:sz w:val="18"/>
          <w:szCs w:val="18"/>
          <w:color w:val="auto"/>
        </w:rPr>
        <w:t>assembly is advantageous to the Company's PC customers, the Company is unable to achieve the manufacturing efficiencies normally associated with mass production of standardized products.</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Company's PC systems are subject to functionality and quality testing during the assembly process. The Company's desktop PC systems are assembled in production lines. The Company's notebook PC systems are primarily assembled and tested by its suppliers prior to delivery to the Company for custom configuration. Software programs are loaded into the PC systems prior to a burn-in process during which they are powered-up and certain diagnostic tests are performed. The Company's notebook PC systems are assembled and tested by suppliers prior to delivery to the Company. PCsystems are subject to final inspection after which they are packaged and made available for shipment to customers.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contract manufacturing operations consist of assembling and testing complex printed circuit boards and memory modules. The assembly of printed circuit boards involves the attachment of electronic components, such as resistors, capacitors, diodes, logic devices, RAM components, and processors to printed circuit boards.</w:t>
      </w:r>
    </w:p>
    <w:p>
      <w:pPr>
        <w:spacing w:after="0" w:line="6"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Nearly all assembly operations utilize surface mount technology whereby the leads on integrated circuits and other electronic components are soldered to the surface of the printed circuit board rather than inserted into holes and soldered on the back side of the assembly. Automated in-circuit and functionality tests are generally performed on all printed circuit boards assembled.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Availability of Raw Materials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Raw materials utilized by the Company's semiconductor manufacturing operations generally must meet exacting product specifications. The Company generally uses multiple sources of supply, but the number of suppliers capable of delivering certain raw materials is very limited. The Company and many other semiconductor manufacturers are adding new facilities or modifying existing facilities to process 8-inch wafers. The availability of both 6-inch and 8-inch wafers for semiconductor memory production is partially dependent on how readily wafer suppliers can increase or create additional capacity to accommodate</w:t>
      </w:r>
    </w:p>
    <w:p>
      <w:pPr>
        <w:spacing w:after="0" w:line="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demand for 8-inch wafers without creating shortages in supply of 6-inch wafers. The availability of other raw materials may decline due to the overall increase in world-wide semiconductor manufacturing. Although shortages have occurred from time to time and lead times in the industry have been extended on occasion, the Company has not experienced any significant difficulty in obtaining raw materials for its semiconductor manufacturing operations to date. Interruption of any one raw material source could adversely affect the Company's operations.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PC operations rely on third-party suppliers for most of its PC system components. The Company purchases substantially all of its components and subassemblies from suppliers on a purchase order basis and generally does not maintain long-term supply arrangements</w:t>
      </w:r>
    </w:p>
    <w:p>
      <w:pPr>
        <w:spacing w:after="0" w:line="5"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8"/>
          <w:szCs w:val="18"/>
          <w:color w:val="auto"/>
        </w:rPr>
        <w:t>with its suppliers. Although the Company attempts to use standard components and subassemblies available from multiple suppliers, certain of its components and subassemblies are available only from sole suppliers. Microprocessors used in the Company's PC systems are supplied exclusively by Intel. Substantially all of the RAM components used in the Company's PC systems are supplied internally from the Company's semiconductor manufacturing operations. In addition, the Meridian line of ZEOS notebook computers is currently obtained from a single third party manufacturer. Although most other components and subassemblies used by the Company are currently available from multiple sources, the Company has from time to time experienced shortages in the components and subassemblies used to produce its PC systems. Any supply interruption for any of the components and subassemblies currently obtained from a single source could result in production delays and adversely affect the Company's PC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ectPr>
          <w:pgSz w:w="11900" w:h="16838" w:orient="portrait"/>
          <w:cols w:equalWidth="0" w:num="1">
            <w:col w:w="10219"/>
          </w:cols>
          <w:pgMar w:left="240" w:top="723" w:right="1440" w:bottom="0" w:gutter="0" w:footer="0" w:header="0"/>
        </w:sectPr>
      </w:pPr>
    </w:p>
    <w:bookmarkStart w:id="8" w:name="page9"/>
    <w:bookmarkEnd w:id="8"/>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 uses numerous suppliers for electronic components and materials, including RAM, in its contract manufacturing operations. Shortages of certain types of electronic components have occurred in the past and may occur in the future. Component shortages or price fluctuations could have an adverse effect on the Company's contract manufacturing operations.</w:t>
      </w:r>
    </w:p>
    <w:p>
      <w:pPr>
        <w:sectPr>
          <w:pgSz w:w="11900" w:h="16838" w:orient="portrait"/>
          <w:cols w:equalWidth="0" w:num="1">
            <w:col w:w="10219"/>
          </w:cols>
          <w:pgMar w:left="240" w:top="14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Marketing and Customers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Export sales totaled approximately $754 million for fiscal 1995, including approximately $285 million to Europe and $274 million to Asia Pacific. Export sales approximated $471 million and $251 million for fiscal 1994 and 1993, respectively. Export sales are made primarily in United States currency. The Company incurs import duties on sales into Europe of up to 14% of the product value. The Company has sales offices in the United Kingdom, Germany, Singapore, and Taiwan.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relatively short product life cycles, frequent product introductions and enhancements, difficult product transitions, and volatile market conditions. These circumstances historically have made the semiconductor industry, and the DRAM market in particular, highly cyclical.</w:t>
      </w:r>
    </w:p>
    <w:p>
      <w:pPr>
        <w:spacing w:after="0" w:line="210"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The Company's primary semiconductor memory products are essentially interchangeable with, and have similar functionality to, products offered by the Company's competition. Customers for the Company's semiconductor memory products include major domestic computer manufacturers and others in the computer, telecommunications, and office automation industries. The Company markets its semiconductor memory products world-wide through independent sales representatives, distributors, and its own direct sales force. Sales representatives serve on a commission basis and obtain orders subject to final acceptance by the Company. Shipments against these orders are made directly to the customer by the Company. Distributors carry the Company's products in inventory and typically sell a variety of other semiconductor products, including competitors' products.</w:t>
      </w:r>
    </w:p>
    <w:p>
      <w:pPr>
        <w:spacing w:after="0" w:line="5"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Semiconductor memory products sold through distributors approximated 10%, 12%, and 16% of total net sales of such products in fiscal 1995, 1994, and 1993, respectively.</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Many of Micron's customers require a thorough review or "qualification" of new semiconductor memory products and processes which may take several months. As the Company diversifies its product lines and reduces the die sizes of existing memory products, acceptance of these products and processes may be hampered by this qualification procedure. There can be no assurance that new products or processes will be qualified for purchase by existing or potential customers.</w:t>
      </w:r>
    </w:p>
    <w:p>
      <w:pPr>
        <w:spacing w:after="0" w:line="212"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The Company's sales of semiconductor memory products to Compaq Computer Corporation and Intel Corporation each represented approximately 11% of the Company's sales of semiconductor memory products in fiscal 1995. Compaq Computer Corporation represented approximately 13% and 11% of the Company's sales of semiconductor memory products for fiscal 1994 and 1993, respectively. No other customer individually accounted for 10% or more of the Company's net sales of semiconductor memory products.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Micron markets its PC systems directly to customers including businesses, educational institutions, government agencies, and the general public, primarily by strategically placing advertisements in personal computer trade publications. The Company's PC products compete with products from other PC manufacturers to win computer trade magazine awards. The receipt of numerous such awards has resulted in enhanced brand name recognition for the Company's PC systems. In the event the Company's PC systems are unsuccessful in receiving similar awards in the future, customer interest in the Company's PC systems could decline materially.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 markets its contract manufacturing services through a direct sales force that works with independent sales representatives and, to a lesser extent, original equipment manufacturers. Board-level products are also marketed directly to the Company's existing DRAM and SRAM component customers.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ectPr>
          <w:pgSz w:w="11900" w:h="16838" w:orient="portrait"/>
          <w:cols w:equalWidth="0" w:num="1">
            <w:col w:w="10219"/>
          </w:cols>
          <w:pgMar w:left="240" w:top="717"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519" w:firstLine="527"/>
        <w:spacing w:after="0" w:line="271" w:lineRule="auto"/>
        <w:rPr>
          <w:sz w:val="20"/>
          <w:szCs w:val="20"/>
          <w:color w:val="auto"/>
        </w:rPr>
      </w:pPr>
      <w:r>
        <w:rPr>
          <w:rFonts w:ascii="Courier New" w:cs="Courier New" w:eastAsia="Courier New" w:hAnsi="Courier New"/>
          <w:sz w:val="16"/>
          <w:szCs w:val="16"/>
          <w:color w:val="auto"/>
        </w:rPr>
        <w:t>The Company primarily manufactures and markets standard memory products. The rate of booking new orders varies from month to month and depends upon the ordering practices of individual customers. Cyclical industry conditions make it difficult for many customers to enter into long-term, fixed-price contracts. Orders for the Company's semiconductor memory products are typically accepted with acknowledgment that the terms may be adjusted to reflect market conditions at the delivery date. For the foregoing reasons, and because of the possibility of customer changes in delivery schedules or cancellation of orders with-</w:t>
      </w:r>
    </w:p>
    <w:p>
      <w:pPr>
        <w:sectPr>
          <w:pgSz w:w="11900" w:h="16838" w:orient="portrait"/>
          <w:cols w:equalWidth="0" w:num="1">
            <w:col w:w="10219"/>
          </w:cols>
          <w:pgMar w:left="240" w:top="136" w:right="1440" w:bottom="1440" w:gutter="0" w:footer="0" w:header="0"/>
        </w:sectPr>
      </w:pPr>
    </w:p>
    <w:bookmarkStart w:id="11" w:name="page12"/>
    <w:bookmarkEnd w:id="11"/>
    <w:p>
      <w:pPr>
        <w:ind w:right="2519"/>
        <w:spacing w:after="0" w:line="236" w:lineRule="auto"/>
        <w:rPr>
          <w:sz w:val="20"/>
          <w:szCs w:val="20"/>
          <w:color w:val="auto"/>
        </w:rPr>
      </w:pPr>
      <w:r>
        <w:rPr>
          <w:rFonts w:ascii="Courier New" w:cs="Courier New" w:eastAsia="Courier New" w:hAnsi="Courier New"/>
          <w:sz w:val="18"/>
          <w:szCs w:val="18"/>
          <w:color w:val="auto"/>
        </w:rPr>
        <w:t>out significant penalty, the Company does not believe that its backlog of semiconductor memory products as of any particular date is firm or a reliable indicator of actual sales for any succeeding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Levels of unfilled orders for PC systems fluctuate depending upon unexpected demand for certain products or production delays. Customers frequently change delivery schedules and orders depending on market conditions and other reasons. Unfilled orders can be, and often are, canceled. As of August 31, 1995, the Company had unfilled orders for PC systems of approximately $46.3 million as compared to unfilled orders of $24.3 million as of September 1, 1994. The Company anticipates that substantially all of the unfilled orders as of August 31, 1995, other than canceled orders, will be shipped within 30 days. Because customers may cancel or reschedule orders for PC systems without penalty, the Company does not believe that unfilled orders for PC systems are a meaningful indicator for future sales.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Backlog for the Company's contract manufacturing operations as of August 31, 1995, and September 1, 1994, was approximately $95.0 million and $22.3 million, respectively. Backlog generally consists of purchase orders believed to be firm and are expected to be filled within the next three months. Because of variations in the timing of orders, delivery intervals, customer and product mix, and delivery schedules, the Company's backlog of contract manufacturing products as of any particular date may not be representative of actual sales for any succeeding period.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Warranty</w:t>
      </w:r>
    </w:p>
    <w:p>
      <w:pPr>
        <w:spacing w:after="0" w:line="207" w:lineRule="exact"/>
        <w:rPr>
          <w:sz w:val="20"/>
          <w:szCs w:val="20"/>
          <w:color w:val="auto"/>
        </w:rPr>
      </w:pPr>
    </w:p>
    <w:p>
      <w:pPr>
        <w:ind w:right="2939" w:firstLine="527"/>
        <w:spacing w:after="0" w:line="270" w:lineRule="auto"/>
        <w:rPr>
          <w:sz w:val="20"/>
          <w:szCs w:val="20"/>
          <w:color w:val="auto"/>
        </w:rPr>
      </w:pPr>
      <w:r>
        <w:rPr>
          <w:rFonts w:ascii="Courier New" w:cs="Courier New" w:eastAsia="Courier New" w:hAnsi="Courier New"/>
          <w:sz w:val="16"/>
          <w:szCs w:val="16"/>
          <w:color w:val="auto"/>
        </w:rPr>
        <w:t>Consistent with semiconductor memory industry practice, Micron generally provides a limited warranty that its semiconductor memory and contract manufactured products are in compliance with specifications existing at the time of delivery. Liability for a stated warranty period is usually limited to replacement of defective items or return of amounts paid. Micron provides a 30-day money back guarantee on sales of its PC systems. PC systems are generally provided with a one-year limited warranty from the delivery date that covers repairs or replacement for defects in either workmanship or components. All other warranties are typically disclaimed.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The Company's semiconductor memory operations experience intense competition from a number of substantially larger foreign and domestic companies, including Fujitsu, Ltd., Lucky Goldstar, Hitachi, Ltd., Hyundai Electronics, Co., Ltd., Mitsubishi Electric Corp., Motorola, Inc., NEC Corp., Samsung Semiconductor, Inc., Texas Instruments, Inc., and Toshiba Corporation. Micron has captured only a small percentage of the semiconductor memory market and may be at a disadvantage in competing against these larger manufacturers with significantly greater capital resources or manufacturing capacities, larger engineer and employee bases, larger portfolios of intellectual property, and more diverse product lines. The Company's larger competitors may also have long-term advantages</w:t>
      </w:r>
    </w:p>
    <w:p>
      <w:pPr>
        <w:spacing w:after="0" w:line="189" w:lineRule="exact"/>
        <w:rPr>
          <w:sz w:val="20"/>
          <w:szCs w:val="20"/>
          <w:color w:val="auto"/>
        </w:rPr>
      </w:pPr>
    </w:p>
    <w:p>
      <w:pPr>
        <w:ind w:right="3039"/>
        <w:spacing w:after="0" w:line="275" w:lineRule="auto"/>
        <w:rPr>
          <w:sz w:val="20"/>
          <w:szCs w:val="20"/>
          <w:color w:val="auto"/>
        </w:rPr>
      </w:pPr>
      <w:r>
        <w:rPr>
          <w:rFonts w:ascii="Courier New" w:cs="Courier New" w:eastAsia="Courier New" w:hAnsi="Courier New"/>
          <w:sz w:val="16"/>
          <w:szCs w:val="16"/>
          <w:color w:val="auto"/>
        </w:rPr>
        <w:t>over Micron in research and new product development and in their ability to withstand periodic downturns in the semiconductor market. In addition, the Company believes its competition has sufficient resources and manufacturing capacity to influence market pricing.</w:t>
      </w:r>
    </w:p>
    <w:p>
      <w:pPr>
        <w:spacing w:after="0" w:line="182" w:lineRule="exact"/>
        <w:rPr>
          <w:sz w:val="20"/>
          <w:szCs w:val="20"/>
          <w:color w:val="auto"/>
        </w:rPr>
      </w:pPr>
    </w:p>
    <w:p>
      <w:pPr>
        <w:ind w:right="2739" w:firstLine="527"/>
        <w:spacing w:after="0" w:line="279" w:lineRule="auto"/>
        <w:rPr>
          <w:sz w:val="20"/>
          <w:szCs w:val="20"/>
          <w:color w:val="auto"/>
        </w:rPr>
      </w:pPr>
      <w:r>
        <w:rPr>
          <w:rFonts w:ascii="Courier New" w:cs="Courier New" w:eastAsia="Courier New" w:hAnsi="Courier New"/>
          <w:sz w:val="16"/>
          <w:szCs w:val="16"/>
          <w:color w:val="auto"/>
        </w:rPr>
        <w:t>The SRAM overall market size is considerably smaller than the DRAM market and is more susceptible to a number of competitors increasing supply, and thereby influencing market pricing for SRAM products.</w:t>
      </w:r>
    </w:p>
    <w:p>
      <w:pPr>
        <w:spacing w:after="0" w:line="178" w:lineRule="exact"/>
        <w:rPr>
          <w:sz w:val="20"/>
          <w:szCs w:val="20"/>
          <w:color w:val="auto"/>
        </w:rPr>
      </w:pPr>
    </w:p>
    <w:p>
      <w:pPr>
        <w:ind w:right="2739" w:firstLine="527"/>
        <w:spacing w:after="0" w:line="271" w:lineRule="auto"/>
        <w:rPr>
          <w:sz w:val="20"/>
          <w:szCs w:val="20"/>
          <w:color w:val="auto"/>
        </w:rPr>
      </w:pPr>
      <w:r>
        <w:rPr>
          <w:rFonts w:ascii="Courier New" w:cs="Courier New" w:eastAsia="Courier New" w:hAnsi="Courier New"/>
          <w:sz w:val="16"/>
          <w:szCs w:val="16"/>
          <w:color w:val="auto"/>
        </w:rPr>
        <w:t>As has previously occurred in reaction to increased market demand, the Company and many of its competitors are adding new wafer fabrication facilities. Most new wafer fabrication facilities are designed to process 8-inch wafers, which have approximately 84% greater usable surface area than 6-inch wafers. Excess supply resulting from increased world-wide semiconductor manufacturing capacity, improved manufacturing yields, changes in demand for semiconductor memory, and currency fluctuations resulting in a strengthening dollar against the yen, could result in downward pricing</w:t>
      </w:r>
    </w:p>
    <w:p>
      <w:pPr>
        <w:sectPr>
          <w:pgSz w:w="11900" w:h="16838" w:orient="portrait"/>
          <w:cols w:equalWidth="0" w:num="1">
            <w:col w:w="10219"/>
          </w:cols>
          <w:pgMar w:left="240" w:top="723" w:right="1440" w:bottom="138" w:gutter="0" w:footer="0" w:header="0"/>
        </w:sectPr>
      </w:pPr>
    </w:p>
    <w:bookmarkStart w:id="12" w:name="page13"/>
    <w:bookmarkEnd w:id="12"/>
    <w:p>
      <w:pPr>
        <w:ind w:right="2839"/>
        <w:spacing w:after="0" w:line="290" w:lineRule="auto"/>
        <w:rPr>
          <w:sz w:val="20"/>
          <w:szCs w:val="20"/>
          <w:color w:val="auto"/>
        </w:rPr>
      </w:pPr>
      <w:r>
        <w:rPr>
          <w:rFonts w:ascii="Courier New" w:cs="Courier New" w:eastAsia="Courier New" w:hAnsi="Courier New"/>
          <w:sz w:val="16"/>
          <w:szCs w:val="16"/>
          <w:color w:val="auto"/>
        </w:rPr>
        <w:t>pressure. A decline in the current favorable product pricing would have a material adverse effect on the Company's results of operations.</w:t>
      </w:r>
    </w:p>
    <w:p>
      <w:pPr>
        <w:sectPr>
          <w:pgSz w:w="11900" w:h="16838" w:orient="portrait"/>
          <w:cols w:equalWidth="0" w:num="1">
            <w:col w:w="10219"/>
          </w:cols>
          <w:pgMar w:left="240" w:top="14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PC industry is highly competitive and has been characterized by intense pricing pressure, rapid technological advances in hardware and software, frequent introduction of new products, and low gross margins. Competitive factors include price, performance, variety of products offered, availability of peripherals and software, marketing and sales capabilities, service, and support. There can be no assurance the Company will compete successfully in the future with respect to these factors.</w:t>
      </w:r>
    </w:p>
    <w:p>
      <w:pPr>
        <w:spacing w:after="0" w:line="212"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The Company's PC operations compete with a number of PC manufacturers which sell their products primarily through direct marketing channels, including Dell Computer Corporation and Gateway 2000, Inc. The</w:t>
      </w:r>
    </w:p>
    <w:p>
      <w:pPr>
        <w:spacing w:after="0" w:line="1"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Company also competes with PC manufacturers including IBM Corporation, Compaq Computer Corporation, Packard Bell Electronics, Inc., and Apple Computer, Inc., which have traditionally sold their products through national and regional distributors, dealers, value-added resellers, retail stores, and the PC manufacturers' direct sales forces. Many competitors have substantially greater financial, marketing, manufacturing, and technological resources devoted to PC operations than the Company and also have greater purchasing power, broader product lines, larger installed customer bases, and greater brand name recognition. In addition, the Company competes with smaller PC manufacturers in local markets primarily on the basis of price.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contract manufacturing operations compete with numerous domestic and offshore contract manufacturers, including a significant number of regional companies. In addition, the Company competes against in-house manufacturing capabilities of certain of its existing customers as well as with certain large computer manufacturers, including IBM and its subsidiaries, which also offer third party contract manufacturing services. The Company's contract manufacturing competitors include Avex Electronics, Inc., Benchmark Electronics,</w:t>
      </w:r>
    </w:p>
    <w:p>
      <w:pPr>
        <w:spacing w:after="0" w:line="1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Inc., DOVAtron International, Inc., Flextronics International, Group Technologies Corporation, Jabil Circuits, Inc., SCI Systems, Inc., and Solectron Corporation. Many of the Company's contract manufacturing competitors have substantially greater manufacturing, financial, and marketing resources devoted to contract operations than the Company. Many of the Company's contract manufacturing customers also have manufacturing relationships with one or more of the Company's competitors.</w:t>
      </w:r>
    </w:p>
    <w:p>
      <w:pPr>
        <w:spacing w:after="0" w:line="212"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The Company believes that the significant competitive factors in contract manufacturing are technology, quality, service, price, location, and the ability to offer flexible delivery schedules and deliver finished products on a timely basis in accordance with customers' expectations. The Company may be at a disadvantage as to price when compared to contract manufacturers with substantial offshore facilities or substantially larger domestic facilities. There can be no assurance that the Company will compete successfully in the future with regard to these factors.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is being performed in strategic areas related to the Company's historical semiconductor expertise. Total research and development expenditures for the Company were $129 million, $83 million, and $57 million in fiscal 1995, 1994, and 1993, respectively.</w:t>
      </w:r>
    </w:p>
    <w:p>
      <w:pPr>
        <w:spacing w:after="0" w:line="215" w:lineRule="exact"/>
        <w:rPr>
          <w:sz w:val="20"/>
          <w:szCs w:val="20"/>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Research and development expenses vary primarily with the number of wafers and personnel dedicated to new product and process development. The Company's research and development efforts are currently focused principally on further development of shrink versions of the 16 Meg</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and 4 Meg DRAMs. Although the Company's 16 Meg DRAM product has been transferred into production, it is not currently being produced in significant volume pending the shift in customer demand from the 4 Meg DRAM. Other research and development efforts have been devoted to design and development of the 64 Meg and 256 Meg DRAMs and design and development of new technologies including radio frequency</w:t>
      </w:r>
    </w:p>
    <w:p>
      <w:pPr>
        <w:sectPr>
          <w:pgSz w:w="11900" w:h="16838" w:orient="portrait"/>
          <w:cols w:equalWidth="0" w:num="1">
            <w:col w:w="10219"/>
          </w:cols>
          <w:pgMar w:left="240" w:top="717" w:right="1440" w:bottom="0" w:gutter="0" w:footer="0" w:header="0"/>
        </w:sectPr>
      </w:pPr>
    </w:p>
    <w:bookmarkStart w:id="14" w:name="page15"/>
    <w:bookmarkEnd w:id="14"/>
    <w:p>
      <w:pPr>
        <w:ind w:right="3159"/>
        <w:spacing w:after="0" w:line="235" w:lineRule="auto"/>
        <w:rPr>
          <w:sz w:val="20"/>
          <w:szCs w:val="20"/>
          <w:color w:val="auto"/>
        </w:rPr>
      </w:pPr>
      <w:r>
        <w:rPr>
          <w:rFonts w:ascii="Courier New" w:cs="Courier New" w:eastAsia="Courier New" w:hAnsi="Courier New"/>
          <w:sz w:val="18"/>
          <w:szCs w:val="18"/>
          <w:color w:val="auto"/>
        </w:rPr>
        <w:t>identification systems, non-volatile semiconductor memory products, and field emission flat panel displays.</w:t>
      </w:r>
    </w:p>
    <w:p>
      <w:pPr>
        <w:spacing w:after="0" w:line="208"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has entered into various research and development cost-sharing contracts with the Advanced Research Projects Agency ("ARPA") aggregating approximately $20 million to pursue development of a flat panel field emission display, alternative semiconductor materials, and high density ferroelectric memory.</w:t>
      </w:r>
    </w:p>
    <w:p>
      <w:pPr>
        <w:sectPr>
          <w:pgSz w:w="11900" w:h="16838" w:orient="portrait"/>
          <w:cols w:equalWidth="0" w:num="1">
            <w:col w:w="10219"/>
          </w:cols>
          <w:pgMar w:left="240" w:top="14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Patents and Licenses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As of August 31, 1995, the Company owned approximately 470 United States patents and 270 non-U.S. patents relating to the use of its products and processes. In addition, the Company has numerous United States and foreign patent applications pending. There can be no assurance that patents will be issued for such applications or that any patents, if issued, will be determined to be valid. The Company intends to continue to seek patent protection on its significant patentable technology.</w:t>
      </w:r>
    </w:p>
    <w:p>
      <w:pPr>
        <w:spacing w:after="0" w:line="212"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The Company has entered into several cross-license agreements with third parties. The agreements typically require one-time and/or periodic royalty payments and expire at various times. One-time payments are typically capitalized and amortized over the shorter of the estimated useful life of the technology, the patent term, or the term of the agreement. Royalty and other product and process technology expenses were $203 million, $128 million, and $78 million in fiscal 1995, 1994, and 1993, respectively. It may be necessary or advantageous for the Company to obtain additional patent licenses or to renew existing license agreements, some of which expire in calendar 1995, including an agreement with IBM. The Company is unable to predict whether these license agreements can be obtained or renewed on terms acceptable to the Company. Failure to renew such licenses could result in litigation and the attendant cost and diversion of resources associated therewith and could also result in material changes in the Company's production processes or products. An adverse decision on any such litigation or such material changes could have a material adverse effect on the Company's financial position or results of operations.</w:t>
      </w:r>
    </w:p>
    <w:p>
      <w:pPr>
        <w:spacing w:after="0" w:line="210"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and process technology rights held by others. An adverse decision on infringement of patents may have a material adverse effect on the Company's financial position or results of operations and may require material changes in production processes or products. For additional discussion of product and process technology issues, see "Item 7. Management's Discussion and Analysis of Financial Condition and Results of Operations - Certain Factors" and "Item 8. Financial Statements and Supplementary Data - Notes to Consolidated Financial Statements - Contingencies".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As of August 31, 1995, Micron had 8,080 full-time employees, including approximately 5,900 in the semiconductor memory manufacturing operations, 1,400 in the PC operations, and 570 in the contract manufacturing operations. Employment levels can vary depending on market conditions and the level of utilization of the Company's production, research, product and process development, and administrative support activities. Many of the Company's employees are highly-skilled and the Company's continued success will depend in part upon its ability to retain such employees. None of the Company's employees are represented by a labor organization, the Company has never had a work stoppage as a result of labor issues, and the Company considers relations with employees to be satisfactory.</w:t>
      </w:r>
    </w:p>
    <w:p>
      <w:pPr>
        <w:spacing w:after="0" w:line="391"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The Company has hired a significant number of employees in recent years, particularly in and around the Boise, Idaho area. In addition, the Company is pursuing a significant expansion of its semiconductor manufacturing operations in Lehi, Utah, that is anticipated to employ 3,500 full-time employees. The Company may experience difficulties in locating and hiring qualified employees at a rate sufficient to accommodate the Company's current rate of expansion.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Compliance</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Government regulations impose various environmental controls on the discharge of chemicals and gasses used in the Company's manufacturing processes. The Company believes that its activities conform to present environmental regulations. While the Company has not experienced any materially adverse effects on its operations from government regulations, there can be no assurance that changes in such regulations will not impose the need for additional capital equipment or other compliance requirements. Additionally, the extensive process required to obtain permits for expansion of the Company's facilities</w:t>
      </w:r>
    </w:p>
    <w:p>
      <w:pPr>
        <w:sectPr>
          <w:pgSz w:w="11900" w:h="16838" w:orient="portrait"/>
          <w:cols w:equalWidth="0" w:num="1">
            <w:col w:w="10219"/>
          </w:cols>
          <w:pgMar w:left="240" w:top="717" w:right="1440" w:bottom="0" w:gutter="0" w:footer="0" w:header="0"/>
        </w:sectPr>
      </w:pPr>
    </w:p>
    <w:bookmarkStart w:id="16" w:name="page17"/>
    <w:bookmarkEnd w:id="16"/>
    <w:p>
      <w:pPr>
        <w:ind w:right="2939"/>
        <w:spacing w:after="0" w:line="235" w:lineRule="auto"/>
        <w:rPr>
          <w:sz w:val="20"/>
          <w:szCs w:val="20"/>
          <w:color w:val="auto"/>
        </w:rPr>
      </w:pPr>
      <w:r>
        <w:rPr>
          <w:rFonts w:ascii="Courier New" w:cs="Courier New" w:eastAsia="Courier New" w:hAnsi="Courier New"/>
          <w:sz w:val="18"/>
          <w:szCs w:val="18"/>
          <w:color w:val="auto"/>
        </w:rPr>
        <w:t>may impact how quickly the Company can respond to increases in market demand.</w:t>
      </w:r>
    </w:p>
    <w:p>
      <w:pPr>
        <w:sectPr>
          <w:pgSz w:w="11900" w:h="16838" w:orient="portrait"/>
          <w:cols w:equalWidth="0" w:num="1">
            <w:col w:w="10219"/>
          </w:cols>
          <w:pgMar w:left="240" w:top="14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executive officers of the Company and their ages as of August 31, 1995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rPr>
              <w:t>Position</w:t>
            </w:r>
          </w:p>
        </w:tc>
        <w:tc>
          <w:tcPr>
            <w:tcW w:w="242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Age</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Officer Since</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0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w w:val="98"/>
              </w:rPr>
              <w:t>Chief Executive</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Officer, President</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2440" w:type="dxa"/>
            <w:vAlign w:val="bottom"/>
          </w:tcPr>
          <w:p>
            <w:pPr>
              <w:spacing w:after="0"/>
              <w:rPr>
                <w:sz w:val="17"/>
                <w:szCs w:val="17"/>
                <w:color w:val="auto"/>
              </w:rPr>
            </w:pP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Chairman of the Board of</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1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Directors</w:t>
            </w: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Tyler A. Lowrey</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w w:val="98"/>
              </w:rPr>
              <w:t>Chief Technical</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Officer and Vice</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Chairman of the Board of Directors</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w w:val="98"/>
              </w:rPr>
              <w:t>Chief Financial</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Officer, Vice</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President, Finance, Corporate</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Secretary and Director</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Edward J. Heitzeberg</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DRAM Design and</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Product Engineering</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Thomas M. Trent</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Computer Aided Design</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1986</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Robert M. Donnelly</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SRAM Design and</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Product Engineering</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Kipp A. Bedard</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Corporate Affairs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Eugene H. Cloud</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Marketing</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53</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Donald D. Baldwin</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Sales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1991</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Nancy M. Self</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Administration</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41</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1993</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W. Bryan Farney</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Legal Affairs and</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1995</w:t>
            </w:r>
          </w:p>
        </w:tc>
      </w:tr>
    </w:tbl>
    <w:p>
      <w:pPr>
        <w:ind w:left="2540"/>
        <w:spacing w:after="0" w:line="238"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10219"/>
          </w:cols>
          <w:pgMar w:left="240" w:top="7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Background of Executive Officers</w:t>
      </w:r>
    </w:p>
    <w:p>
      <w:pPr>
        <w:spacing w:after="0" w:line="207"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Steven R. Appleton joined Micron Technology, Inc., in February 1983 and served in various manufacturing management positions until April 1988 when he was named Director of Manufacturing. He was appointed Vice President, Manufacturing in August 1989 and served in that position until April 1991 when he was appointed President and Chief Operating Officer of Micron Technology, Inc. He was elected to the Board of Directors in April 1991. Mr. Appleton served in these positions until July 1992, when he assumed responsibilities as Chairman of the Board, President, and Chief Executive Officer for Micron Semiconductor, Inc. In May 1994, Mr. Appleton was re-elected to the Board of Directors of Micron Technology, Inc. In September 1994, Mr. Appleton was named Chairman, Chief Executive Officer, and President for Micron Technology, Inc.</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Tyler A. Lowrey joined Micron Technology, Inc., in July 1984 as a senior process engineer. In March 1986, he became a Process Research and Development/Device Group Manager and was promoted to Vice President, Process Research and Development, and Assistant Technical Officer in September 1986. In April 1990, he was named Vice President, Research and Development. Mr. Lowrey was appointed to the Board of Directors of Micron Technology, Inc., in August 1990. Mr. Lowrey served in these positions until July 1992, when he was elected to the Board of Directors of Micron Semiconductor, Inc. and named that company's Vice President, Chief Technical Officer. In September 1994, Mr. Lowrey was re-elected to the Board of Directors of Micron Technology, Inc., and named Vice Chairman and Chief Technical Officer for Micron Technology, Inc.</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Wilbur G. Stover, Jr. joined Micron Technology, Inc., in June 1989 as an accounting manager. In February 1990, Mr. Stover was named Controller where he served until July 1992 when he was named Vice President, Finance, and Chief Financial Officer of Micron Semiconductor, Inc. Mr. Stover served in this position until September 1994, when he was named Chief Financial Officer, Vice President Finance, and Treasurer for Micron Technology, Inc. He was elected to the Board of Directors in October 1994. In November 1994, he was named Chief Financial Officer, and Vice President, Finance and served in that position until April 1995, when he was named Chief Financial Officer, Vice President, Finance, and Corporate Secretary.</w:t>
      </w:r>
    </w:p>
    <w:p>
      <w:pPr>
        <w:spacing w:after="0" w:line="392"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Edward J. Heitzeberg joined Micron Technology, Inc., in January 1984 as Information Systems Manager. In March 1986, he became Senior Staff Engineer and served in that capacity until June 1986, when he was</w:t>
      </w:r>
    </w:p>
    <w:p>
      <w:pPr>
        <w:spacing w:after="0" w:line="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named Vice President, Quality. Mr. Heitzeberg served in this position until July 1992, when he was named Vice President, Quality for Micron Semiconductor, Inc. In November 1994, Mr. Heitzeberg was named Vice President, Quality for Micron Technology, Inc. In October 1995, Mr. Heitzeberg was named Vice President, DRAM Design and Product Engineering.</w:t>
      </w:r>
    </w:p>
    <w:p>
      <w:pPr>
        <w:spacing w:after="0" w:line="210"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Thomas M. Trent joined Micron Technology, Inc., in July 1980 as a senior design engineer. From August 1986 to April 1990, Mr. Trent served as Vice President, Research and Development, and Chief Technical Officer, at which time he was named Vice President and Manager of DRAM Design. In June 1991, he assumed responsibilities of all DRAM products and was named Vice President and Manager of DRAM Products Group. Mr. Trent served in these positions until July 1992, when he was named Vice President, DRAM Products Group for Micron Semiconductor, Inc. In April 1993, he was named Vice President for Micron Semiconductor, Inc. In November 1994, Mr. Trent was named Vice President for Micron Technology, Inc. In October 1995, Mr. Trent was named Vice President, Computer Aided Design.</w:t>
      </w:r>
    </w:p>
    <w:p>
      <w:pPr>
        <w:spacing w:after="0" w:line="207"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Robert M. Donnelly joined Micron Technology, Inc., in September 1988 and served in various manufacturing management positions until August 1989, at which time he was appointed Vice President, Business Units.</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From April 1990 to June 1991, Mr. Donnelly served as Vice President and Manager of DRAM Products Group. In June 1991, he was named Vice President and Manager of SRAM Products Group. Mr. Donnelly served in this position until July 1992, when he was named Vice President, SRAM Products Group for Micron Semiconductor, Inc. In November 1994, Mr. Donnelly was named Vice President SRAM Products Group for Micron Technology, Inc. In October 1995, Mr. Donnelly was named Vice President, SRAM Design and Product Engineering.</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Kipp A. Bedard joined Micron Technology, Inc., in November 1983 as</w:t>
      </w:r>
    </w:p>
    <w:p>
      <w:pPr>
        <w:sectPr>
          <w:pgSz w:w="11900" w:h="16838" w:orient="portrait"/>
          <w:cols w:equalWidth="0" w:num="1">
            <w:col w:w="10219"/>
          </w:cols>
          <w:pgMar w:left="240" w:top="717" w:right="1440" w:bottom="0" w:gutter="0" w:footer="0" w:header="0"/>
        </w:sectPr>
      </w:pPr>
    </w:p>
    <w:bookmarkStart w:id="19" w:name="page20"/>
    <w:bookmarkEnd w:id="19"/>
    <w:p>
      <w:pPr>
        <w:ind w:right="2939"/>
        <w:spacing w:after="0" w:line="237" w:lineRule="auto"/>
        <w:rPr>
          <w:sz w:val="20"/>
          <w:szCs w:val="20"/>
          <w:color w:val="auto"/>
        </w:rPr>
      </w:pPr>
      <w:r>
        <w:rPr>
          <w:rFonts w:ascii="Courier New" w:cs="Courier New" w:eastAsia="Courier New" w:hAnsi="Courier New"/>
          <w:sz w:val="18"/>
          <w:szCs w:val="18"/>
          <w:color w:val="auto"/>
        </w:rPr>
        <w:t>an accountant and held various management responsibilities until he was appointed Manager of Corporate Affairs in June 1988. Mr. Bedard held that position until April 1990 when he was named Vice President and Manager of Corporate Affairs. From July 1992 to January 1994, Mr. Bedard served as Vice President, Corporate Affairs for Micron Semiconductor, Inc. In January 1994, he was named Vice President, Corporate Affairs for Micron Technology, Inc.</w:t>
      </w:r>
    </w:p>
    <w:p>
      <w:pPr>
        <w:spacing w:after="0" w:line="211"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Eugene H. Cloud joined Micron Technology, Inc., in January 1985 as an applications engineer. In June 1985, he was named Applications Manager. He served in that position until June 1986, when he was named Marketing Manager. In April 1990, he was named Vice President, Semiconductor Marketing. Mr. Cloud served in this position until July 1992, when he was named Vice President, Marketing for Micron Semiconductor, Inc. In November 1994, Mr. Cloud was named Vice President, Marketing for Micron Technology, Inc.</w:t>
      </w:r>
    </w:p>
    <w:p>
      <w:pPr>
        <w:sectPr>
          <w:pgSz w:w="11900" w:h="16838" w:orient="portrait"/>
          <w:cols w:equalWidth="0" w:num="1">
            <w:col w:w="10219"/>
          </w:cols>
          <w:pgMar w:left="240" w:top="142" w:right="1440" w:bottom="1440" w:gutter="0" w:footer="0" w:header="0"/>
        </w:sectPr>
      </w:pPr>
    </w:p>
    <w:bookmarkStart w:id="20" w:name="page21"/>
    <w:bookmarkEnd w:id="20"/>
    <w:p>
      <w:pPr>
        <w:ind w:right="2619" w:firstLine="527"/>
        <w:spacing w:after="0" w:line="268" w:lineRule="auto"/>
        <w:rPr>
          <w:sz w:val="20"/>
          <w:szCs w:val="20"/>
          <w:color w:val="auto"/>
        </w:rPr>
      </w:pPr>
      <w:r>
        <w:rPr>
          <w:rFonts w:ascii="Courier New" w:cs="Courier New" w:eastAsia="Courier New" w:hAnsi="Courier New"/>
          <w:sz w:val="16"/>
          <w:szCs w:val="16"/>
          <w:color w:val="auto"/>
        </w:rPr>
        <w:t>Donald D. Baldwin joined Micron Technology, Inc., in April 1984 and served in various manufacturing and sales positions until April 1987, when he was named Key Accounts Manager. From April 1990 to May 1991,</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he served as Manager of North American Sales. In May 1991, he was named Vice President, Sales. Mr. Baldwin served in this position until July 1992, when he was named Vice President, Sales for Micron Semiconductor, Inc. In November 1994, Mr. Baldwin was named Vice President, Sales for Micron Technology, Inc.</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Nancy M. Self joined Micron Technology, Inc., in February 1988 as a benefits specialist. In July 1988, she was named Benefits Manager and served in that position until July 1989, when she was named Risk Manager. In March 1993, she was named Vice President, Administration.</w:t>
      </w:r>
    </w:p>
    <w:p>
      <w:pPr>
        <w:spacing w:after="0" w:line="207" w:lineRule="exact"/>
        <w:rPr>
          <w:sz w:val="20"/>
          <w:szCs w:val="20"/>
          <w:color w:val="auto"/>
        </w:rPr>
      </w:pPr>
    </w:p>
    <w:p>
      <w:pPr>
        <w:ind w:right="2739" w:firstLine="527"/>
        <w:spacing w:after="0" w:line="272" w:lineRule="auto"/>
        <w:rPr>
          <w:sz w:val="20"/>
          <w:szCs w:val="20"/>
          <w:color w:val="auto"/>
        </w:rPr>
      </w:pPr>
      <w:r>
        <w:rPr>
          <w:rFonts w:ascii="Courier New" w:cs="Courier New" w:eastAsia="Courier New" w:hAnsi="Courier New"/>
          <w:sz w:val="16"/>
          <w:szCs w:val="16"/>
          <w:color w:val="auto"/>
        </w:rPr>
        <w:t>W. Bryan Farney joined Micron Technology, Inc. in November 1994 as General Counsel for Intellectual Property. In March 1995, he was named General Counsel and served in that position until April 1995 when he was named Vice President, Legal Affairs and General Counsel. Prior to joining the Company, Mr. Farney was a shareholder of the law firm of Arnold, White &amp; Durkee, where he had been employed since October 1987.</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Company's principal semiconductor manufacturing, engineering, administrative, and support facilities are located on a 740 acre site in Boise, Idaho. All facilities have been constructed since 1981 and are owned by the Company. The Company has approximately 1.8 million square feet of building space at this primary site. Of the total, approximately 422,000 square feet is production space, 662,000 square feet is facility support space, and 666,000 square feet is office and other space. The Company's PC operations are housed in a 128,000 square foot facility in Nampa, Idaho on approximately 30 acres of land, and in a 234,000 square foot leased facility in Minneapolis, Minnesota. The Company's contract manufacturing operations are located in a 93,000 square foot facility on approximately 5 acres of land in Boise, Idaho, and in a 30,000 square foot leased facility in Durham, North Carolina.</w:t>
      </w:r>
    </w:p>
    <w:p>
      <w:pPr>
        <w:spacing w:after="0" w:line="20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 initiated construction of an approximate 2 million square foot semiconductor memory manufacturing facility in Lehi, Utah. This facility is expected to include wafer fabrication, assembly, test, facility support, and administration operations. The cost of the Utah facility is currently estimated to approximate $2.5 billion. Initial wafer fabrication is currently expected in late calendar 1996 with completion between three to five years. Market conditions for semiconductor memory products will effect how quickly the Lehi complex is ramped to full capacity.</w:t>
      </w:r>
    </w:p>
    <w:p>
      <w:pPr>
        <w:spacing w:after="0" w:line="214"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Equipment with a book value of approximately $67 million is pledged as collateral for outstanding debt and capital leases as of August 31, 1995.</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Company is a party in various legal actions arising out of the normal course of business, none of which is expected to have a material effect on the Company's financial position or results of operations. See "Item 7. Management's Discussion and Analysis of Financial Condition and Results of Operations - Certain Factors."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There were no matters submitted to a vote of security holders during the fourth quarter of fiscal 1995.</w:t>
      </w:r>
    </w:p>
    <w:p>
      <w:pPr>
        <w:sectPr>
          <w:pgSz w:w="11900" w:h="16838" w:orient="portrait"/>
          <w:cols w:equalWidth="0" w:num="1">
            <w:col w:w="10219"/>
          </w:cols>
          <w:pgMar w:left="240" w:top="723" w:right="1440" w:bottom="1440" w:gutter="0" w:footer="0" w:header="0"/>
        </w:sectPr>
      </w:pPr>
    </w:p>
    <w:bookmarkStart w:id="21" w:name="page22"/>
    <w:bookmarkEnd w:id="21"/>
    <w:p>
      <w:pPr>
        <w:jc w:val="center"/>
        <w:ind w:right="2719"/>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860" w:right="2939" w:hanging="842"/>
        <w:spacing w:after="0" w:line="235" w:lineRule="auto"/>
        <w:rPr>
          <w:sz w:val="20"/>
          <w:szCs w:val="20"/>
          <w:color w:val="auto"/>
        </w:rPr>
      </w:pPr>
      <w:r>
        <w:rPr>
          <w:rFonts w:ascii="Courier New" w:cs="Courier New" w:eastAsia="Courier New" w:hAnsi="Courier New"/>
          <w:sz w:val="18"/>
          <w:szCs w:val="18"/>
          <w:color w:val="auto"/>
        </w:rPr>
        <w:t>Item 5. Market for Registrant's Common Equity and Related Stockholder Matters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for Common Stock</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Micron Technology, Inc.'s common stock is listed on the New York Stock Exchange and is traded under the symbol MU. The following table represents the high and low sales prices for the Company's common stock for each quarter of fiscal 1995 and 1994, as reported by The Wall Street Journal. All stock prices have been restated to reflect a 2 for 1 stock split (to shareholders of record as of May 4, 1995) and a 5 for 2 stock split (to shareholders of record as of April 1, 1994)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16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High</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Low</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1960" w:type="dxa"/>
            <w:vAlign w:val="bottom"/>
          </w:tcPr>
          <w:p>
            <w:pPr>
              <w:ind w:left="640"/>
              <w:spacing w:after="0"/>
              <w:rPr>
                <w:sz w:val="20"/>
                <w:szCs w:val="20"/>
                <w:color w:val="auto"/>
              </w:rPr>
            </w:pPr>
            <w:r>
              <w:rPr>
                <w:rFonts w:ascii="Courier New" w:cs="Courier New" w:eastAsia="Courier New" w:hAnsi="Courier New"/>
                <w:sz w:val="18"/>
                <w:szCs w:val="18"/>
                <w:color w:val="auto"/>
              </w:rPr>
              <w:t>4th quarter</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$78.00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$44.75</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3rd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32.56</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2nd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33.13</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1st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21.63</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4th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$22.44</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$15.31</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3rd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14.13</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2nd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8.73</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1st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12.73</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Holders of Record</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As of August 31, 1995, there were 5,649 shareholders of record of the Company's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Company declared and paid cash dividends totaling $0.15 during fiscal 1995, $0.06 in fiscal 1994 and $0.01 in fiscal 1993. Future dividends, if any, will vary depending on the Company's profitability and anticipated capital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38" w:lineRule="auto"/>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$2,952.7</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$1,628.6</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$828.3</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$506.3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$425.4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1,624.0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839.2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1,296.5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620.1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Cash dividend declared</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1,274.1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793.2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440.1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227.0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213.2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net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1,385.6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663.5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437.8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396.3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389.3</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2,774.9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1,529.7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965.7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724.5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604.8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1,896.2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1,049.3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511.2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494.8</w:t>
            </w:r>
          </w:p>
        </w:tc>
      </w:tr>
    </w:tbl>
    <w:p>
      <w:pPr>
        <w:spacing w:after="0" w:line="200" w:lineRule="exact"/>
        <w:rPr>
          <w:sz w:val="20"/>
          <w:szCs w:val="20"/>
          <w:color w:val="auto"/>
        </w:rPr>
      </w:pP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See "Item 7. Management's Discussion and Analysis of Financial Condition and Results of Operations - Certain Factors."</w:t>
      </w:r>
    </w:p>
    <w:p>
      <w:pPr>
        <w:sectPr>
          <w:pgSz w:w="11900" w:h="16838" w:orient="portrait"/>
          <w:cols w:equalWidth="0" w:num="1">
            <w:col w:w="10219"/>
          </w:cols>
          <w:pgMar w:left="240" w:top="514" w:right="1440" w:bottom="527" w:gutter="0" w:footer="0" w:header="0"/>
        </w:sectPr>
      </w:pPr>
    </w:p>
    <w:bookmarkStart w:id="22" w:name="page23"/>
    <w:bookmarkEnd w:id="22"/>
    <w:p>
      <w:pPr>
        <w:ind w:right="303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All yearly references are to the Company's fiscal years ended August 31, 1995, September 1, 1994, or September 2, 1993, unless otherwise indicated. Shares and per share amounts have been restated to reflect</w:t>
      </w:r>
    </w:p>
    <w:p>
      <w:pPr>
        <w:spacing w:after="0" w:line="1" w:lineRule="exact"/>
        <w:rPr>
          <w:sz w:val="20"/>
          <w:szCs w:val="20"/>
          <w:color w:val="auto"/>
        </w:rPr>
      </w:pPr>
    </w:p>
    <w:p>
      <w:pPr>
        <w:jc w:val="both"/>
        <w:ind w:right="3159"/>
        <w:spacing w:after="0" w:line="268" w:lineRule="auto"/>
        <w:rPr>
          <w:sz w:val="20"/>
          <w:szCs w:val="20"/>
          <w:color w:val="auto"/>
        </w:rPr>
      </w:pPr>
      <w:r>
        <w:rPr>
          <w:rFonts w:ascii="Courier New" w:cs="Courier New" w:eastAsia="Courier New" w:hAnsi="Courier New"/>
          <w:sz w:val="16"/>
          <w:szCs w:val="16"/>
          <w:color w:val="auto"/>
        </w:rPr>
        <w:t>a 2 for 1 stock split (to shareholders of record as of May 4, 1995) and a 5 for 2 stock split (to shareholders of record as of April 1,</w:t>
      </w:r>
    </w:p>
    <w:p>
      <w:pPr>
        <w:ind w:right="2319"/>
        <w:spacing w:after="0" w:line="235" w:lineRule="auto"/>
        <w:rPr>
          <w:sz w:val="20"/>
          <w:szCs w:val="20"/>
          <w:color w:val="auto"/>
        </w:rPr>
      </w:pPr>
      <w:r>
        <w:rPr>
          <w:rFonts w:ascii="Courier New" w:cs="Courier New" w:eastAsia="Courier New" w:hAnsi="Courier New"/>
          <w:sz w:val="18"/>
          <w:szCs w:val="18"/>
          <w:color w:val="auto"/>
        </w:rPr>
        <w:t>1994) effected in the form of a stock dividend. All tabular dollar amounts are stated in millions.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2839" w:firstLine="527"/>
        <w:spacing w:after="0" w:line="272" w:lineRule="auto"/>
        <w:rPr>
          <w:sz w:val="20"/>
          <w:szCs w:val="20"/>
          <w:color w:val="auto"/>
        </w:rPr>
      </w:pPr>
      <w:r>
        <w:rPr>
          <w:rFonts w:ascii="Courier New" w:cs="Courier New" w:eastAsia="Courier New" w:hAnsi="Courier New"/>
          <w:sz w:val="16"/>
          <w:szCs w:val="16"/>
          <w:color w:val="auto"/>
        </w:rPr>
        <w:t>Net income for 1995 was $844 million, or $3.90 per fully diluted share, on net sales of $2,953 million. The Company achieved record sales and net income in 1995 primarily as a result of continued stable pricing and increased production of semiconductor memory and increased sales of PC systems. Net income for 1994 was $401 million, or $1.90 per fully diluted share, on net sales of $1,629 million.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following table presents the Company's net sales by related products or services. The value of the Company's semiconductor memory products included in PC systems and other products is included in the caption "Semiconductor memory products." The caption "Other" includes revenue from contract manufacturing and module assembly services, construction management services, government contracts, and licensing fees.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2"/>
              </w:rPr>
              <w:t>1995</w:t>
            </w:r>
          </w:p>
        </w:tc>
        <w:tc>
          <w:tcPr>
            <w:tcW w:w="222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180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18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8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Net Sales % of Total</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of Total</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of Total</w:t>
            </w:r>
          </w:p>
        </w:tc>
      </w:tr>
      <w:tr>
        <w:trPr>
          <w:trHeight w:val="203"/>
        </w:trPr>
        <w:tc>
          <w:tcPr>
            <w:tcW w:w="18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Semiconductor</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memory products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$1,367.5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Personal computer</w:t>
            </w: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8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net sales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$2,952.7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$1,628.6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8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154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$2,952.7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81.3%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$1,628.6</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96.6%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$828.3</w:t>
            </w:r>
          </w:p>
        </w:tc>
      </w:tr>
    </w:tbl>
    <w:p>
      <w:pPr>
        <w:spacing w:after="0" w:line="200" w:lineRule="exact"/>
        <w:rPr>
          <w:sz w:val="20"/>
          <w:szCs w:val="20"/>
          <w:color w:val="auto"/>
        </w:rPr>
      </w:pPr>
    </w:p>
    <w:p>
      <w:pPr>
        <w:spacing w:after="0" w:line="209"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The substantial increase in net sales in 1995 compared to 1994 was principally due to increased production and current favorable market conditions for the Company's semiconductor memory products, in particular the 4 Meg DRAM, and a higher level of net sales of PC systems. Although the volume of wafers produced during 1995 increased only moderately compared to 1994, total megabits produced increased approximately 74% principally due to ongoing transitions to successive shrink versions of existing memory products, particularly the 4 Meg DRAM, shift in the Company's mix of semiconductor memory products to a higher average density, and enhanced yields on existing memory products. Demand for the 4 Meg DRAM remained strong and prices remained stable for the Company's DRAM products during 1995. The relatively stable prices for the Company's DRAM products over the past three years represents a deviation from the historical long-term trend of declining DRAM prices per megabit. While current demand appears to be in excess of world-wide supply, the Company is unable to predict if, or when, a combination of product shrinks, yield improvements, and capacity expansions will allow world-wide supply to equal or exceed demand, or to predict changes in demand and the corresponding effects on pricing for the Company's products.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principal product in 1995 was the 4 Meg DRAM which</w:t>
      </w:r>
    </w:p>
    <w:p>
      <w:pPr>
        <w:sectPr>
          <w:pgSz w:w="11900" w:h="16838" w:orient="portrait"/>
          <w:cols w:equalWidth="0" w:num="1">
            <w:col w:w="10219"/>
          </w:cols>
          <w:pgMar w:left="240" w:top="925" w:right="1440" w:bottom="0" w:gutter="0" w:footer="0" w:header="0"/>
        </w:sectPr>
      </w:pPr>
    </w:p>
    <w:bookmarkStart w:id="23" w:name="page24"/>
    <w:bookmarkEnd w:id="23"/>
    <w:p>
      <w:pPr>
        <w:ind w:right="2839"/>
        <w:spacing w:after="0" w:line="237" w:lineRule="auto"/>
        <w:rPr>
          <w:sz w:val="20"/>
          <w:szCs w:val="20"/>
          <w:color w:val="auto"/>
        </w:rPr>
      </w:pPr>
      <w:r>
        <w:rPr>
          <w:rFonts w:ascii="Courier New" w:cs="Courier New" w:eastAsia="Courier New" w:hAnsi="Courier New"/>
          <w:sz w:val="18"/>
          <w:szCs w:val="18"/>
          <w:color w:val="auto"/>
        </w:rPr>
        <w:t>comprised approximately 83% of the net sales of the semiconductor memory products, and 64% of total net sales. SRAM net sales were higher in 1995 as compared to 1994, but declined as a percentage of net sales of semiconductor memory products to approximately 8% in 1995 due to the Company's production emphasis on the 4 Meg DRAM. SRAM net sales were 10% and 16% of net sales of semiconductor products in 1994 and 1993, respectively.</w:t>
      </w:r>
    </w:p>
    <w:p>
      <w:pPr>
        <w:spacing w:after="0" w:line="211"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Net sales of PC systems, less the value of the Company's semiconductor memory included therein, increased to approximately 15% of the Company's total net sales for 1995 from 5% and 2% in 1994 and 1993, respectively. PC sales increased principally</w:t>
      </w:r>
    </w:p>
    <w:p>
      <w:pPr>
        <w:sectPr>
          <w:pgSz w:w="11900" w:h="16838" w:orient="portrait"/>
          <w:cols w:equalWidth="0" w:num="1">
            <w:col w:w="10219"/>
          </w:cols>
          <w:pgMar w:left="240" w:top="142" w:right="1440" w:bottom="1440" w:gutter="0" w:footer="0" w:header="0"/>
        </w:sectPr>
      </w:pPr>
    </w:p>
    <w:bookmarkStart w:id="24" w:name="page25"/>
    <w:bookmarkEnd w:id="24"/>
    <w:p>
      <w:pPr>
        <w:ind w:right="2519"/>
        <w:spacing w:after="0" w:line="237" w:lineRule="auto"/>
        <w:rPr>
          <w:sz w:val="20"/>
          <w:szCs w:val="20"/>
          <w:color w:val="auto"/>
        </w:rPr>
      </w:pPr>
      <w:r>
        <w:rPr>
          <w:rFonts w:ascii="Courier New" w:cs="Courier New" w:eastAsia="Courier New" w:hAnsi="Courier New"/>
          <w:sz w:val="18"/>
          <w:szCs w:val="18"/>
          <w:color w:val="auto"/>
        </w:rPr>
        <w:t>due to increased demand for the Company's PC systems as a result of greater brand name recognition and market acceptance of such products. Increased brand name recognition and market acceptance resulted primarily from the receipt of a number of awards from computer trade magazines relating to performance characteristics of its systems and increased advertising expenditures. In addition, approximately 22% of the Company's PC sales during 1995 were attributable to sales of ZEOS brand name PC systems subsequent to the Company's acquisition of ZEOS.</w:t>
      </w:r>
    </w:p>
    <w:p>
      <w:pPr>
        <w:spacing w:after="0" w:line="212"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Net sales in 1994 increased compared to 1993 principally due to the relatively stable prices for semiconductor memory products and the comparatively higher volume of semiconductor memory produced in 1994. The Company's production of semiconductor memory as measured in megabits nearly doubled in 1994 compared to 1993, principally as a result of expenditures on equipment and facilities; improved manufacturing yields resulting from increased manufacturing efficiencies; and conversion to shrink versions of then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0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$1,328.7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$517.2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w:t>
            </w:r>
          </w:p>
        </w:tc>
        <w:tc>
          <w:tcPr>
            <w:tcW w:w="1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51.5%</w:t>
            </w:r>
          </w:p>
        </w:tc>
        <w:tc>
          <w:tcPr>
            <w:tcW w:w="1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w:t>
            </w:r>
          </w:p>
        </w:tc>
      </w:tr>
    </w:tbl>
    <w:p>
      <w:pPr>
        <w:spacing w:after="0" w:line="200" w:lineRule="exact"/>
        <w:rPr>
          <w:sz w:val="20"/>
          <w:szCs w:val="20"/>
          <w:color w:val="auto"/>
        </w:rPr>
      </w:pPr>
    </w:p>
    <w:p>
      <w:pPr>
        <w:spacing w:after="0" w:line="209"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Company's gross margin percentage in 1995 was slightly higher than that experienced in 1994 primarily as a result of a higher gross margin percentage on the Company's semiconductor memory products offset in part by the effects of a higher level of net sales of PC systems, which generally have considerably lower gross margins. The Company's gross margin percentage on semiconductor memory products increased to approximately 65% in 1995, compared to 57% and 39% in 1994 and 1993, respectively. The higher gross margin percentage for semiconductor memory products in 1995 was principally due to relatively stable selling prices for such products as compared to decreases in per unit manufacturing costs. Decreases in per unit manufacturing costs were principally due to the greater number of potential die per wafer achieved through transitions to shrink versions of existing products and shifts in the Company's mix of semiconductor memory products to a higher average density, improved manufacturing yields, and increased wafer output.</w:t>
      </w:r>
    </w:p>
    <w:p>
      <w:pPr>
        <w:spacing w:after="0" w:line="208"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The Company continues limited production of its 16 Meg DRAM at a level only sufficient to continue development of process efficiencies. The Company continues to maximize its production of the 4 Meg DRAM, which is currently the most profitable product offered by the Company. The Company believes the market transition to the 16 Meg DRAM as the primary DRAM product will be largely driven by the timing of increases in demand for main memory in PC systems and by the increasing market availability of the 1 Meg x 16 configuration of the 16 Meg DRAM. Currently, most PC systems are sold with between 8 and 12 megabytes of main memory. Such system requirements can be satisfied with memory modules comprised of either 1 Meg x 4 (4 Meg) DRAMs or 1 Meg x 16 (16 Meg) DRAMs. The present limited market availability of the 1 Meg x 16 configuration of the 16 Meg DRAM has made the 1 Meg x 4 DRAM module a more cost-effective solution and has resulted in continued demand for the 4 Meg DRAM. When typical PC system requirements exceed 16 megabytes, memory modules can no longer cost-effectively incorporate 4 Meg DRAMs. Either increasing availability of the 1 Meg x 16 configuration of the 16 Meg DRAM or an increase in PC main memory requirements to in excess of 16 megabytes will likely cause an industry transition to the 16 Meg DRAM as its primary product. The Company's transition to the 16 Meg DRAM as its principal memory product could have a negative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The Company's gross margin percentage on sales of PC systems has been lower than the Company's overall gross margin percentage. Intense pricing pressure in the PC market has caused the Company to reduce the average selling prices of its PC systems at a rate faster than the decline in the Company's cost of components. In addition, the PC market's ongoing transition to new products and product features may have an adverse effect on the Company's PC gross margins by increasing inventory obsolescence and, to a lesser extent, decreasing manufacturing efficiencies. Should the rate</w:t>
      </w:r>
    </w:p>
    <w:p>
      <w:pPr>
        <w:sectPr>
          <w:pgSz w:w="11900" w:h="16838" w:orient="portrait"/>
          <w:cols w:equalWidth="0" w:num="1">
            <w:col w:w="10219"/>
          </w:cols>
          <w:pgMar w:left="240" w:top="723"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of future growth in net sales of PC systems exceed the rate of future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growth of the balance of the Company's products, the Company's overall gross margin would decrease.</w:t>
      </w:r>
    </w:p>
    <w:p>
      <w:pPr>
        <w:spacing w:after="0" w:line="208"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Cost of goods sold includes estimated costs of settlement or adjudication of asserted and unasserted claims for patent infringement prior to the balance sheet date, and costs of product and process technology licensing arrangements. Product and process technology costs decreased as a percentage of total net sales in 1995 principally due to a paid-up license which became fully amortized late in 1994, and the higher level of net sales of PC systems in 1995 which are subject to generally lower royalty costs compared to the Company's semiconductor memory products. Future product and process technology charges may increase, however, as a result of claims that may be asserted in the future. See "Certain Factors."</w:t>
      </w:r>
    </w:p>
    <w:p>
      <w:pPr>
        <w:sectPr>
          <w:pgSz w:w="11900" w:h="16838" w:orient="portrait"/>
          <w:cols w:equalWidth="0" w:num="1">
            <w:col w:w="10219"/>
          </w:cols>
          <w:pgMar w:left="240" w:top="136" w:right="1440" w:bottom="1440" w:gutter="0" w:footer="0" w:header="0"/>
        </w:sectPr>
      </w:pPr>
    </w:p>
    <w:bookmarkStart w:id="26" w:name="page27"/>
    <w:bookmarkEnd w:id="26"/>
    <w:p>
      <w:pPr>
        <w:ind w:right="2419" w:firstLine="527"/>
        <w:spacing w:after="0" w:line="268" w:lineRule="auto"/>
        <w:rPr>
          <w:sz w:val="20"/>
          <w:szCs w:val="20"/>
          <w:color w:val="auto"/>
        </w:rPr>
      </w:pPr>
      <w:r>
        <w:rPr>
          <w:rFonts w:ascii="Courier New" w:cs="Courier New" w:eastAsia="Courier New" w:hAnsi="Courier New"/>
          <w:sz w:val="16"/>
          <w:szCs w:val="16"/>
          <w:color w:val="auto"/>
        </w:rPr>
        <w:t>The significant increase in gross margin percentage for 1994 compared to 1993 was principally due to relatively stable prices and reductions</w:t>
      </w:r>
    </w:p>
    <w:p>
      <w:pPr>
        <w:spacing w:after="0"/>
        <w:tabs>
          <w:tab w:leader="none" w:pos="5460" w:val="left"/>
        </w:tabs>
        <w:rPr>
          <w:sz w:val="20"/>
          <w:szCs w:val="20"/>
          <w:color w:val="auto"/>
        </w:rPr>
      </w:pPr>
      <w:r>
        <w:rPr>
          <w:rFonts w:ascii="Courier New" w:cs="Courier New" w:eastAsia="Courier New" w:hAnsi="Courier New"/>
          <w:sz w:val="18"/>
          <w:szCs w:val="18"/>
          <w:color w:val="auto"/>
        </w:rPr>
        <w:t>in cost per unit of memory sold for DRAM products.</w:t>
      </w:r>
      <w:r>
        <w:rPr>
          <w:sz w:val="20"/>
          <w:szCs w:val="20"/>
          <w:color w:val="auto"/>
        </w:rPr>
        <w:tab/>
      </w:r>
      <w:r>
        <w:rPr>
          <w:rFonts w:ascii="Courier New" w:cs="Courier New" w:eastAsia="Courier New" w:hAnsi="Courier New"/>
          <w:sz w:val="16"/>
          <w:szCs w:val="16"/>
          <w:color w:val="auto"/>
        </w:rPr>
        <w:t>Reductions in cost</w:t>
      </w:r>
    </w:p>
    <w:p>
      <w:pPr>
        <w:spacing w:after="0"/>
        <w:rPr>
          <w:sz w:val="20"/>
          <w:szCs w:val="20"/>
          <w:color w:val="auto"/>
        </w:rPr>
      </w:pPr>
      <w:r>
        <w:rPr>
          <w:rFonts w:ascii="Courier New" w:cs="Courier New" w:eastAsia="Courier New" w:hAnsi="Courier New"/>
          <w:sz w:val="18"/>
          <w:szCs w:val="18"/>
          <w:color w:val="auto"/>
        </w:rPr>
        <w:t>per unit sold were realized primarily from a combination of increased</w:t>
      </w:r>
    </w:p>
    <w:p>
      <w:pPr>
        <w:spacing w:after="0" w:line="237" w:lineRule="auto"/>
        <w:rPr>
          <w:sz w:val="20"/>
          <w:szCs w:val="20"/>
          <w:color w:val="auto"/>
        </w:rPr>
      </w:pPr>
      <w:r>
        <w:rPr>
          <w:rFonts w:ascii="Courier New" w:cs="Courier New" w:eastAsia="Courier New" w:hAnsi="Courier New"/>
          <w:sz w:val="18"/>
          <w:szCs w:val="18"/>
          <w:color w:val="auto"/>
        </w:rPr>
        <w:t>wafer output, yield improvements, die shrinks, and transitions to</w:t>
      </w:r>
    </w:p>
    <w:p>
      <w:pPr>
        <w:spacing w:after="0"/>
        <w:rPr>
          <w:sz w:val="20"/>
          <w:szCs w:val="20"/>
          <w:color w:val="auto"/>
        </w:rPr>
      </w:pPr>
      <w:r>
        <w:rPr>
          <w:rFonts w:ascii="Courier New" w:cs="Courier New" w:eastAsia="Courier New" w:hAnsi="Courier New"/>
          <w:sz w:val="18"/>
          <w:szCs w:val="18"/>
          <w:color w:val="auto"/>
        </w:rPr>
        <w:t>generally higher density</w:t>
      </w:r>
    </w:p>
    <w:p>
      <w:pPr>
        <w:spacing w:after="0" w:line="237" w:lineRule="auto"/>
        <w:rPr>
          <w:sz w:val="20"/>
          <w:szCs w:val="20"/>
          <w:color w:val="auto"/>
        </w:rPr>
      </w:pPr>
      <w:r>
        <w:rPr>
          <w:rFonts w:ascii="Courier New" w:cs="Courier New" w:eastAsia="Courier New" w:hAnsi="Courier New"/>
          <w:sz w:val="18"/>
          <w:szCs w:val="18"/>
          <w:color w:val="auto"/>
        </w:rPr>
        <w:t>memory products.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Selling, general,</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as a</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 of net sales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w:t>
            </w:r>
          </w:p>
        </w:tc>
        <w:tc>
          <w:tcPr>
            <w:tcW w:w="1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w:t>
            </w:r>
          </w:p>
        </w:tc>
        <w:tc>
          <w:tcPr>
            <w:tcW w:w="1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higher level of selling, general, and administrative expenses for</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1995 as compared to 1994 principally resulted from a higher level of personnel costs associated with the Company's profit sharing programs, increased number of administrative employees, and to a lesser extent, increased advertising and credit card processing fees associated with the increased level of net sales of the Company's PC systems. Such increases were partially offset by a reduction in legal fees compared to 1994 primarily resulting from the Company's settlement of patent litigation in 1994.</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increase in selling, general, and administration expenses in 1994 compared to 1993 were primarily a result of a higher level of</w:t>
      </w:r>
    </w:p>
    <w:p>
      <w:pPr>
        <w:spacing w:after="0" w:line="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personnel costs associated with the Company's profit sharing programs; increased costs incurred with the Company's action before the International Trade Commission and patent litigation, each of which was settled in 1994; increased sales commissions based on a higher level of net sales; and a higher level of state sales tax.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0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Research and</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development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$128.8</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 a % of net sales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w:t>
            </w:r>
          </w:p>
        </w:tc>
        <w:tc>
          <w:tcPr>
            <w:tcW w:w="1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1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bl>
    <w:p>
      <w:pPr>
        <w:spacing w:after="0" w:line="200" w:lineRule="exact"/>
        <w:rPr>
          <w:sz w:val="20"/>
          <w:szCs w:val="20"/>
          <w:color w:val="auto"/>
        </w:rPr>
      </w:pP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Research and development expenses vary primarily based on the number of wafers and personnel dedicated to new product and process development. Research and development efforts in 1995 were focused primarily on development of 16 Meg and 4 Meg DRAM shrinks, 32K x 32</w:t>
      </w:r>
    </w:p>
    <w:p>
      <w:pPr>
        <w:spacing w:after="0" w:line="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and 32K x 36 synchronous SRAMs, and design and development of the 64 Meg and 256 Meg DRAMs. The Company expects the level of research and development expenses in 1996 to be higher than in 1995 as additional resources are dedicated to the 16 Meg and 64 Meg DRAMs and the design and development of the 256 Meg DRAM, as well as design and development of new technologies including radio frequency identification systems, non-volatile semiconductor memory devices, and field emission flat panel displays.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Income tax provision  $506.4</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125%</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$225.3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$58.5</w:t>
            </w:r>
          </w:p>
        </w:tc>
      </w:tr>
    </w:tbl>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effective tax rate for 1995 is 37.5% which primarily reflects the statutory corporate tax rate and the net effect of state taxation.</w:t>
      </w:r>
    </w:p>
    <w:p>
      <w:pPr>
        <w:spacing w:after="0" w:line="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effective tax rate for 1994 and 1993 was 36%. The increase in the Company's effective tax rate in 1995 was principally due to the change in the mix of income among taxing jurisdictions and the decreased utilization of state tax credits as a percentage of pretax income. State income taxes have been reduced by state tax credits.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Transaction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1995, the Company acquired ZEOS International, Ltd. ("ZEOS"),</w:t>
      </w:r>
    </w:p>
    <w:p>
      <w:pPr>
        <w:sectPr>
          <w:pgSz w:w="11900" w:h="16838" w:orient="portrait"/>
          <w:cols w:equalWidth="0" w:num="1">
            <w:col w:w="10219"/>
          </w:cols>
          <w:pgMar w:left="240" w:top="723" w:right="1440" w:bottom="0" w:gutter="0" w:footer="0" w:header="0"/>
        </w:sectPr>
      </w:pPr>
    </w:p>
    <w:bookmarkStart w:id="27" w:name="page28"/>
    <w:bookmarkEnd w:id="27"/>
    <w:p>
      <w:pPr>
        <w:ind w:right="2839"/>
        <w:spacing w:after="0" w:line="237" w:lineRule="auto"/>
        <w:rPr>
          <w:sz w:val="20"/>
          <w:szCs w:val="20"/>
          <w:color w:val="auto"/>
        </w:rPr>
      </w:pPr>
      <w:r>
        <w:rPr>
          <w:rFonts w:ascii="Courier New" w:cs="Courier New" w:eastAsia="Courier New" w:hAnsi="Courier New"/>
          <w:sz w:val="18"/>
          <w:szCs w:val="18"/>
          <w:color w:val="auto"/>
        </w:rPr>
        <w:t>a manufacturer of PC systems, in a merger transaction accounted for as a purchase. Under terms of the transaction, the Company merged two of its operating subsidiaries, Micron Computer, Inc., and Micron Custom Manufacturing Services, Inc., with and into ZEOS on April 7, 1995, in exchange for an approximate 79% ownership interest in ZEOS. The newly merged company was renamed Micron Electronics, Inc. ("MEI"), and the results of its operations (including those of the former ZEOS operation subsequent to the merger date) are included in the consolidated financial statements of the Company. The merger resulted in the recognition of an approximate $29.0 million pretax nonrecurring gain.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Company had cash and liquid investments of $556 million as of August 31, 1995, representing an increase of $123 million during 1995. The Company's principal sources of liquidity during 1995 were cash flows from operations of $1,039 million, equipment financing of $231 million, proceeds from issuance of long-term debt of $62 million, proceeds from issuance of common stock in connection with the Company's employee stock purchase and stock option plans of $18 million. The principal uses of funds in 1995 were $961 million for property, plant, and equipment, $203 million for repayments of equipment contracts, $63 million for payments on long-term debt, and $31 million for payments of cash dividends.</w:t>
      </w:r>
    </w:p>
    <w:p>
      <w:pPr>
        <w:sectPr>
          <w:pgSz w:w="11900" w:h="16838" w:orient="portrait"/>
          <w:cols w:equalWidth="0" w:num="1">
            <w:col w:w="10219"/>
          </w:cols>
          <w:pgMar w:left="240" w:top="142" w:right="1440" w:bottom="1440" w:gutter="0" w:footer="0" w:header="0"/>
        </w:sectPr>
      </w:pPr>
    </w:p>
    <w:bookmarkStart w:id="28" w:name="page29"/>
    <w:bookmarkEnd w:id="28"/>
    <w:p>
      <w:pPr>
        <w:ind w:right="2839" w:firstLine="527"/>
        <w:spacing w:after="0" w:line="237" w:lineRule="auto"/>
        <w:rPr>
          <w:sz w:val="20"/>
          <w:szCs w:val="20"/>
          <w:color w:val="auto"/>
        </w:rPr>
      </w:pPr>
      <w:r>
        <w:rPr>
          <w:rFonts w:ascii="Courier New" w:cs="Courier New" w:eastAsia="Courier New" w:hAnsi="Courier New"/>
          <w:sz w:val="18"/>
          <w:szCs w:val="18"/>
          <w:color w:val="auto"/>
        </w:rPr>
        <w:t>As of August 31, 1995, the Company had contractual commitments extending through calendar 1998 of approximately $643 million for equipment purchases and approximately $35 million for the construction of buildings. The cost of the Utah complex is currently estimated to be approximately $2.5 billion. Substantially all of the Company's near term cash flows from operations are expected to be dedicated to these capacity improvement programs. The Company can give no assurance that the expansion programs will be completed as currently scheduled or within current cost estimates.</w:t>
      </w:r>
    </w:p>
    <w:p>
      <w:pPr>
        <w:spacing w:after="0" w:line="214" w:lineRule="exact"/>
        <w:rPr>
          <w:sz w:val="20"/>
          <w:szCs w:val="20"/>
          <w:color w:val="auto"/>
        </w:rPr>
      </w:pPr>
    </w:p>
    <w:p>
      <w:pPr>
        <w:ind w:right="2319" w:firstLine="527"/>
        <w:spacing w:after="0"/>
        <w:rPr>
          <w:sz w:val="20"/>
          <w:szCs w:val="20"/>
          <w:color w:val="auto"/>
        </w:rPr>
      </w:pPr>
      <w:r>
        <w:rPr>
          <w:rFonts w:ascii="Courier New" w:cs="Courier New" w:eastAsia="Courier New" w:hAnsi="Courier New"/>
          <w:sz w:val="18"/>
          <w:szCs w:val="18"/>
          <w:color w:val="auto"/>
        </w:rPr>
        <w:t>The Company believes continuing investments in manufacturing technology, facilities and capital equipment, research and development, and product and process technology are necessary to support future growth, achieve operating efficiencies, and maintain product quality. The Company periodically evaluates various alternatives to expand its production capacity and evaluates opportunities for product diversification. Although in recent periods the Company has been able to fund such investments principally through cash flows from operations and equipment financings, historically, in order to fund such investments, the Company has required external sources to supplement the Company's cash flows from operations. The Company's current expansion and capital improvement projects at the Boise and Lehi sites are currently estimated to cost approximately $4.5 billion. The Company may be required to pursue external sources of liquidity to complete its current expansion and capital improvement programs as scheduled. There can be no assurance that external sources of liquidity will be available to fund the Company's ongoing operations or expansion, diversification, and capital improvement programs on terms acceptable to the Company.</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Demand for semiconductor memory products has grown, fueled primarily</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growth in the personal computer industry. The Company and many of its competitors are adding new facilities designed to process 8-inch wafers, which have approximately 84% greater usable surface area than 6-inch wafers. In addition, many competitors are currently believed to be running</w:t>
      </w:r>
    </w:p>
    <w:p>
      <w:pPr>
        <w:spacing w:after="0" w:line="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their 16 Meg DRAM manufacturing operations at significantly lower yields than could be expected when such products mature. The amount of capacity to be placed into production and future yield improvements by these competitors would dramatically increase world-wide supply of semiconductor memory. Excess supply of semiconductor memory, changes in demand for semiconductor memory market conditions, or currency fluctuation resulting in a strengthening dollar against the yen, could result in downward pricing pressure. A decline in the current favorable product pricing would have a material adverse effect on the Company's results of operations.</w:t>
      </w:r>
    </w:p>
    <w:p>
      <w:pPr>
        <w:spacing w:after="0" w:line="215"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The Company is in the process of converting its existing wafer fabrication facilities and equipment to process 8-inch wafers from 6-inch. Such conversion requires expansion of portions of the Company's facilities and modifications, enhancements, or replacement of a significant portion of the Company's wafer processing equipment. There can be no assurance the Company will not experience an interruption of its manufacturing process or experience decreased manufacturing yields as a result of the conversion. An interruption of the manufacturing process or decreased manufacturing yields could have a material adverse effect on the Company's results of operations.</w:t>
      </w:r>
    </w:p>
    <w:p>
      <w:pPr>
        <w:spacing w:after="0" w:line="386"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The manufacture of the Company's semiconductor memory products is a complex process and involves a number of precise steps, including wafer fabrication, assembly in a variety of packages, burn-in, and final test. From time to time, the Company has experienced volatility in its manufacturing yields, as it is not unusual to encounter difficulties in ramping shrink versions of existing devices or new generation devices to commercial volumes.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 or at gross margin rates comparable to the Company's current primary products.</w:t>
      </w:r>
    </w:p>
    <w:p>
      <w:pPr>
        <w:sectPr>
          <w:pgSz w:w="11900" w:h="16838" w:orient="portrait"/>
          <w:cols w:equalWidth="0" w:num="1">
            <w:col w:w="10219"/>
          </w:cols>
          <w:pgMar w:left="240" w:top="723" w:right="1440" w:bottom="0" w:gutter="0" w:footer="0" w:header="0"/>
        </w:sectPr>
      </w:pPr>
    </w:p>
    <w:bookmarkStart w:id="29" w:name="page30"/>
    <w:bookmarkEnd w:id="29"/>
    <w:p>
      <w:pPr>
        <w:ind w:right="2519" w:firstLine="527"/>
        <w:spacing w:after="0" w:line="269"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which expire in calendar 1995, including an agreement with IBM. The Company is unable to predict whether these license agreements can be obtained or renewed on terms acceptable to the Company. Failure to renew such licenses could result in litigation and the attendant cost and diversion of resources associated therewith and could</w:t>
      </w:r>
    </w:p>
    <w:p>
      <w:pPr>
        <w:sectPr>
          <w:pgSz w:w="11900" w:h="16838" w:orient="portrait"/>
          <w:cols w:equalWidth="0" w:num="1">
            <w:col w:w="10219"/>
          </w:cols>
          <w:pgMar w:left="240" w:top="344" w:right="1440" w:bottom="1440" w:gutter="0" w:footer="0" w:header="0"/>
        </w:sectPr>
      </w:pPr>
    </w:p>
    <w:bookmarkStart w:id="30" w:name="page31"/>
    <w:bookmarkEnd w:id="30"/>
    <w:p>
      <w:pPr>
        <w:ind w:right="2619"/>
        <w:spacing w:after="0" w:line="236" w:lineRule="auto"/>
        <w:rPr>
          <w:sz w:val="20"/>
          <w:szCs w:val="20"/>
          <w:color w:val="auto"/>
        </w:rPr>
      </w:pPr>
      <w:r>
        <w:rPr>
          <w:rFonts w:ascii="Courier New" w:cs="Courier New" w:eastAsia="Courier New" w:hAnsi="Courier New"/>
          <w:sz w:val="18"/>
          <w:szCs w:val="18"/>
          <w:color w:val="auto"/>
        </w:rPr>
        <w:t>also result in material changes in the Company's production processes or products. Any such litigation on changes could have a material adverse effect on the Company's results of operations.</w:t>
      </w:r>
    </w:p>
    <w:p>
      <w:pPr>
        <w:spacing w:after="0" w:line="200" w:lineRule="exact"/>
        <w:rPr>
          <w:sz w:val="20"/>
          <w:szCs w:val="20"/>
          <w:color w:val="auto"/>
        </w:rPr>
      </w:pPr>
    </w:p>
    <w:p>
      <w:pPr>
        <w:spacing w:after="0" w:line="211"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 began construction of an additional manufacturing facility in Utah which represents a significant capital investment by the Company. While the Company has at times conducted certain assembly and test operations at sites remote to its primary manufacturing operation, the Lehi, Utah facility will be the Company's first fabrication facility off the Boise site. The success of the Utah operation will largely depend on the Company's ability to achieve manufacturing efficiencies comparable to the Boise facility, which is largely a function of the skill and dedication of its work force. As of August 31, 1995, the Company's semiconductor manufacturing operations employed approximately 5,900 employees, an increase of 1,250 during the past year, and it is anticipated that the Utah site will employ approximately 3,500 full-time employees. The inability of the Company to retain a qualified work force or to locate and hire qualified candidates could have a negative affect on existing operations or limit efficiencies to be obtained by the Company's expansion efforts.</w:t>
      </w:r>
    </w:p>
    <w:p>
      <w:pPr>
        <w:sectPr>
          <w:pgSz w:w="11900" w:h="16838" w:orient="portrait"/>
          <w:cols w:equalWidth="0" w:num="1">
            <w:col w:w="10219"/>
          </w:cols>
          <w:pgMar w:left="240" w:top="723" w:right="1440" w:bottom="1440" w:gutter="0" w:footer="0" w:header="0"/>
        </w:sectPr>
      </w:pPr>
    </w:p>
    <w:bookmarkStart w:id="31" w:name="page32"/>
    <w:bookmarkEnd w:id="31"/>
    <w:p>
      <w:pPr>
        <w:jc w:val="center"/>
        <w:ind w:right="283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Pursuant to the requirements of Section 13 or 15(d) of the</w:t>
      </w:r>
    </w:p>
    <w:p>
      <w:pPr>
        <w:spacing w:after="0" w:line="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Securities Exchange Act of 1934, the Registrant has duly caused this</w:t>
      </w:r>
    </w:p>
    <w:p>
      <w:pPr>
        <w:spacing w:after="0" w:line="21"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Form 10-K/A to be signed on its behalf by the undersigned, thereunto duly authorized, in the City of Boise, State of Idaho, on the 17th day of October, 1995.</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Wilbur G. Stover, Jr.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Wilbur G. Stover, Jr., Vice President,</w:t>
      </w:r>
    </w:p>
    <w:p>
      <w:pPr>
        <w:ind w:left="2640"/>
        <w:spacing w:after="0" w:line="237" w:lineRule="auto"/>
        <w:rPr>
          <w:sz w:val="20"/>
          <w:szCs w:val="20"/>
          <w:color w:val="auto"/>
        </w:rPr>
      </w:pPr>
      <w:r>
        <w:rPr>
          <w:rFonts w:ascii="Courier New" w:cs="Courier New" w:eastAsia="Courier New" w:hAnsi="Courier New"/>
          <w:sz w:val="18"/>
          <w:szCs w:val="18"/>
          <w:color w:val="auto"/>
        </w:rPr>
        <w:t>Finance, Chief Financial Officer and</w:t>
      </w:r>
    </w:p>
    <w:p>
      <w:pPr>
        <w:ind w:left="2640"/>
        <w:spacing w:after="0" w:line="238" w:lineRule="auto"/>
        <w:rPr>
          <w:sz w:val="20"/>
          <w:szCs w:val="20"/>
          <w:color w:val="auto"/>
        </w:rPr>
      </w:pPr>
      <w:r>
        <w:rPr>
          <w:rFonts w:ascii="Courier New" w:cs="Courier New" w:eastAsia="Courier New" w:hAnsi="Courier New"/>
          <w:sz w:val="18"/>
          <w:szCs w:val="18"/>
          <w:color w:val="auto"/>
        </w:rPr>
        <w:t>Corporate Secretary</w:t>
      </w:r>
    </w:p>
    <w:p>
      <w:pPr>
        <w:ind w:left="2640"/>
        <w:spacing w:after="0"/>
        <w:rPr>
          <w:sz w:val="20"/>
          <w:szCs w:val="20"/>
          <w:color w:val="auto"/>
        </w:rPr>
      </w:pPr>
      <w:r>
        <w:rPr>
          <w:rFonts w:ascii="Courier New" w:cs="Courier New" w:eastAsia="Courier New" w:hAnsi="Courier New"/>
          <w:sz w:val="18"/>
          <w:szCs w:val="18"/>
          <w:color w:val="auto"/>
        </w:rPr>
        <w:t>(Principal Financial and Accounting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2019-12-12T07:45:14Z</dcterms:created>
  <dcterms:modified xsi:type="dcterms:W3CDTF">2019-12-12T07:45:14Z</dcterms:modified>
</cp:coreProperties>
</file>