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251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2517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RAY MICHAEL CHARLES</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480" w:type="dxa"/>
            <w:vAlign w:val="bottom"/>
            <w:tcBorders>
              <w:top w:val="single" w:sz="8" w:color="0000EE"/>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294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01/27/2026</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SVP, Chief Legal Officer</w:t>
      </w:r>
    </w:p>
    <w:p>
      <w:pPr>
        <w:spacing w:after="0" w:line="336" w:lineRule="exact"/>
        <w:rPr>
          <w:sz w:val="20"/>
          <w:szCs w:val="20"/>
          <w:color w:val="auto"/>
        </w:rPr>
      </w:pPr>
    </w:p>
    <w:p>
      <w:pPr>
        <w:sectPr>
          <w:pgSz w:w="11900" w:h="16838" w:orient="portrait"/>
          <w:cols w:equalWidth="0" w:num="2">
            <w:col w:w="7660" w:space="75"/>
            <w:col w:w="3265"/>
          </w:cols>
          <w:pgMar w:left="460" w:top="219" w:right="439" w:bottom="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1760" w:type="dxa"/>
            <w:vAlign w:val="bottom"/>
            <w:tcBorders>
              <w:bottom w:val="single" w:sz="8" w:color="9A9A9A"/>
            </w:tcBorders>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540" w:type="dxa"/>
            <w:vAlign w:val="bottom"/>
            <w:gridSpan w:val="5"/>
            <w:vMerge w:val="continue"/>
          </w:tcPr>
          <w:p>
            <w:pPr>
              <w:spacing w:after="0"/>
              <w:rPr>
                <w:sz w:val="8"/>
                <w:szCs w:val="8"/>
                <w:color w:val="auto"/>
              </w:rPr>
            </w:pPr>
          </w:p>
        </w:tc>
        <w:tc>
          <w:tcPr>
            <w:tcW w:w="36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ID</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83716</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40" w:type="dxa"/>
            <w:vAlign w:val="bottom"/>
            <w:gridSpan w:val="4"/>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40" w:type="dxa"/>
            <w:vAlign w:val="bottom"/>
            <w:gridSpan w:val="4"/>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6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06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2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8"/>
          </w:tcPr>
          <w:p>
            <w:pPr>
              <w:jc w:val="right"/>
              <w:ind w:right="42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60" w:type="dxa"/>
            <w:vAlign w:val="bottom"/>
            <w:gridSpan w:val="2"/>
          </w:tcPr>
          <w:p>
            <w:pPr>
              <w:ind w:left="10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ind w:left="10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58"/>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jc w:val="center"/>
              <w:ind w:left="87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9"/>
              <w:spacing w:after="0"/>
              <w:rPr>
                <w:sz w:val="20"/>
                <w:szCs w:val="20"/>
                <w:color w:val="auto"/>
              </w:rPr>
            </w:pPr>
            <w:r>
              <w:rPr>
                <w:rFonts w:ascii="Times New Roman" w:cs="Times New Roman" w:eastAsia="Times New Roman" w:hAnsi="Times New Roman"/>
                <w:sz w:val="17"/>
                <w:szCs w:val="17"/>
                <w:color w:val="0000FF"/>
              </w:rPr>
              <w:t>01/27/2026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401.16</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86,743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9"/>
              <w:spacing w:after="0"/>
              <w:rPr>
                <w:sz w:val="20"/>
                <w:szCs w:val="20"/>
                <w:color w:val="auto"/>
              </w:rPr>
            </w:pPr>
            <w:r>
              <w:rPr>
                <w:rFonts w:ascii="Times New Roman" w:cs="Times New Roman" w:eastAsia="Times New Roman" w:hAnsi="Times New Roman"/>
                <w:sz w:val="17"/>
                <w:szCs w:val="17"/>
                <w:color w:val="0000FF"/>
              </w:rPr>
              <w:t>01/27/2026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403.24</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86,343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9"/>
              <w:spacing w:after="0"/>
              <w:rPr>
                <w:sz w:val="20"/>
                <w:szCs w:val="20"/>
                <w:color w:val="auto"/>
              </w:rPr>
            </w:pPr>
            <w:r>
              <w:rPr>
                <w:rFonts w:ascii="Times New Roman" w:cs="Times New Roman" w:eastAsia="Times New Roman" w:hAnsi="Times New Roman"/>
                <w:sz w:val="17"/>
                <w:szCs w:val="17"/>
                <w:color w:val="0000FF"/>
              </w:rPr>
              <w:t>01/27/2026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404.57</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86,043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9"/>
              <w:spacing w:after="0"/>
              <w:rPr>
                <w:sz w:val="20"/>
                <w:szCs w:val="20"/>
                <w:color w:val="auto"/>
              </w:rPr>
            </w:pPr>
            <w:r>
              <w:rPr>
                <w:rFonts w:ascii="Times New Roman" w:cs="Times New Roman" w:eastAsia="Times New Roman" w:hAnsi="Times New Roman"/>
                <w:sz w:val="17"/>
                <w:szCs w:val="17"/>
                <w:color w:val="0000FF"/>
              </w:rPr>
              <w:t>01/27/2026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405.79</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85,243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9"/>
              <w:spacing w:after="0"/>
              <w:rPr>
                <w:sz w:val="20"/>
                <w:szCs w:val="20"/>
                <w:color w:val="auto"/>
              </w:rPr>
            </w:pPr>
            <w:r>
              <w:rPr>
                <w:rFonts w:ascii="Times New Roman" w:cs="Times New Roman" w:eastAsia="Times New Roman" w:hAnsi="Times New Roman"/>
                <w:sz w:val="17"/>
                <w:szCs w:val="17"/>
                <w:color w:val="0000FF"/>
              </w:rPr>
              <w:t>01/27/2026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406.92</w:t>
            </w:r>
            <w:r>
              <w:rPr>
                <w:rFonts w:ascii="Times New Roman" w:cs="Times New Roman" w:eastAsia="Times New Roman" w:hAnsi="Times New Roman"/>
                <w:sz w:val="22"/>
                <w:szCs w:val="22"/>
                <w:color w:val="008000"/>
                <w:w w:val="95"/>
                <w:vertAlign w:val="superscript"/>
              </w:rPr>
              <w:t>(6)</w:t>
            </w:r>
          </w:p>
        </w:tc>
        <w:tc>
          <w:tcPr>
            <w:tcW w:w="114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83,643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9"/>
              <w:spacing w:after="0"/>
              <w:rPr>
                <w:sz w:val="20"/>
                <w:szCs w:val="20"/>
                <w:color w:val="auto"/>
              </w:rPr>
            </w:pPr>
            <w:r>
              <w:rPr>
                <w:rFonts w:ascii="Times New Roman" w:cs="Times New Roman" w:eastAsia="Times New Roman" w:hAnsi="Times New Roman"/>
                <w:sz w:val="17"/>
                <w:szCs w:val="17"/>
                <w:color w:val="0000FF"/>
              </w:rPr>
              <w:t>01/27/2026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407.95</w:t>
            </w:r>
            <w:r>
              <w:rPr>
                <w:rFonts w:ascii="Times New Roman" w:cs="Times New Roman" w:eastAsia="Times New Roman" w:hAnsi="Times New Roman"/>
                <w:sz w:val="22"/>
                <w:szCs w:val="22"/>
                <w:color w:val="008000"/>
                <w:w w:val="95"/>
                <w:vertAlign w:val="superscript"/>
              </w:rPr>
              <w:t>(7)</w:t>
            </w:r>
          </w:p>
        </w:tc>
        <w:tc>
          <w:tcPr>
            <w:tcW w:w="114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82,043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9"/>
              <w:spacing w:after="0"/>
              <w:rPr>
                <w:sz w:val="20"/>
                <w:szCs w:val="20"/>
                <w:color w:val="auto"/>
              </w:rPr>
            </w:pPr>
            <w:r>
              <w:rPr>
                <w:rFonts w:ascii="Times New Roman" w:cs="Times New Roman" w:eastAsia="Times New Roman" w:hAnsi="Times New Roman"/>
                <w:sz w:val="17"/>
                <w:szCs w:val="17"/>
                <w:color w:val="0000FF"/>
              </w:rPr>
              <w:t>01/27/2026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409.18</w:t>
            </w:r>
            <w:r>
              <w:rPr>
                <w:rFonts w:ascii="Times New Roman" w:cs="Times New Roman" w:eastAsia="Times New Roman" w:hAnsi="Times New Roman"/>
                <w:sz w:val="22"/>
                <w:szCs w:val="22"/>
                <w:color w:val="008000"/>
                <w:w w:val="95"/>
                <w:vertAlign w:val="superscript"/>
              </w:rPr>
              <w:t>(8)</w:t>
            </w:r>
          </w:p>
        </w:tc>
        <w:tc>
          <w:tcPr>
            <w:tcW w:w="114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80,043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9"/>
              <w:spacing w:after="0"/>
              <w:rPr>
                <w:sz w:val="20"/>
                <w:szCs w:val="20"/>
                <w:color w:val="auto"/>
              </w:rPr>
            </w:pPr>
            <w:r>
              <w:rPr>
                <w:rFonts w:ascii="Times New Roman" w:cs="Times New Roman" w:eastAsia="Times New Roman" w:hAnsi="Times New Roman"/>
                <w:sz w:val="17"/>
                <w:szCs w:val="17"/>
                <w:color w:val="0000FF"/>
              </w:rPr>
              <w:t>01/27/2026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1,168</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410.08</w:t>
            </w:r>
            <w:r>
              <w:rPr>
                <w:rFonts w:ascii="Times New Roman" w:cs="Times New Roman" w:eastAsia="Times New Roman" w:hAnsi="Times New Roman"/>
                <w:sz w:val="22"/>
                <w:szCs w:val="22"/>
                <w:color w:val="008000"/>
                <w:w w:val="95"/>
                <w:vertAlign w:val="superscript"/>
              </w:rPr>
              <w:t>(9)</w:t>
            </w:r>
          </w:p>
        </w:tc>
        <w:tc>
          <w:tcPr>
            <w:tcW w:w="114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78,875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9"/>
              <w:spacing w:after="0"/>
              <w:rPr>
                <w:sz w:val="20"/>
                <w:szCs w:val="20"/>
                <w:color w:val="auto"/>
              </w:rPr>
            </w:pPr>
            <w:r>
              <w:rPr>
                <w:rFonts w:ascii="Times New Roman" w:cs="Times New Roman" w:eastAsia="Times New Roman" w:hAnsi="Times New Roman"/>
                <w:sz w:val="17"/>
                <w:szCs w:val="17"/>
                <w:color w:val="0000FF"/>
              </w:rPr>
              <w:t>01/27/2026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411.22</w:t>
            </w:r>
            <w:r>
              <w:rPr>
                <w:rFonts w:ascii="Times New Roman" w:cs="Times New Roman" w:eastAsia="Times New Roman" w:hAnsi="Times New Roman"/>
                <w:sz w:val="22"/>
                <w:szCs w:val="22"/>
                <w:color w:val="008000"/>
                <w:w w:val="94"/>
                <w:vertAlign w:val="superscript"/>
              </w:rPr>
              <w:t>(10)</w:t>
            </w:r>
          </w:p>
        </w:tc>
        <w:tc>
          <w:tcPr>
            <w:tcW w:w="114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77,975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9"/>
              <w:spacing w:after="0"/>
              <w:rPr>
                <w:sz w:val="20"/>
                <w:szCs w:val="20"/>
                <w:color w:val="auto"/>
              </w:rPr>
            </w:pPr>
            <w:r>
              <w:rPr>
                <w:rFonts w:ascii="Times New Roman" w:cs="Times New Roman" w:eastAsia="Times New Roman" w:hAnsi="Times New Roman"/>
                <w:sz w:val="17"/>
                <w:szCs w:val="17"/>
                <w:color w:val="0000FF"/>
              </w:rPr>
              <w:t>01/27/2026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412.44</w:t>
            </w:r>
            <w:r>
              <w:rPr>
                <w:rFonts w:ascii="Times New Roman" w:cs="Times New Roman" w:eastAsia="Times New Roman" w:hAnsi="Times New Roman"/>
                <w:sz w:val="22"/>
                <w:szCs w:val="22"/>
                <w:color w:val="008000"/>
                <w:w w:val="94"/>
                <w:vertAlign w:val="superscript"/>
              </w:rPr>
              <w:t>(11)</w:t>
            </w:r>
          </w:p>
        </w:tc>
        <w:tc>
          <w:tcPr>
            <w:tcW w:w="114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77,575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9"/>
              <w:spacing w:after="0"/>
              <w:rPr>
                <w:sz w:val="20"/>
                <w:szCs w:val="20"/>
                <w:color w:val="auto"/>
              </w:rPr>
            </w:pPr>
            <w:r>
              <w:rPr>
                <w:rFonts w:ascii="Times New Roman" w:cs="Times New Roman" w:eastAsia="Times New Roman" w:hAnsi="Times New Roman"/>
                <w:sz w:val="17"/>
                <w:szCs w:val="17"/>
                <w:color w:val="0000FF"/>
              </w:rPr>
              <w:t>01/27/2026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413.82</w:t>
            </w:r>
            <w:r>
              <w:rPr>
                <w:rFonts w:ascii="Times New Roman" w:cs="Times New Roman" w:eastAsia="Times New Roman" w:hAnsi="Times New Roman"/>
                <w:sz w:val="22"/>
                <w:szCs w:val="22"/>
                <w:color w:val="008000"/>
                <w:w w:val="94"/>
                <w:vertAlign w:val="superscript"/>
              </w:rPr>
              <w:t>(12)</w:t>
            </w:r>
          </w:p>
        </w:tc>
        <w:tc>
          <w:tcPr>
            <w:tcW w:w="114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76,775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9"/>
              <w:spacing w:after="0"/>
              <w:rPr>
                <w:sz w:val="20"/>
                <w:szCs w:val="20"/>
                <w:color w:val="auto"/>
              </w:rPr>
            </w:pPr>
            <w:r>
              <w:rPr>
                <w:rFonts w:ascii="Times New Roman" w:cs="Times New Roman" w:eastAsia="Times New Roman" w:hAnsi="Times New Roman"/>
                <w:sz w:val="17"/>
                <w:szCs w:val="17"/>
                <w:color w:val="0000FF"/>
              </w:rPr>
              <w:t>01/27/2026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414.61</w:t>
            </w:r>
            <w:r>
              <w:rPr>
                <w:rFonts w:ascii="Times New Roman" w:cs="Times New Roman" w:eastAsia="Times New Roman" w:hAnsi="Times New Roman"/>
                <w:sz w:val="22"/>
                <w:szCs w:val="22"/>
                <w:color w:val="008000"/>
                <w:w w:val="94"/>
                <w:vertAlign w:val="superscript"/>
              </w:rPr>
              <w:t>(13)</w:t>
            </w:r>
          </w:p>
        </w:tc>
        <w:tc>
          <w:tcPr>
            <w:tcW w:w="114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75,175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9"/>
              <w:spacing w:after="0"/>
              <w:rPr>
                <w:sz w:val="20"/>
                <w:szCs w:val="20"/>
                <w:color w:val="auto"/>
              </w:rPr>
            </w:pPr>
            <w:r>
              <w:rPr>
                <w:rFonts w:ascii="Times New Roman" w:cs="Times New Roman" w:eastAsia="Times New Roman" w:hAnsi="Times New Roman"/>
                <w:sz w:val="17"/>
                <w:szCs w:val="17"/>
                <w:color w:val="0000FF"/>
              </w:rPr>
              <w:t>01/27/2026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415.65</w:t>
            </w:r>
            <w:r>
              <w:rPr>
                <w:rFonts w:ascii="Times New Roman" w:cs="Times New Roman" w:eastAsia="Times New Roman" w:hAnsi="Times New Roman"/>
                <w:sz w:val="22"/>
                <w:szCs w:val="22"/>
                <w:color w:val="008000"/>
                <w:w w:val="94"/>
                <w:vertAlign w:val="superscript"/>
              </w:rPr>
              <w:t>(14)</w:t>
            </w:r>
          </w:p>
        </w:tc>
        <w:tc>
          <w:tcPr>
            <w:tcW w:w="1140" w:type="dxa"/>
            <w:vAlign w:val="bottom"/>
            <w:tcBorders>
              <w:bottom w:val="single" w:sz="8" w:color="2C2C2C"/>
            </w:tcBorders>
          </w:tcPr>
          <w:p>
            <w:pPr>
              <w:jc w:val="right"/>
              <w:ind w:right="244"/>
              <w:spacing w:after="0"/>
              <w:rPr>
                <w:sz w:val="20"/>
                <w:szCs w:val="20"/>
                <w:color w:val="auto"/>
              </w:rPr>
            </w:pPr>
            <w:r>
              <w:rPr>
                <w:rFonts w:ascii="Times New Roman" w:cs="Times New Roman" w:eastAsia="Times New Roman" w:hAnsi="Times New Roman"/>
                <w:sz w:val="17"/>
                <w:szCs w:val="17"/>
                <w:color w:val="0000FF"/>
              </w:rPr>
              <w:t>74,675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April 21,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$400.67 to $401.65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$402.94 to $403.56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$404.21 to $405.17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$405.25 to $406.23 per share, inclusive. The Reporting Person</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8" w:lineRule="exact"/>
        <w:rPr>
          <w:sz w:val="20"/>
          <w:szCs w:val="20"/>
          <w:color w:val="auto"/>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$406.47 to $407.44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$407.58 to $408.48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$408.66 to $409.65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$409.76 to $410.43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$410.84 to $411.71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$411.99 to $412.64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$413.23 to $414.20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$414.32 to $415.31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$415.38 to $416.20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Mai Lan Bui, Attorney-in-fact 01/29/2026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93199"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2026-01-29T18:51:57Z</dcterms:created>
  <dcterms:modified xsi:type="dcterms:W3CDTF">2026-01-29T18:51:57Z</dcterms:modified>
</cp:coreProperties>
</file>