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MaryAnn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vest at 100% on one-year anniversary date of award. Pursuant to a deferral election, vested shares will be delivered to the Reporting Person fifteen days after the Reporting Person's separation from service or earlier in the event the Company is subject to a change in control event.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10/15/2025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4116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2025-10-15T16:35:58Z</dcterms:created>
  <dcterms:modified xsi:type="dcterms:W3CDTF">2025-10-15T16:35:58Z</dcterms:modified>
</cp:coreProperties>
</file>