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20"/>
        <w:spacing w:after="0"/>
        <w:rPr>
          <w:sz w:val="20"/>
          <w:szCs w:val="20"/>
          <w:color w:val="auto"/>
        </w:rPr>
      </w:pPr>
      <w:r>
        <w:rPr>
          <w:rFonts w:ascii="Courier New" w:cs="Courier New" w:eastAsia="Courier New" w:hAnsi="Courier New"/>
          <w:sz w:val="17"/>
          <w:szCs w:val="17"/>
          <w:color w:val="auto"/>
        </w:rPr>
        <w:t>FORM 10-Q</w:t>
      </w:r>
    </w:p>
    <w:p>
      <w:pPr>
        <w:spacing w:after="0" w:line="386"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UNITED STATES</w:t>
      </w: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ind w:left="2900"/>
        <w:spacing w:after="0"/>
        <w:rPr>
          <w:sz w:val="20"/>
          <w:szCs w:val="20"/>
          <w:color w:val="auto"/>
        </w:rPr>
      </w:pPr>
      <w:r>
        <w:rPr>
          <w:rFonts w:ascii="Courier New" w:cs="Courier New" w:eastAsia="Courier New" w:hAnsi="Courier New"/>
          <w:sz w:val="17"/>
          <w:szCs w:val="17"/>
          <w:color w:val="auto"/>
        </w:rPr>
        <w:t>Washington, D. C. 20549</w:t>
      </w:r>
    </w:p>
    <w:p>
      <w:pPr>
        <w:spacing w:after="0" w:line="200" w:lineRule="exact"/>
        <w:rPr>
          <w:sz w:val="24"/>
          <w:szCs w:val="24"/>
          <w:color w:val="auto"/>
        </w:rPr>
      </w:pPr>
    </w:p>
    <w:p>
      <w:pPr>
        <w:spacing w:after="0" w:line="384" w:lineRule="exact"/>
        <w:rPr>
          <w:sz w:val="24"/>
          <w:szCs w:val="24"/>
          <w:color w:val="auto"/>
        </w:rPr>
      </w:pPr>
    </w:p>
    <w:p>
      <w:pPr>
        <w:ind w:left="3000" w:right="4000" w:hanging="2496"/>
        <w:spacing w:after="0" w:line="236" w:lineRule="auto"/>
        <w:tabs>
          <w:tab w:leader="none" w:pos="89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4"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For the quarterly period ended November 28, 1996</w:t>
      </w:r>
    </w:p>
    <w:p>
      <w:pPr>
        <w:spacing w:after="0" w:line="19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3000" w:right="3900" w:hanging="2496"/>
        <w:spacing w:after="0" w:line="236" w:lineRule="auto"/>
        <w:tabs>
          <w:tab w:leader="none" w:pos="69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3400"/>
        <w:spacing w:after="0"/>
        <w:rPr>
          <w:sz w:val="20"/>
          <w:szCs w:val="20"/>
          <w:color w:val="auto"/>
        </w:rPr>
      </w:pPr>
      <w:r>
        <w:rPr>
          <w:rFonts w:ascii="Courier New" w:cs="Courier New" w:eastAsia="Courier New" w:hAnsi="Courier New"/>
          <w:sz w:val="17"/>
          <w:szCs w:val="17"/>
          <w:color w:val="auto"/>
        </w:rPr>
        <w:t>Commission File Number: 1-10658</w:t>
      </w:r>
    </w:p>
    <w:p>
      <w:pPr>
        <w:spacing w:after="0" w:line="193" w:lineRule="exact"/>
        <w:rPr>
          <w:sz w:val="24"/>
          <w:szCs w:val="24"/>
          <w:color w:val="auto"/>
        </w:rPr>
      </w:pPr>
    </w:p>
    <w:p>
      <w:pPr>
        <w:jc w:val="center"/>
        <w:ind w:right="3400"/>
        <w:spacing w:after="0"/>
        <w:rPr>
          <w:sz w:val="20"/>
          <w:szCs w:val="20"/>
          <w:color w:val="auto"/>
        </w:rPr>
      </w:pPr>
      <w:r>
        <w:rPr>
          <w:rFonts w:ascii="Courier New" w:cs="Courier New" w:eastAsia="Courier New" w:hAnsi="Courier New"/>
          <w:sz w:val="17"/>
          <w:szCs w:val="17"/>
          <w:color w:val="auto"/>
        </w:rPr>
        <w:t>Micron Technology, Inc.</w:t>
      </w:r>
    </w:p>
    <w:p>
      <w:pPr>
        <w:spacing w:after="0" w:line="193"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State or other jurisdiction of incorporation or organization: Delaware</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Internal Revenue Service -- Employer Identification No. 75-1618004</w:t>
      </w:r>
    </w:p>
    <w:p>
      <w:pPr>
        <w:spacing w:after="0" w:line="386"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8000 S. Federal Way, Boise, Idaho 83706-9632</w:t>
      </w:r>
    </w:p>
    <w:p>
      <w:pPr>
        <w:jc w:val="center"/>
        <w:ind w:right="3500"/>
        <w:spacing w:after="0"/>
        <w:rPr>
          <w:sz w:val="20"/>
          <w:szCs w:val="20"/>
          <w:color w:val="auto"/>
        </w:rPr>
      </w:pPr>
      <w:r>
        <w:rPr>
          <w:rFonts w:ascii="Courier New" w:cs="Courier New" w:eastAsia="Courier New" w:hAnsi="Courier New"/>
          <w:sz w:val="17"/>
          <w:szCs w:val="17"/>
          <w:color w:val="auto"/>
        </w:rPr>
        <w:t>(208) 368-4000</w:t>
      </w:r>
    </w:p>
    <w:p>
      <w:pPr>
        <w:spacing w:after="0" w:line="200" w:lineRule="exact"/>
        <w:rPr>
          <w:sz w:val="24"/>
          <w:szCs w:val="24"/>
          <w:color w:val="auto"/>
        </w:rPr>
      </w:pPr>
    </w:p>
    <w:p>
      <w:pPr>
        <w:spacing w:after="0" w:line="384" w:lineRule="exact"/>
        <w:rPr>
          <w:sz w:val="24"/>
          <w:szCs w:val="24"/>
          <w:color w:val="auto"/>
        </w:rPr>
      </w:pPr>
    </w:p>
    <w:p>
      <w:pPr>
        <w:jc w:val="both"/>
        <w:ind w:left="500" w:right="3500" w:firstLine="501"/>
        <w:spacing w:after="0" w:line="23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The number of outstanding shares of the registrant's Common Stock as of December 18, 1996 was 209,537,615.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Pr>
          <w:p>
            <w:pPr>
              <w:jc w:val="center"/>
              <w:ind w:left="1016"/>
              <w:spacing w:after="0"/>
              <w:rPr>
                <w:sz w:val="20"/>
                <w:szCs w:val="20"/>
                <w:color w:val="auto"/>
              </w:rPr>
            </w:pPr>
            <w:r>
              <w:rPr>
                <w:rFonts w:ascii="Courier New" w:cs="Courier New" w:eastAsia="Courier New" w:hAnsi="Courier New"/>
                <w:sz w:val="17"/>
                <w:szCs w:val="17"/>
                <w:color w:val="auto"/>
                <w:w w:val="98"/>
              </w:rPr>
              <w:t>Part I. FINANCIAL INFORMATION</w:t>
            </w: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78"/>
        </w:trPr>
        <w:tc>
          <w:tcPr>
            <w:tcW w:w="7020" w:type="dxa"/>
            <w:vAlign w:val="bottom"/>
          </w:tcPr>
          <w:p>
            <w:pPr>
              <w:spacing w:after="0"/>
              <w:rPr>
                <w:sz w:val="20"/>
                <w:szCs w:val="20"/>
                <w:color w:val="auto"/>
              </w:rPr>
            </w:pPr>
            <w:r>
              <w:rPr>
                <w:rFonts w:ascii="Courier New" w:cs="Courier New" w:eastAsia="Courier New" w:hAnsi="Courier New"/>
                <w:sz w:val="17"/>
                <w:szCs w:val="17"/>
                <w:color w:val="auto"/>
              </w:rPr>
              <w:t>Item 1.  Financial Statements</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7020" w:type="dxa"/>
            <w:vAlign w:val="bottom"/>
          </w:tcPr>
          <w:p>
            <w:pPr>
              <w:jc w:val="center"/>
              <w:ind w:left="1016"/>
              <w:spacing w:after="0"/>
              <w:rPr>
                <w:sz w:val="20"/>
                <w:szCs w:val="20"/>
                <w:color w:val="auto"/>
              </w:rPr>
            </w:pPr>
            <w:r>
              <w:rPr>
                <w:rFonts w:ascii="Courier New" w:cs="Courier New" w:eastAsia="Courier New" w:hAnsi="Courier New"/>
                <w:sz w:val="17"/>
                <w:szCs w:val="17"/>
                <w:color w:val="auto"/>
                <w:w w:val="98"/>
              </w:rPr>
              <w:t>MICRON TECHNOLOGY, INC.</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7020" w:type="dxa"/>
            <w:vAlign w:val="bottom"/>
          </w:tcPr>
          <w:p>
            <w:pPr>
              <w:jc w:val="center"/>
              <w:ind w:left="1016"/>
              <w:spacing w:after="0"/>
              <w:rPr>
                <w:sz w:val="20"/>
                <w:szCs w:val="20"/>
                <w:color w:val="auto"/>
              </w:rPr>
            </w:pPr>
            <w:r>
              <w:rPr>
                <w:rFonts w:ascii="Courier New" w:cs="Courier New" w:eastAsia="Courier New" w:hAnsi="Courier New"/>
                <w:sz w:val="17"/>
                <w:szCs w:val="17"/>
                <w:color w:val="auto"/>
                <w:w w:val="98"/>
              </w:rPr>
              <w:t>Consolidated Balance Sheets</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3"/>
        </w:trPr>
        <w:tc>
          <w:tcPr>
            <w:tcW w:w="7020" w:type="dxa"/>
            <w:vAlign w:val="bottom"/>
          </w:tcPr>
          <w:p>
            <w:pPr>
              <w:ind w:left="1600"/>
              <w:spacing w:after="0"/>
              <w:rPr>
                <w:sz w:val="20"/>
                <w:szCs w:val="20"/>
                <w:color w:val="auto"/>
              </w:rPr>
            </w:pPr>
            <w:r>
              <w:rPr>
                <w:rFonts w:ascii="Courier New" w:cs="Courier New" w:eastAsia="Courier New" w:hAnsi="Courier New"/>
                <w:sz w:val="17"/>
                <w:szCs w:val="17"/>
                <w:color w:val="auto"/>
              </w:rPr>
              <w:t>(Dollars in millions, except for par value data)</w:t>
            </w: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71"/>
        </w:trPr>
        <w:tc>
          <w:tcPr>
            <w:tcW w:w="7020" w:type="dxa"/>
            <w:vAlign w:val="bottom"/>
          </w:tcPr>
          <w:p>
            <w:pPr>
              <w:spacing w:after="0"/>
              <w:rPr>
                <w:sz w:val="24"/>
                <w:szCs w:val="24"/>
                <w:color w:val="auto"/>
              </w:rPr>
            </w:pPr>
          </w:p>
        </w:tc>
        <w:tc>
          <w:tcPr>
            <w:tcW w:w="266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November 28,</w:t>
            </w:r>
          </w:p>
        </w:tc>
        <w:tc>
          <w:tcPr>
            <w:tcW w:w="1840" w:type="dxa"/>
            <w:vAlign w:val="bottom"/>
            <w:gridSpan w:val="2"/>
          </w:tcPr>
          <w:p>
            <w:pPr>
              <w:ind w:left="840"/>
              <w:spacing w:after="0"/>
              <w:rPr>
                <w:sz w:val="20"/>
                <w:szCs w:val="20"/>
                <w:color w:val="auto"/>
              </w:rPr>
            </w:pPr>
            <w:r>
              <w:rPr>
                <w:rFonts w:ascii="Courier New" w:cs="Courier New" w:eastAsia="Courier New" w:hAnsi="Courier New"/>
                <w:sz w:val="17"/>
                <w:szCs w:val="17"/>
                <w:color w:val="auto"/>
                <w:w w:val="96"/>
              </w:rPr>
              <w:t>August 29,</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As of</w:t>
            </w:r>
          </w:p>
        </w:tc>
        <w:tc>
          <w:tcPr>
            <w:tcW w:w="1000" w:type="dxa"/>
            <w:vAlign w:val="bottom"/>
          </w:tcPr>
          <w:p>
            <w:pPr>
              <w:spacing w:after="0"/>
              <w:rPr>
                <w:sz w:val="16"/>
                <w:szCs w:val="16"/>
                <w:color w:val="auto"/>
              </w:rPr>
            </w:pPr>
          </w:p>
        </w:tc>
        <w:tc>
          <w:tcPr>
            <w:tcW w:w="1660" w:type="dxa"/>
            <w:vAlign w:val="bottom"/>
          </w:tcPr>
          <w:p>
            <w:pPr>
              <w:jc w:val="right"/>
              <w:ind w:right="1176"/>
              <w:spacing w:after="0"/>
              <w:rPr>
                <w:sz w:val="20"/>
                <w:szCs w:val="20"/>
                <w:color w:val="auto"/>
              </w:rPr>
            </w:pPr>
            <w:r>
              <w:rPr>
                <w:rFonts w:ascii="Courier New" w:cs="Courier New" w:eastAsia="Courier New" w:hAnsi="Courier New"/>
                <w:sz w:val="17"/>
                <w:szCs w:val="17"/>
                <w:color w:val="auto"/>
                <w:w w:val="93"/>
              </w:rPr>
              <w:t>1996</w:t>
            </w:r>
          </w:p>
        </w:tc>
        <w:tc>
          <w:tcPr>
            <w:tcW w:w="100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193"/>
        </w:trPr>
        <w:tc>
          <w:tcPr>
            <w:tcW w:w="7020" w:type="dxa"/>
            <w:vAlign w:val="bottom"/>
          </w:tcPr>
          <w:p>
            <w:pPr>
              <w:spacing w:after="0"/>
              <w:rPr>
                <w:sz w:val="16"/>
                <w:szCs w:val="16"/>
                <w:color w:val="auto"/>
              </w:rPr>
            </w:pPr>
          </w:p>
        </w:tc>
        <w:tc>
          <w:tcPr>
            <w:tcW w:w="266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(Unaudited)</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78"/>
        </w:trPr>
        <w:tc>
          <w:tcPr>
            <w:tcW w:w="70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and equivalents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222.3</w:t>
            </w:r>
          </w:p>
        </w:tc>
        <w:tc>
          <w:tcPr>
            <w:tcW w:w="100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276.1</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Liquid investments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5.5</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Receivables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315.3</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347.4</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304.1</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251.4</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14.1</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48.8</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65.0</w:t>
            </w:r>
          </w:p>
        </w:tc>
      </w:tr>
      <w:tr>
        <w:trPr>
          <w:trHeight w:val="193"/>
        </w:trPr>
        <w:tc>
          <w:tcPr>
            <w:tcW w:w="7020" w:type="dxa"/>
            <w:vAlign w:val="bottom"/>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910.1</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964.0</w:t>
            </w:r>
          </w:p>
        </w:tc>
      </w:tr>
      <w:tr>
        <w:trPr>
          <w:trHeight w:val="385"/>
        </w:trPr>
        <w:tc>
          <w:tcPr>
            <w:tcW w:w="7020" w:type="dxa"/>
            <w:vAlign w:val="bottom"/>
          </w:tcPr>
          <w:p>
            <w:pPr>
              <w:spacing w:after="0"/>
              <w:rPr>
                <w:sz w:val="20"/>
                <w:szCs w:val="20"/>
                <w:color w:val="auto"/>
              </w:rPr>
            </w:pPr>
            <w:r>
              <w:rPr>
                <w:rFonts w:ascii="Courier New" w:cs="Courier New" w:eastAsia="Courier New" w:hAnsi="Courier New"/>
                <w:sz w:val="17"/>
                <w:szCs w:val="17"/>
                <w:color w:val="auto"/>
              </w:rPr>
              <w:t>Product and process technology, net</w:t>
            </w:r>
          </w:p>
        </w:tc>
        <w:tc>
          <w:tcPr>
            <w:tcW w:w="1000" w:type="dxa"/>
            <w:vAlign w:val="bottom"/>
          </w:tcPr>
          <w:p>
            <w:pPr>
              <w:spacing w:after="0"/>
              <w:rPr>
                <w:sz w:val="24"/>
                <w:szCs w:val="24"/>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42.6</w:t>
            </w:r>
          </w:p>
        </w:tc>
        <w:tc>
          <w:tcPr>
            <w:tcW w:w="100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43.2</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2,740.1</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2,708.1</w:t>
            </w:r>
          </w:p>
        </w:tc>
      </w:tr>
      <w:tr>
        <w:trPr>
          <w:trHeight w:val="193"/>
        </w:trPr>
        <w:tc>
          <w:tcPr>
            <w:tcW w:w="70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000" w:type="dxa"/>
            <w:vAlign w:val="bottom"/>
          </w:tcPr>
          <w:p>
            <w:pPr>
              <w:spacing w:after="0"/>
              <w:rPr>
                <w:sz w:val="16"/>
                <w:szCs w:val="16"/>
                <w:color w:val="auto"/>
              </w:rPr>
            </w:pP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27.9</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36.2</w:t>
            </w:r>
          </w:p>
        </w:tc>
      </w:tr>
      <w:tr>
        <w:trPr>
          <w:trHeight w:val="193"/>
        </w:trPr>
        <w:tc>
          <w:tcPr>
            <w:tcW w:w="7020" w:type="dxa"/>
            <w:vAlign w:val="bottom"/>
          </w:tcPr>
          <w:p>
            <w:pPr>
              <w:ind w:left="500"/>
              <w:spacing w:after="0"/>
              <w:rPr>
                <w:sz w:val="20"/>
                <w:szCs w:val="20"/>
                <w:color w:val="auto"/>
              </w:rPr>
            </w:pPr>
            <w:r>
              <w:rPr>
                <w:rFonts w:ascii="Courier New" w:cs="Courier New" w:eastAsia="Courier New" w:hAnsi="Courier New"/>
                <w:sz w:val="17"/>
                <w:szCs w:val="17"/>
                <w:color w:val="auto"/>
              </w:rPr>
              <w:t>Total assets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3,720.7</w:t>
            </w:r>
          </w:p>
        </w:tc>
        <w:tc>
          <w:tcPr>
            <w:tcW w:w="100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3,751.5</w:t>
            </w:r>
          </w:p>
        </w:tc>
      </w:tr>
    </w:tbl>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LIABILITIES AND SHAREHOLDERS' EQUITY</w:t>
      </w:r>
    </w:p>
    <w:p>
      <w:pPr>
        <w:sectPr>
          <w:pgSz w:w="11900" w:h="16838" w:orient="portrait"/>
          <w:cols w:equalWidth="0" w:num="1">
            <w:col w:w="11520"/>
          </w:cols>
          <w:pgMar w:left="240" w:top="432" w:right="1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expenses</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427.0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423.7</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Short-term debt</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90.0</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Deferred income</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10.1</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Equipment purchase contracts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63.5</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67.8</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103.8</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75.2</w:t>
            </w: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Total current liabilities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604.4</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664.5</w:t>
            </w:r>
          </w:p>
        </w:tc>
      </w:tr>
      <w:tr>
        <w:trPr>
          <w:trHeight w:val="385"/>
        </w:trPr>
        <w:tc>
          <w:tcPr>
            <w:tcW w:w="63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720" w:type="dxa"/>
            <w:vAlign w:val="bottom"/>
          </w:tcPr>
          <w:p>
            <w:pPr>
              <w:spacing w:after="0"/>
              <w:rPr>
                <w:sz w:val="24"/>
                <w:szCs w:val="24"/>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305.6</w:t>
            </w:r>
          </w:p>
        </w:tc>
        <w:tc>
          <w:tcPr>
            <w:tcW w:w="1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314.6</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163.4</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157.4</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Non-current product and process technology</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43.2</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43.5</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18.6</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15.7</w:t>
            </w: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1,135.2</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1,195.7</w:t>
            </w:r>
          </w:p>
        </w:tc>
      </w:tr>
      <w:tr>
        <w:trPr>
          <w:trHeight w:val="385"/>
        </w:trPr>
        <w:tc>
          <w:tcPr>
            <w:tcW w:w="6360" w:type="dxa"/>
            <w:vAlign w:val="bottom"/>
          </w:tcPr>
          <w:p>
            <w:pPr>
              <w:spacing w:after="0"/>
              <w:rPr>
                <w:sz w:val="20"/>
                <w:szCs w:val="20"/>
                <w:color w:val="auto"/>
              </w:rPr>
            </w:pPr>
            <w:r>
              <w:rPr>
                <w:rFonts w:ascii="Courier New" w:cs="Courier New" w:eastAsia="Courier New" w:hAnsi="Courier New"/>
                <w:sz w:val="17"/>
                <w:szCs w:val="17"/>
                <w:color w:val="auto"/>
              </w:rPr>
              <w:t>Minority interests</w:t>
            </w:r>
          </w:p>
        </w:tc>
        <w:tc>
          <w:tcPr>
            <w:tcW w:w="1720" w:type="dxa"/>
            <w:vAlign w:val="bottom"/>
          </w:tcPr>
          <w:p>
            <w:pPr>
              <w:spacing w:after="0"/>
              <w:rPr>
                <w:sz w:val="24"/>
                <w:szCs w:val="24"/>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57.3</w:t>
            </w:r>
          </w:p>
        </w:tc>
        <w:tc>
          <w:tcPr>
            <w:tcW w:w="1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53.8</w:t>
            </w:r>
          </w:p>
        </w:tc>
      </w:tr>
      <w:tr>
        <w:trPr>
          <w:trHeight w:val="385"/>
        </w:trPr>
        <w:tc>
          <w:tcPr>
            <w:tcW w:w="63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5"/>
        </w:trPr>
        <w:tc>
          <w:tcPr>
            <w:tcW w:w="8080" w:type="dxa"/>
            <w:vAlign w:val="bottom"/>
            <w:gridSpan w:val="2"/>
          </w:tcPr>
          <w:p>
            <w:pPr>
              <w:spacing w:after="0"/>
              <w:rPr>
                <w:sz w:val="20"/>
                <w:szCs w:val="20"/>
                <w:color w:val="auto"/>
              </w:rPr>
            </w:pPr>
            <w:r>
              <w:rPr>
                <w:rFonts w:ascii="Courier New" w:cs="Courier New" w:eastAsia="Courier New" w:hAnsi="Courier New"/>
                <w:sz w:val="17"/>
                <w:szCs w:val="17"/>
                <w:color w:val="auto"/>
                <w:w w:val="98"/>
              </w:rPr>
              <w:t>Common stock,  $0.10 par  value,  authorized  1.0  billion  shares,  issued  and</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outstanding 209.3 million and 208.8 million</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shares, respectively</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20.9</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20.9</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Additional capital</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440.2</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434.7</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Retained earnings</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2,067.1</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2,046.4</w:t>
            </w: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Total shareholders' equity</w:t>
            </w:r>
          </w:p>
        </w:tc>
        <w:tc>
          <w:tcPr>
            <w:tcW w:w="1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2,528.2</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2,502.0</w:t>
            </w:r>
          </w:p>
        </w:tc>
      </w:tr>
      <w:tr>
        <w:trPr>
          <w:trHeight w:val="19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3,720.7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3,751.5</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ectPr>
          <w:pgSz w:w="11900" w:h="16838" w:orient="portrait"/>
          <w:cols w:equalWidth="0" w:num="1">
            <w:col w:w="11420"/>
          </w:cols>
          <w:pgMar w:left="240" w:top="136" w:right="239" w:bottom="1440" w:gutter="0" w:footer="0" w:header="0"/>
        </w:sectPr>
      </w:pPr>
    </w:p>
    <w:bookmarkStart w:id="2" w:name="page3"/>
    <w:bookmarkEnd w:id="2"/>
    <w:p>
      <w:pPr>
        <w:jc w:val="center"/>
        <w:ind w:right="3400"/>
        <w:spacing w:after="0"/>
        <w:rPr>
          <w:sz w:val="20"/>
          <w:szCs w:val="20"/>
          <w:color w:val="auto"/>
        </w:rPr>
      </w:pPr>
      <w:r>
        <w:rPr>
          <w:rFonts w:ascii="Courier New" w:cs="Courier New" w:eastAsia="Courier New" w:hAnsi="Courier New"/>
          <w:sz w:val="17"/>
          <w:szCs w:val="17"/>
          <w:color w:val="auto"/>
        </w:rPr>
        <w:t>MICRON TECHNOLOGY, INC.</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Consolidated Statements of Operations</w:t>
      </w:r>
    </w:p>
    <w:p>
      <w:pPr>
        <w:jc w:val="center"/>
        <w:ind w:right="3500"/>
        <w:spacing w:after="0"/>
        <w:rPr>
          <w:sz w:val="20"/>
          <w:szCs w:val="20"/>
          <w:color w:val="auto"/>
        </w:rPr>
      </w:pPr>
      <w:r>
        <w:rPr>
          <w:rFonts w:ascii="Courier New" w:cs="Courier New" w:eastAsia="Courier New" w:hAnsi="Courier New"/>
          <w:sz w:val="17"/>
          <w:szCs w:val="17"/>
          <w:color w:val="auto"/>
        </w:rPr>
        <w:t>(Amounts in millions, except for per share data)</w:t>
      </w:r>
    </w:p>
    <w:p>
      <w:pPr>
        <w:jc w:val="center"/>
        <w:ind w:right="34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16"/>
                <w:szCs w:val="16"/>
                <w:color w:val="auto"/>
              </w:rPr>
            </w:pPr>
          </w:p>
        </w:tc>
        <w:tc>
          <w:tcPr>
            <w:tcW w:w="332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November 28,</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November 30,</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For the quarter ended</w:t>
            </w:r>
          </w:p>
        </w:tc>
        <w:tc>
          <w:tcPr>
            <w:tcW w:w="1760" w:type="dxa"/>
            <w:vAlign w:val="bottom"/>
          </w:tcPr>
          <w:p>
            <w:pPr>
              <w:spacing w:after="0"/>
              <w:rPr>
                <w:sz w:val="16"/>
                <w:szCs w:val="16"/>
                <w:color w:val="auto"/>
              </w:rPr>
            </w:pPr>
          </w:p>
        </w:tc>
        <w:tc>
          <w:tcPr>
            <w:tcW w:w="1560" w:type="dxa"/>
            <w:vAlign w:val="bottom"/>
          </w:tcPr>
          <w:p>
            <w:pPr>
              <w:jc w:val="right"/>
              <w:ind w:right="1076"/>
              <w:spacing w:after="0"/>
              <w:rPr>
                <w:sz w:val="20"/>
                <w:szCs w:val="20"/>
                <w:color w:val="auto"/>
              </w:rPr>
            </w:pPr>
            <w:r>
              <w:rPr>
                <w:rFonts w:ascii="Courier New" w:cs="Courier New" w:eastAsia="Courier New" w:hAnsi="Courier New"/>
                <w:sz w:val="17"/>
                <w:szCs w:val="17"/>
                <w:color w:val="auto"/>
                <w:w w:val="93"/>
              </w:rPr>
              <w:t>1996</w:t>
            </w:r>
          </w:p>
        </w:tc>
        <w:tc>
          <w:tcPr>
            <w:tcW w:w="1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r>
      <w:tr>
        <w:trPr>
          <w:trHeight w:val="771"/>
        </w:trPr>
        <w:tc>
          <w:tcPr>
            <w:tcW w:w="62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728.1</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$ 1,185.8</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Cost of goods sold</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572.9</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538.1</w:t>
            </w: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Selling, general and administrative</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66.6</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72.7</w:t>
            </w: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Research and development</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47.2</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46.6</w:t>
            </w:r>
          </w:p>
        </w:tc>
      </w:tr>
      <w:tr>
        <w:trPr>
          <w:trHeight w:val="193"/>
        </w:trPr>
        <w:tc>
          <w:tcPr>
            <w:tcW w:w="6260" w:type="dxa"/>
            <w:vAlign w:val="bottom"/>
          </w:tcPr>
          <w:p>
            <w:pPr>
              <w:ind w:left="900"/>
              <w:spacing w:after="0"/>
              <w:rPr>
                <w:sz w:val="20"/>
                <w:szCs w:val="20"/>
                <w:color w:val="auto"/>
              </w:rPr>
            </w:pPr>
            <w:r>
              <w:rPr>
                <w:rFonts w:ascii="Courier New" w:cs="Courier New" w:eastAsia="Courier New" w:hAnsi="Courier New"/>
                <w:sz w:val="17"/>
                <w:szCs w:val="17"/>
                <w:color w:val="auto"/>
              </w:rPr>
              <w:t>Total costs and expenses</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686.7</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657.4</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760" w:type="dxa"/>
            <w:vAlign w:val="bottom"/>
          </w:tcPr>
          <w:p>
            <w:pPr>
              <w:spacing w:after="0"/>
              <w:rPr>
                <w:sz w:val="24"/>
                <w:szCs w:val="24"/>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41.4</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528.4</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Interest expense (income), net</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2.1</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Income before income taxes and minority interests</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39.3</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536.8</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Income tax provision</w:t>
            </w:r>
          </w:p>
        </w:tc>
        <w:tc>
          <w:tcPr>
            <w:tcW w:w="1760" w:type="dxa"/>
            <w:vAlign w:val="bottom"/>
          </w:tcPr>
          <w:p>
            <w:pPr>
              <w:spacing w:after="0"/>
              <w:rPr>
                <w:sz w:val="24"/>
                <w:szCs w:val="24"/>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15.6</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204.6</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Minority interests</w:t>
            </w:r>
          </w:p>
        </w:tc>
        <w:tc>
          <w:tcPr>
            <w:tcW w:w="1760" w:type="dxa"/>
            <w:vAlign w:val="bottom"/>
          </w:tcPr>
          <w:p>
            <w:pPr>
              <w:spacing w:after="0"/>
              <w:rPr>
                <w:sz w:val="24"/>
                <w:szCs w:val="24"/>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3.1</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20.6</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328.5</w:t>
            </w:r>
          </w:p>
        </w:tc>
      </w:tr>
      <w:tr>
        <w:trPr>
          <w:trHeight w:val="578"/>
        </w:trPr>
        <w:tc>
          <w:tcPr>
            <w:tcW w:w="62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Primary</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$0.10</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w:t>
            </w: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Fully diluted</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0.10</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Number of shares used in per share calculations:</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Primary</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214.0</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217.2</w:t>
            </w:r>
          </w:p>
        </w:tc>
      </w:tr>
      <w:tr>
        <w:trPr>
          <w:trHeight w:val="193"/>
        </w:trPr>
        <w:tc>
          <w:tcPr>
            <w:tcW w:w="6260" w:type="dxa"/>
            <w:vAlign w:val="bottom"/>
          </w:tcPr>
          <w:p>
            <w:pPr>
              <w:ind w:left="500"/>
              <w:spacing w:after="0"/>
              <w:rPr>
                <w:sz w:val="20"/>
                <w:szCs w:val="20"/>
                <w:color w:val="auto"/>
              </w:rPr>
            </w:pPr>
            <w:r>
              <w:rPr>
                <w:rFonts w:ascii="Courier New" w:cs="Courier New" w:eastAsia="Courier New" w:hAnsi="Courier New"/>
                <w:sz w:val="17"/>
                <w:szCs w:val="17"/>
                <w:color w:val="auto"/>
              </w:rPr>
              <w:t>Fully diluted</w:t>
            </w:r>
          </w:p>
        </w:tc>
        <w:tc>
          <w:tcPr>
            <w:tcW w:w="1760" w:type="dxa"/>
            <w:vAlign w:val="bottom"/>
          </w:tcPr>
          <w:p>
            <w:pPr>
              <w:spacing w:after="0"/>
              <w:rPr>
                <w:sz w:val="16"/>
                <w:szCs w:val="16"/>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214.5</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217.2</w:t>
            </w:r>
          </w:p>
        </w:tc>
      </w:tr>
      <w:tr>
        <w:trPr>
          <w:trHeight w:val="578"/>
        </w:trPr>
        <w:tc>
          <w:tcPr>
            <w:tcW w:w="6260" w:type="dxa"/>
            <w:vAlign w:val="bottom"/>
          </w:tcPr>
          <w:p>
            <w:pPr>
              <w:spacing w:after="0"/>
              <w:rPr>
                <w:sz w:val="20"/>
                <w:szCs w:val="20"/>
                <w:color w:val="auto"/>
              </w:rPr>
            </w:pPr>
            <w:r>
              <w:rPr>
                <w:rFonts w:ascii="Courier New" w:cs="Courier New" w:eastAsia="Courier New" w:hAnsi="Courier New"/>
                <w:sz w:val="17"/>
                <w:szCs w:val="17"/>
                <w:color w:val="auto"/>
              </w:rPr>
              <w:t>Cash dividend declared per share</w:t>
            </w:r>
          </w:p>
        </w:tc>
        <w:tc>
          <w:tcPr>
            <w:tcW w:w="1760" w:type="dxa"/>
            <w:vAlign w:val="bottom"/>
          </w:tcPr>
          <w:p>
            <w:pPr>
              <w:spacing w:after="0"/>
              <w:rPr>
                <w:sz w:val="24"/>
                <w:szCs w:val="24"/>
                <w:color w:val="auto"/>
              </w:rPr>
            </w:pPr>
          </w:p>
        </w:tc>
        <w:tc>
          <w:tcPr>
            <w:tcW w:w="15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ectPr>
          <w:pgSz w:w="11900" w:h="16838" w:orient="portrait"/>
          <w:cols w:equalWidth="0" w:num="1">
            <w:col w:w="11520"/>
          </w:cols>
          <w:pgMar w:left="240" w:top="881" w:right="139" w:bottom="1440" w:gutter="0" w:footer="0" w:header="0"/>
        </w:sectPr>
      </w:pPr>
    </w:p>
    <w:bookmarkStart w:id="3" w:name="page4"/>
    <w:bookmarkEnd w:id="3"/>
    <w:p>
      <w:pPr>
        <w:jc w:val="center"/>
        <w:ind w:left="1220"/>
        <w:spacing w:after="0"/>
        <w:rPr>
          <w:sz w:val="20"/>
          <w:szCs w:val="20"/>
          <w:color w:val="auto"/>
        </w:rPr>
      </w:pPr>
      <w:r>
        <w:rPr>
          <w:rFonts w:ascii="Courier New" w:cs="Courier New" w:eastAsia="Courier New" w:hAnsi="Courier New"/>
          <w:sz w:val="17"/>
          <w:szCs w:val="17"/>
          <w:color w:val="auto"/>
        </w:rPr>
        <w:t>MICRON TECHNOLOGY, INC.</w:t>
      </w:r>
    </w:p>
    <w:p>
      <w:pPr>
        <w:spacing w:after="0" w:line="193"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7"/>
          <w:szCs w:val="17"/>
          <w:color w:val="auto"/>
        </w:rPr>
        <w:t>Consolidated Statements of Cash Flows</w:t>
      </w:r>
    </w:p>
    <w:p>
      <w:pPr>
        <w:jc w:val="center"/>
        <w:ind w:left="1220"/>
        <w:spacing w:after="0"/>
        <w:rPr>
          <w:sz w:val="20"/>
          <w:szCs w:val="20"/>
          <w:color w:val="auto"/>
        </w:rPr>
      </w:pPr>
      <w:r>
        <w:rPr>
          <w:rFonts w:ascii="Courier New" w:cs="Courier New" w:eastAsia="Courier New" w:hAnsi="Courier New"/>
          <w:sz w:val="17"/>
          <w:szCs w:val="17"/>
          <w:color w:val="auto"/>
        </w:rPr>
        <w:t>(Dollars in millions)</w:t>
      </w:r>
    </w:p>
    <w:p>
      <w:pPr>
        <w:jc w:val="center"/>
        <w:ind w:left="122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FROM OPERATING ACTIVITIES</w:t>
      </w:r>
    </w:p>
    <w:p>
      <w:pPr>
        <w:spacing w:after="0"/>
        <w:rPr>
          <w:sz w:val="20"/>
          <w:szCs w:val="20"/>
          <w:color w:val="auto"/>
        </w:rPr>
      </w:pPr>
      <w:r>
        <w:rPr>
          <w:rFonts w:ascii="Courier New" w:cs="Courier New" w:eastAsia="Courier New" w:hAnsi="Courier New"/>
          <w:sz w:val="17"/>
          <w:szCs w:val="17"/>
          <w:color w:val="auto"/>
        </w:rPr>
        <w:t>Net income</w:t>
      </w:r>
    </w:p>
    <w:p>
      <w:pPr>
        <w:spacing w:after="0" w:line="6" w:lineRule="exact"/>
        <w:rPr>
          <w:sz w:val="20"/>
          <w:szCs w:val="20"/>
          <w:color w:val="auto"/>
        </w:rPr>
      </w:pPr>
    </w:p>
    <w:p>
      <w:pPr>
        <w:ind w:left="500" w:right="980" w:hanging="500"/>
        <w:spacing w:after="0" w:line="236" w:lineRule="auto"/>
        <w:rPr>
          <w:sz w:val="20"/>
          <w:szCs w:val="20"/>
          <w:color w:val="auto"/>
        </w:rPr>
      </w:pPr>
      <w:r>
        <w:rPr>
          <w:rFonts w:ascii="Courier New" w:cs="Courier New" w:eastAsia="Courier New" w:hAnsi="Courier New"/>
          <w:sz w:val="17"/>
          <w:szCs w:val="17"/>
          <w:color w:val="auto"/>
        </w:rPr>
        <w:t>Adjustments to reconcile net income to net cash provided by operating activities:</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Depreciation and amortization</w:t>
      </w:r>
    </w:p>
    <w:p>
      <w:pPr>
        <w:ind w:left="900"/>
        <w:spacing w:after="0"/>
        <w:rPr>
          <w:sz w:val="20"/>
          <w:szCs w:val="20"/>
          <w:color w:val="auto"/>
        </w:rPr>
      </w:pPr>
      <w:r>
        <w:rPr>
          <w:rFonts w:ascii="Courier New" w:cs="Courier New" w:eastAsia="Courier New" w:hAnsi="Courier New"/>
          <w:sz w:val="17"/>
          <w:szCs w:val="17"/>
          <w:color w:val="auto"/>
        </w:rPr>
        <w:t>Decrease (increase) in receivables</w:t>
      </w:r>
    </w:p>
    <w:p>
      <w:pPr>
        <w:ind w:left="900"/>
        <w:spacing w:after="0"/>
        <w:rPr>
          <w:sz w:val="20"/>
          <w:szCs w:val="20"/>
          <w:color w:val="auto"/>
        </w:rPr>
      </w:pPr>
      <w:r>
        <w:rPr>
          <w:rFonts w:ascii="Courier New" w:cs="Courier New" w:eastAsia="Courier New" w:hAnsi="Courier New"/>
          <w:sz w:val="17"/>
          <w:szCs w:val="17"/>
          <w:color w:val="auto"/>
        </w:rPr>
        <w:t>Increase in inventories</w:t>
      </w:r>
    </w:p>
    <w:p>
      <w:pPr>
        <w:ind w:left="900"/>
        <w:spacing w:after="0"/>
        <w:rPr>
          <w:sz w:val="20"/>
          <w:szCs w:val="20"/>
          <w:color w:val="auto"/>
        </w:rPr>
      </w:pPr>
      <w:r>
        <w:rPr>
          <w:rFonts w:ascii="Courier New" w:cs="Courier New" w:eastAsia="Courier New" w:hAnsi="Courier New"/>
          <w:sz w:val="17"/>
          <w:szCs w:val="17"/>
          <w:color w:val="auto"/>
        </w:rPr>
        <w:t>Increase in accounts payable and accrued expenses</w:t>
      </w:r>
    </w:p>
    <w:p>
      <w:pPr>
        <w:ind w:left="900"/>
        <w:spacing w:after="0"/>
        <w:rPr>
          <w:sz w:val="20"/>
          <w:szCs w:val="20"/>
          <w:color w:val="auto"/>
        </w:rPr>
      </w:pPr>
      <w:r>
        <w:rPr>
          <w:rFonts w:ascii="Courier New" w:cs="Courier New" w:eastAsia="Courier New" w:hAnsi="Courier New"/>
          <w:sz w:val="17"/>
          <w:szCs w:val="17"/>
          <w:color w:val="auto"/>
        </w:rPr>
        <w:t>Increase in deferred income taxes</w:t>
      </w:r>
    </w:p>
    <w:p>
      <w:pPr>
        <w:ind w:left="900"/>
        <w:spacing w:after="0"/>
        <w:rPr>
          <w:sz w:val="20"/>
          <w:szCs w:val="20"/>
          <w:color w:val="auto"/>
        </w:rPr>
      </w:pPr>
      <w:r>
        <w:rPr>
          <w:rFonts w:ascii="Courier New" w:cs="Courier New" w:eastAsia="Courier New" w:hAnsi="Courier New"/>
          <w:sz w:val="17"/>
          <w:szCs w:val="17"/>
          <w:color w:val="auto"/>
        </w:rPr>
        <w:t>Gain on sale of investment</w:t>
      </w:r>
    </w:p>
    <w:p>
      <w:pPr>
        <w:ind w:left="900"/>
        <w:spacing w:after="0"/>
        <w:rPr>
          <w:sz w:val="20"/>
          <w:szCs w:val="20"/>
          <w:color w:val="auto"/>
        </w:rPr>
      </w:pPr>
      <w:r>
        <w:rPr>
          <w:rFonts w:ascii="Courier New" w:cs="Courier New" w:eastAsia="Courier New" w:hAnsi="Courier New"/>
          <w:sz w:val="17"/>
          <w:szCs w:val="17"/>
          <w:color w:val="auto"/>
        </w:rPr>
        <w:t>Other</w:t>
      </w:r>
    </w:p>
    <w:p>
      <w:pPr>
        <w:spacing w:after="0"/>
        <w:rPr>
          <w:sz w:val="20"/>
          <w:szCs w:val="20"/>
          <w:color w:val="auto"/>
        </w:rPr>
      </w:pPr>
      <w:r>
        <w:rPr>
          <w:rFonts w:ascii="Courier New" w:cs="Courier New" w:eastAsia="Courier New" w:hAnsi="Courier New"/>
          <w:sz w:val="17"/>
          <w:szCs w:val="17"/>
          <w:color w:val="auto"/>
        </w:rPr>
        <w:t>Net cash provided by operating activities</w:t>
      </w:r>
    </w:p>
    <w:p>
      <w:pPr>
        <w:spacing w:after="0" w:line="198" w:lineRule="exact"/>
        <w:rPr>
          <w:sz w:val="20"/>
          <w:szCs w:val="20"/>
          <w:color w:val="auto"/>
        </w:rPr>
      </w:pPr>
    </w:p>
    <w:p>
      <w:pPr>
        <w:ind w:right="2280"/>
        <w:spacing w:after="0" w:line="255" w:lineRule="auto"/>
        <w:rPr>
          <w:sz w:val="20"/>
          <w:szCs w:val="20"/>
          <w:color w:val="auto"/>
        </w:rPr>
      </w:pPr>
      <w:r>
        <w:rPr>
          <w:rFonts w:ascii="Courier New" w:cs="Courier New" w:eastAsia="Courier New" w:hAnsi="Courier New"/>
          <w:sz w:val="16"/>
          <w:szCs w:val="16"/>
          <w:color w:val="auto"/>
        </w:rPr>
        <w:t>CASH FLOWS FROM INVESTING ACTIVITIES Expenditures for property, plant and equipment</w:t>
      </w:r>
    </w:p>
    <w:p>
      <w:pPr>
        <w:spacing w:after="0" w:line="233" w:lineRule="auto"/>
        <w:rPr>
          <w:sz w:val="20"/>
          <w:szCs w:val="20"/>
          <w:color w:val="auto"/>
        </w:rPr>
      </w:pPr>
      <w:r>
        <w:rPr>
          <w:rFonts w:ascii="Courier New" w:cs="Courier New" w:eastAsia="Courier New" w:hAnsi="Courier New"/>
          <w:sz w:val="17"/>
          <w:szCs w:val="17"/>
          <w:color w:val="auto"/>
        </w:rPr>
        <w:t>Purchase of available-for-sale and held-to-maturity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Proceeds from sales and maturities of securities</w:t>
      </w:r>
    </w:p>
    <w:p>
      <w:pPr>
        <w:spacing w:after="0"/>
        <w:rPr>
          <w:sz w:val="20"/>
          <w:szCs w:val="20"/>
          <w:color w:val="auto"/>
        </w:rPr>
      </w:pPr>
      <w:r>
        <w:rPr>
          <w:rFonts w:ascii="Courier New" w:cs="Courier New" w:eastAsia="Courier New" w:hAnsi="Courier New"/>
          <w:sz w:val="17"/>
          <w:szCs w:val="17"/>
          <w:color w:val="auto"/>
        </w:rPr>
        <w:t>Proceeds from sale of equipment</w:t>
      </w:r>
    </w:p>
    <w:p>
      <w:pPr>
        <w:spacing w:after="0"/>
        <w:rPr>
          <w:sz w:val="20"/>
          <w:szCs w:val="20"/>
          <w:color w:val="auto"/>
        </w:rPr>
      </w:pPr>
      <w:r>
        <w:rPr>
          <w:rFonts w:ascii="Courier New" w:cs="Courier New" w:eastAsia="Courier New" w:hAnsi="Courier New"/>
          <w:sz w:val="17"/>
          <w:szCs w:val="17"/>
          <w:color w:val="auto"/>
        </w:rPr>
        <w:t>Other</w:t>
      </w:r>
    </w:p>
    <w:p>
      <w:pPr>
        <w:spacing w:after="0"/>
        <w:rPr>
          <w:sz w:val="20"/>
          <w:szCs w:val="20"/>
          <w:color w:val="auto"/>
        </w:rPr>
      </w:pPr>
      <w:r>
        <w:rPr>
          <w:rFonts w:ascii="Courier New" w:cs="Courier New" w:eastAsia="Courier New" w:hAnsi="Courier New"/>
          <w:sz w:val="17"/>
          <w:szCs w:val="17"/>
          <w:color w:val="auto"/>
        </w:rPr>
        <w:t>Net cash used for investing activities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FROM FINANCING ACTIVITIES</w:t>
      </w:r>
    </w:p>
    <w:p>
      <w:pPr>
        <w:spacing w:after="0"/>
        <w:rPr>
          <w:sz w:val="20"/>
          <w:szCs w:val="20"/>
          <w:color w:val="auto"/>
        </w:rPr>
      </w:pPr>
      <w:r>
        <w:rPr>
          <w:rFonts w:ascii="Courier New" w:cs="Courier New" w:eastAsia="Courier New" w:hAnsi="Courier New"/>
          <w:sz w:val="17"/>
          <w:szCs w:val="17"/>
          <w:color w:val="auto"/>
        </w:rPr>
        <w:t>Proceeds from issuance of long-term debt</w:t>
      </w:r>
    </w:p>
    <w:p>
      <w:pPr>
        <w:spacing w:after="0"/>
        <w:rPr>
          <w:sz w:val="20"/>
          <w:szCs w:val="20"/>
          <w:color w:val="auto"/>
        </w:rPr>
      </w:pPr>
      <w:r>
        <w:rPr>
          <w:rFonts w:ascii="Courier New" w:cs="Courier New" w:eastAsia="Courier New" w:hAnsi="Courier New"/>
          <w:sz w:val="17"/>
          <w:szCs w:val="17"/>
          <w:color w:val="auto"/>
        </w:rPr>
        <w:t>Net repayments on borrowings on lines of credit</w:t>
      </w:r>
    </w:p>
    <w:p>
      <w:pPr>
        <w:spacing w:after="0"/>
        <w:rPr>
          <w:sz w:val="20"/>
          <w:szCs w:val="20"/>
          <w:color w:val="auto"/>
        </w:rPr>
      </w:pPr>
      <w:r>
        <w:rPr>
          <w:rFonts w:ascii="Courier New" w:cs="Courier New" w:eastAsia="Courier New" w:hAnsi="Courier New"/>
          <w:sz w:val="17"/>
          <w:szCs w:val="17"/>
          <w:color w:val="auto"/>
        </w:rPr>
        <w:t>Payments on equipment purchase contracts</w:t>
      </w:r>
    </w:p>
    <w:p>
      <w:pPr>
        <w:spacing w:after="0"/>
        <w:rPr>
          <w:sz w:val="20"/>
          <w:szCs w:val="20"/>
          <w:color w:val="auto"/>
        </w:rPr>
      </w:pPr>
      <w:r>
        <w:rPr>
          <w:rFonts w:ascii="Courier New" w:cs="Courier New" w:eastAsia="Courier New" w:hAnsi="Courier New"/>
          <w:sz w:val="17"/>
          <w:szCs w:val="17"/>
          <w:color w:val="auto"/>
        </w:rPr>
        <w:t>Repayments of long-term debt</w:t>
      </w:r>
    </w:p>
    <w:p>
      <w:pPr>
        <w:spacing w:after="0"/>
        <w:rPr>
          <w:sz w:val="20"/>
          <w:szCs w:val="20"/>
          <w:color w:val="auto"/>
        </w:rPr>
      </w:pPr>
      <w:r>
        <w:rPr>
          <w:rFonts w:ascii="Courier New" w:cs="Courier New" w:eastAsia="Courier New" w:hAnsi="Courier New"/>
          <w:sz w:val="17"/>
          <w:szCs w:val="17"/>
          <w:color w:val="auto"/>
        </w:rPr>
        <w:t>Proceeds from issuance of common stock</w:t>
      </w:r>
    </w:p>
    <w:p>
      <w:pPr>
        <w:spacing w:after="0"/>
        <w:rPr>
          <w:sz w:val="20"/>
          <w:szCs w:val="20"/>
          <w:color w:val="auto"/>
        </w:rPr>
      </w:pPr>
      <w:r>
        <w:rPr>
          <w:rFonts w:ascii="Courier New" w:cs="Courier New" w:eastAsia="Courier New" w:hAnsi="Courier New"/>
          <w:sz w:val="17"/>
          <w:szCs w:val="17"/>
          <w:color w:val="auto"/>
        </w:rPr>
        <w:t>Other</w:t>
      </w:r>
    </w:p>
    <w:p>
      <w:pPr>
        <w:spacing w:after="0"/>
        <w:rPr>
          <w:sz w:val="20"/>
          <w:szCs w:val="20"/>
          <w:color w:val="auto"/>
        </w:rPr>
      </w:pPr>
      <w:r>
        <w:rPr>
          <w:rFonts w:ascii="Courier New" w:cs="Courier New" w:eastAsia="Courier New" w:hAnsi="Courier New"/>
          <w:sz w:val="17"/>
          <w:szCs w:val="17"/>
          <w:color w:val="auto"/>
        </w:rPr>
        <w:t>Net cash used for financing activities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increase (decrease) in cash and equivalents</w:t>
      </w:r>
    </w:p>
    <w:p>
      <w:pPr>
        <w:spacing w:after="0"/>
        <w:rPr>
          <w:sz w:val="20"/>
          <w:szCs w:val="20"/>
          <w:color w:val="auto"/>
        </w:rPr>
      </w:pPr>
      <w:r>
        <w:rPr>
          <w:rFonts w:ascii="Courier New" w:cs="Courier New" w:eastAsia="Courier New" w:hAnsi="Courier New"/>
          <w:sz w:val="17"/>
          <w:szCs w:val="17"/>
          <w:color w:val="auto"/>
        </w:rPr>
        <w:t>Cash and equivalents at beginning of period</w:t>
      </w:r>
    </w:p>
    <w:p>
      <w:pPr>
        <w:spacing w:after="0"/>
        <w:rPr>
          <w:sz w:val="20"/>
          <w:szCs w:val="20"/>
          <w:color w:val="auto"/>
        </w:rPr>
      </w:pPr>
      <w:r>
        <w:rPr>
          <w:rFonts w:ascii="Courier New" w:cs="Courier New" w:eastAsia="Courier New" w:hAnsi="Courier New"/>
          <w:sz w:val="17"/>
          <w:szCs w:val="17"/>
          <w:color w:val="auto"/>
        </w:rPr>
        <w:t>Cash and equivalents at end of period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DISCLOSURES</w:t>
      </w:r>
    </w:p>
    <w:p>
      <w:pPr>
        <w:spacing w:after="0"/>
        <w:rPr>
          <w:sz w:val="20"/>
          <w:szCs w:val="20"/>
          <w:color w:val="auto"/>
        </w:rPr>
      </w:pPr>
      <w:r>
        <w:rPr>
          <w:rFonts w:ascii="Courier New" w:cs="Courier New" w:eastAsia="Courier New" w:hAnsi="Courier New"/>
          <w:sz w:val="17"/>
          <w:szCs w:val="17"/>
          <w:color w:val="auto"/>
        </w:rPr>
        <w:t>Income taxes refunded (paid), net</w:t>
      </w:r>
    </w:p>
    <w:p>
      <w:pPr>
        <w:spacing w:after="0"/>
        <w:rPr>
          <w:sz w:val="20"/>
          <w:szCs w:val="20"/>
          <w:color w:val="auto"/>
        </w:rPr>
      </w:pPr>
      <w:r>
        <w:rPr>
          <w:rFonts w:ascii="Courier New" w:cs="Courier New" w:eastAsia="Courier New" w:hAnsi="Courier New"/>
          <w:sz w:val="17"/>
          <w:szCs w:val="17"/>
          <w:color w:val="auto"/>
        </w:rPr>
        <w:t>Interest paid</w:t>
      </w:r>
    </w:p>
    <w:p>
      <w:pPr>
        <w:spacing w:after="0"/>
        <w:rPr>
          <w:sz w:val="20"/>
          <w:szCs w:val="20"/>
          <w:color w:val="auto"/>
        </w:rPr>
      </w:pPr>
      <w:r>
        <w:rPr>
          <w:rFonts w:ascii="Courier New" w:cs="Courier New" w:eastAsia="Courier New" w:hAnsi="Courier New"/>
          <w:sz w:val="17"/>
          <w:szCs w:val="17"/>
          <w:color w:val="auto"/>
        </w:rPr>
        <w:t>Noncash investing and financing activities:</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0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w w:val="96"/>
              </w:rPr>
              <w:t>November 28,</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November 30,</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1116"/>
              <w:spacing w:after="0"/>
              <w:rPr>
                <w:sz w:val="20"/>
                <w:szCs w:val="20"/>
                <w:color w:val="auto"/>
              </w:rPr>
            </w:pPr>
            <w:r>
              <w:rPr>
                <w:rFonts w:ascii="Courier New" w:cs="Courier New" w:eastAsia="Courier New" w:hAnsi="Courier New"/>
                <w:sz w:val="17"/>
                <w:szCs w:val="17"/>
                <w:color w:val="auto"/>
                <w:w w:val="93"/>
              </w:rPr>
              <w:t>1996</w:t>
            </w:r>
          </w:p>
        </w:tc>
        <w:tc>
          <w:tcPr>
            <w:tcW w:w="11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r>
      <w:tr>
        <w:trPr>
          <w:trHeight w:val="771"/>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328.5</w:t>
            </w:r>
          </w:p>
        </w:tc>
      </w:tr>
      <w:tr>
        <w:trPr>
          <w:trHeight w:val="578"/>
        </w:trPr>
        <w:tc>
          <w:tcPr>
            <w:tcW w:w="400" w:type="dxa"/>
            <w:vAlign w:val="bottom"/>
          </w:tcPr>
          <w:p>
            <w:pPr>
              <w:spacing w:after="0"/>
              <w:rPr>
                <w:sz w:val="24"/>
                <w:szCs w:val="24"/>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110.3</w:t>
            </w:r>
          </w:p>
        </w:tc>
        <w:tc>
          <w:tcPr>
            <w:tcW w:w="11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78.4</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32.0</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(121.2)</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(52.7)</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(61.4)</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3.4</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304.6</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22.1</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(10.1)</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22.3</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147.9</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535.4</w:t>
            </w:r>
          </w:p>
        </w:tc>
      </w:tr>
      <w:tr>
        <w:trPr>
          <w:trHeight w:val="578"/>
        </w:trPr>
        <w:tc>
          <w:tcPr>
            <w:tcW w:w="400" w:type="dxa"/>
            <w:vAlign w:val="bottom"/>
          </w:tcPr>
          <w:p>
            <w:pPr>
              <w:spacing w:after="0"/>
              <w:rPr>
                <w:sz w:val="24"/>
                <w:szCs w:val="24"/>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(84.6)</w:t>
            </w:r>
          </w:p>
        </w:tc>
        <w:tc>
          <w:tcPr>
            <w:tcW w:w="1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(426.7)</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(2.1)</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(184.5)</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19.4</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179.1</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1.8</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(2.1)</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(67.6)</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(436.0)</w:t>
            </w:r>
          </w:p>
        </w:tc>
      </w:tr>
      <w:tr>
        <w:trPr>
          <w:trHeight w:val="578"/>
        </w:trPr>
        <w:tc>
          <w:tcPr>
            <w:tcW w:w="400" w:type="dxa"/>
            <w:vAlign w:val="bottom"/>
          </w:tcPr>
          <w:p>
            <w:pPr>
              <w:spacing w:after="0"/>
              <w:rPr>
                <w:sz w:val="24"/>
                <w:szCs w:val="24"/>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37.6</w:t>
            </w:r>
          </w:p>
        </w:tc>
        <w:tc>
          <w:tcPr>
            <w:tcW w:w="11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(90.0)</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(66.8)</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(55.1)</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(18.3)</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4.2</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(134.1)</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(54.7)</w:t>
            </w:r>
          </w:p>
        </w:tc>
      </w:tr>
      <w:tr>
        <w:trPr>
          <w:trHeight w:val="385"/>
        </w:trPr>
        <w:tc>
          <w:tcPr>
            <w:tcW w:w="400" w:type="dxa"/>
            <w:vAlign w:val="bottom"/>
          </w:tcPr>
          <w:p>
            <w:pPr>
              <w:spacing w:after="0"/>
              <w:rPr>
                <w:sz w:val="24"/>
                <w:szCs w:val="24"/>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(53.8)</w:t>
            </w:r>
          </w:p>
        </w:tc>
        <w:tc>
          <w:tcPr>
            <w:tcW w:w="11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44.7</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276.1</w:t>
            </w:r>
          </w:p>
        </w:tc>
        <w:tc>
          <w:tcPr>
            <w:tcW w:w="11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128.1</w:t>
            </w:r>
          </w:p>
        </w:tc>
      </w:tr>
      <w:tr>
        <w:trPr>
          <w:trHeight w:val="193"/>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222.3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172.8</w:t>
            </w:r>
          </w:p>
        </w:tc>
      </w:tr>
      <w:tr>
        <w:trPr>
          <w:trHeight w:val="57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38.4</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(44.1)</w:t>
            </w:r>
          </w:p>
        </w:tc>
      </w:tr>
      <w:tr>
        <w:trPr>
          <w:trHeight w:val="193"/>
        </w:trPr>
        <w:tc>
          <w:tcPr>
            <w:tcW w:w="40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(7.9)</w:t>
            </w:r>
          </w:p>
        </w:tc>
        <w:tc>
          <w:tcPr>
            <w:tcW w:w="1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385"/>
        </w:trPr>
        <w:tc>
          <w:tcPr>
            <w:tcW w:w="400" w:type="dxa"/>
            <w:vAlign w:val="bottom"/>
          </w:tcPr>
          <w:p>
            <w:pPr>
              <w:spacing w:after="0"/>
              <w:rPr>
                <w:sz w:val="24"/>
                <w:szCs w:val="24"/>
                <w:color w:val="auto"/>
              </w:rPr>
            </w:pPr>
          </w:p>
        </w:tc>
        <w:tc>
          <w:tcPr>
            <w:tcW w:w="16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62.5</w:t>
            </w:r>
          </w:p>
        </w:tc>
        <w:tc>
          <w:tcPr>
            <w:tcW w:w="11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90.8</w:t>
            </w:r>
          </w:p>
        </w:tc>
      </w:tr>
    </w:tbl>
    <w:p>
      <w:pPr>
        <w:sectPr>
          <w:pgSz w:w="11900" w:h="16838" w:orient="portrait"/>
          <w:cols w:equalWidth="0" w:num="2">
            <w:col w:w="6900" w:space="720"/>
            <w:col w:w="3900"/>
          </w:cols>
          <w:pgMar w:left="240" w:top="881" w:right="139"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500"/>
        <w:spacing w:after="0"/>
        <w:rPr>
          <w:sz w:val="20"/>
          <w:szCs w:val="20"/>
          <w:color w:val="auto"/>
        </w:rPr>
      </w:pPr>
      <w:r>
        <w:rPr>
          <w:rFonts w:ascii="Courier New" w:cs="Courier New" w:eastAsia="Courier New" w:hAnsi="Courier New"/>
          <w:sz w:val="17"/>
          <w:szCs w:val="17"/>
          <w:color w:val="auto"/>
        </w:rPr>
        <w:t>(All tabular dollar amounts are stated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Interim Financial Statements</w:t>
      </w:r>
    </w:p>
    <w:p>
      <w:pPr>
        <w:spacing w:after="0" w:line="391" w:lineRule="exact"/>
        <w:rPr>
          <w:sz w:val="20"/>
          <w:szCs w:val="20"/>
          <w:color w:val="auto"/>
        </w:rPr>
      </w:pPr>
    </w:p>
    <w:p>
      <w:pPr>
        <w:jc w:val="both"/>
        <w:ind w:right="3500" w:firstLine="501"/>
        <w:spacing w:after="0" w:line="238" w:lineRule="auto"/>
        <w:rPr>
          <w:sz w:val="20"/>
          <w:szCs w:val="20"/>
          <w:color w:val="auto"/>
        </w:rPr>
      </w:pPr>
      <w:r>
        <w:rPr>
          <w:rFonts w:ascii="Courier New" w:cs="Courier New" w:eastAsia="Courier New" w:hAnsi="Courier New"/>
          <w:sz w:val="17"/>
          <w:szCs w:val="17"/>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202" w:lineRule="exact"/>
        <w:rPr>
          <w:sz w:val="20"/>
          <w:szCs w:val="20"/>
          <w:color w:val="auto"/>
        </w:rPr>
      </w:pPr>
    </w:p>
    <w:p>
      <w:pPr>
        <w:jc w:val="both"/>
        <w:ind w:right="3500" w:firstLine="501"/>
        <w:spacing w:after="0" w:line="237" w:lineRule="auto"/>
        <w:rPr>
          <w:sz w:val="20"/>
          <w:szCs w:val="20"/>
          <w:color w:val="auto"/>
        </w:rPr>
      </w:pPr>
      <w:r>
        <w:rPr>
          <w:rFonts w:ascii="Courier New" w:cs="Courier New" w:eastAsia="Courier New" w:hAnsi="Courier New"/>
          <w:sz w:val="17"/>
          <w:szCs w:val="17"/>
          <w:color w:val="auto"/>
        </w:rPr>
        <w:t>This report on Form 10-Q for the quarter ended November 28, 1996, should be read in conjunction with the Company's Annual Report to Shareholders and/or Form 10-K for the year ended August 29, 1996.</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2.   Receivables</w:t>
            </w:r>
          </w:p>
        </w:tc>
        <w:tc>
          <w:tcPr>
            <w:tcW w:w="390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November 28,</w:t>
            </w:r>
          </w:p>
        </w:tc>
        <w:tc>
          <w:tcPr>
            <w:tcW w:w="180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6"/>
              </w:rPr>
              <w:t>August 29,</w:t>
            </w:r>
          </w:p>
        </w:tc>
      </w:tr>
      <w:tr>
        <w:trPr>
          <w:trHeight w:val="193"/>
        </w:trPr>
        <w:tc>
          <w:tcPr>
            <w:tcW w:w="58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3"/>
              </w:rPr>
              <w:t>1996</w:t>
            </w:r>
          </w:p>
        </w:tc>
        <w:tc>
          <w:tcPr>
            <w:tcW w:w="96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578"/>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Trade receivables</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296.0</w:t>
            </w:r>
          </w:p>
        </w:tc>
        <w:tc>
          <w:tcPr>
            <w:tcW w:w="96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288.2</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Income taxes receivable</w:t>
            </w:r>
          </w:p>
        </w:tc>
        <w:tc>
          <w:tcPr>
            <w:tcW w:w="2200" w:type="dxa"/>
            <w:vAlign w:val="bottom"/>
          </w:tcPr>
          <w:p>
            <w:pPr>
              <w:spacing w:after="0"/>
              <w:rPr>
                <w:sz w:val="16"/>
                <w:szCs w:val="16"/>
                <w:color w:val="auto"/>
              </w:rPr>
            </w:pPr>
          </w:p>
        </w:tc>
        <w:tc>
          <w:tcPr>
            <w:tcW w:w="17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22.8</w:t>
            </w:r>
          </w:p>
        </w:tc>
        <w:tc>
          <w:tcPr>
            <w:tcW w:w="9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69.1</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2200" w:type="dxa"/>
            <w:vAlign w:val="bottom"/>
          </w:tcPr>
          <w:p>
            <w:pPr>
              <w:spacing w:after="0"/>
              <w:rPr>
                <w:sz w:val="16"/>
                <w:szCs w:val="16"/>
                <w:color w:val="auto"/>
              </w:rPr>
            </w:pPr>
          </w:p>
        </w:tc>
        <w:tc>
          <w:tcPr>
            <w:tcW w:w="17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17.8</w:t>
            </w:r>
          </w:p>
        </w:tc>
        <w:tc>
          <w:tcPr>
            <w:tcW w:w="9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17.6</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Allowance for returns and discounts</w:t>
            </w:r>
          </w:p>
        </w:tc>
        <w:tc>
          <w:tcPr>
            <w:tcW w:w="2200" w:type="dxa"/>
            <w:vAlign w:val="bottom"/>
          </w:tcPr>
          <w:p>
            <w:pPr>
              <w:spacing w:after="0"/>
              <w:rPr>
                <w:sz w:val="16"/>
                <w:szCs w:val="16"/>
                <w:color w:val="auto"/>
              </w:rPr>
            </w:pP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(13.6)</w:t>
            </w:r>
          </w:p>
        </w:tc>
        <w:tc>
          <w:tcPr>
            <w:tcW w:w="9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Allowance for doubtful accounts</w:t>
            </w:r>
          </w:p>
        </w:tc>
        <w:tc>
          <w:tcPr>
            <w:tcW w:w="2200" w:type="dxa"/>
            <w:vAlign w:val="bottom"/>
          </w:tcPr>
          <w:p>
            <w:pPr>
              <w:spacing w:after="0"/>
              <w:rPr>
                <w:sz w:val="16"/>
                <w:szCs w:val="16"/>
                <w:color w:val="auto"/>
              </w:rPr>
            </w:pP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(7.7)</w:t>
            </w:r>
          </w:p>
        </w:tc>
        <w:tc>
          <w:tcPr>
            <w:tcW w:w="9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193"/>
        </w:trPr>
        <w:tc>
          <w:tcPr>
            <w:tcW w:w="58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315.3</w:t>
            </w:r>
          </w:p>
        </w:tc>
        <w:tc>
          <w:tcPr>
            <w:tcW w:w="96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3.   Inventories</w:t>
            </w:r>
          </w:p>
        </w:tc>
        <w:tc>
          <w:tcPr>
            <w:tcW w:w="432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November 28,</w:t>
            </w:r>
          </w:p>
        </w:tc>
        <w:tc>
          <w:tcPr>
            <w:tcW w:w="1840" w:type="dxa"/>
            <w:vAlign w:val="bottom"/>
            <w:gridSpan w:val="2"/>
          </w:tcPr>
          <w:p>
            <w:pPr>
              <w:ind w:left="840"/>
              <w:spacing w:after="0"/>
              <w:rPr>
                <w:sz w:val="20"/>
                <w:szCs w:val="20"/>
                <w:color w:val="auto"/>
              </w:rPr>
            </w:pPr>
            <w:r>
              <w:rPr>
                <w:rFonts w:ascii="Courier New" w:cs="Courier New" w:eastAsia="Courier New" w:hAnsi="Courier New"/>
                <w:sz w:val="17"/>
                <w:szCs w:val="17"/>
                <w:color w:val="auto"/>
                <w:w w:val="96"/>
              </w:rPr>
              <w:t>August 29,</w:t>
            </w:r>
          </w:p>
        </w:tc>
      </w:tr>
      <w:tr>
        <w:trPr>
          <w:trHeight w:val="193"/>
        </w:trPr>
        <w:tc>
          <w:tcPr>
            <w:tcW w:w="5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578"/>
        </w:trPr>
        <w:tc>
          <w:tcPr>
            <w:tcW w:w="5360" w:type="dxa"/>
            <w:vAlign w:val="bottom"/>
          </w:tcPr>
          <w:p>
            <w:pPr>
              <w:ind w:left="500"/>
              <w:spacing w:after="0"/>
              <w:rPr>
                <w:sz w:val="20"/>
                <w:szCs w:val="20"/>
                <w:color w:val="auto"/>
              </w:rPr>
            </w:pPr>
            <w:r>
              <w:rPr>
                <w:rFonts w:ascii="Courier New" w:cs="Courier New" w:eastAsia="Courier New" w:hAnsi="Courier New"/>
                <w:sz w:val="17"/>
                <w:szCs w:val="17"/>
                <w:color w:val="auto"/>
              </w:rPr>
              <w:t>Finished goods</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42.5</w:t>
            </w:r>
          </w:p>
        </w:tc>
        <w:tc>
          <w:tcPr>
            <w:tcW w:w="100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54.3</w:t>
            </w:r>
          </w:p>
        </w:tc>
      </w:tr>
      <w:tr>
        <w:trPr>
          <w:trHeight w:val="193"/>
        </w:trPr>
        <w:tc>
          <w:tcPr>
            <w:tcW w:w="5360" w:type="dxa"/>
            <w:vAlign w:val="bottom"/>
          </w:tcPr>
          <w:p>
            <w:pPr>
              <w:ind w:left="500"/>
              <w:spacing w:after="0"/>
              <w:rPr>
                <w:sz w:val="20"/>
                <w:szCs w:val="20"/>
                <w:color w:val="auto"/>
              </w:rPr>
            </w:pPr>
            <w:r>
              <w:rPr>
                <w:rFonts w:ascii="Courier New" w:cs="Courier New" w:eastAsia="Courier New" w:hAnsi="Courier New"/>
                <w:sz w:val="17"/>
                <w:szCs w:val="17"/>
                <w:color w:val="auto"/>
              </w:rPr>
              <w:t>Work in progress</w:t>
            </w:r>
          </w:p>
        </w:tc>
        <w:tc>
          <w:tcPr>
            <w:tcW w:w="2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128.1</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112.8</w:t>
            </w:r>
          </w:p>
        </w:tc>
      </w:tr>
      <w:tr>
        <w:trPr>
          <w:trHeight w:val="193"/>
        </w:trPr>
        <w:tc>
          <w:tcPr>
            <w:tcW w:w="5360" w:type="dxa"/>
            <w:vAlign w:val="bottom"/>
          </w:tcPr>
          <w:p>
            <w:pPr>
              <w:ind w:left="500"/>
              <w:spacing w:after="0"/>
              <w:rPr>
                <w:sz w:val="20"/>
                <w:szCs w:val="20"/>
                <w:color w:val="auto"/>
              </w:rPr>
            </w:pPr>
            <w:r>
              <w:rPr>
                <w:rFonts w:ascii="Courier New" w:cs="Courier New" w:eastAsia="Courier New" w:hAnsi="Courier New"/>
                <w:sz w:val="17"/>
                <w:szCs w:val="17"/>
                <w:color w:val="auto"/>
              </w:rPr>
              <w:t>Raw materials and supplies</w:t>
            </w:r>
          </w:p>
        </w:tc>
        <w:tc>
          <w:tcPr>
            <w:tcW w:w="2720" w:type="dxa"/>
            <w:vAlign w:val="bottom"/>
          </w:tcPr>
          <w:p>
            <w:pPr>
              <w:spacing w:after="0"/>
              <w:rPr>
                <w:sz w:val="16"/>
                <w:szCs w:val="16"/>
                <w:color w:val="auto"/>
              </w:rPr>
            </w:pP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133.5</w:t>
            </w:r>
          </w:p>
        </w:tc>
        <w:tc>
          <w:tcPr>
            <w:tcW w:w="10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84.3</w:t>
            </w:r>
          </w:p>
        </w:tc>
      </w:tr>
      <w:tr>
        <w:trPr>
          <w:trHeight w:val="193"/>
        </w:trPr>
        <w:tc>
          <w:tcPr>
            <w:tcW w:w="536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304.1</w:t>
            </w:r>
          </w:p>
        </w:tc>
        <w:tc>
          <w:tcPr>
            <w:tcW w:w="100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w w:val="96"/>
              </w:rPr>
              <w:t>4.   Product and</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process technology,</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net</w:t>
            </w:r>
          </w:p>
        </w:tc>
        <w:tc>
          <w:tcPr>
            <w:tcW w:w="3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November 28,</w:t>
            </w:r>
          </w:p>
        </w:tc>
        <w:tc>
          <w:tcPr>
            <w:tcW w:w="1500" w:type="dxa"/>
            <w:vAlign w:val="bottom"/>
          </w:tcPr>
          <w:p>
            <w:pPr>
              <w:ind w:left="840"/>
              <w:spacing w:after="0"/>
              <w:rPr>
                <w:sz w:val="20"/>
                <w:szCs w:val="20"/>
                <w:color w:val="auto"/>
              </w:rPr>
            </w:pPr>
            <w:r>
              <w:rPr>
                <w:rFonts w:ascii="Courier New" w:cs="Courier New" w:eastAsia="Courier New" w:hAnsi="Courier New"/>
                <w:sz w:val="17"/>
                <w:szCs w:val="17"/>
                <w:color w:val="auto"/>
              </w:rPr>
              <w:t>August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3"/>
        </w:trPr>
        <w:tc>
          <w:tcPr>
            <w:tcW w:w="1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1996</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340" w:type="dxa"/>
            <w:vAlign w:val="bottom"/>
          </w:tcPr>
          <w:p>
            <w:pPr>
              <w:spacing w:after="0"/>
              <w:rPr>
                <w:sz w:val="16"/>
                <w:szCs w:val="16"/>
                <w:color w:val="auto"/>
              </w:rPr>
            </w:pPr>
          </w:p>
        </w:tc>
      </w:tr>
      <w:tr>
        <w:trPr>
          <w:trHeight w:val="578"/>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Product and</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process technology,</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at cost</w:t>
            </w:r>
          </w:p>
        </w:tc>
        <w:tc>
          <w:tcPr>
            <w:tcW w:w="36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   169.7</w:t>
            </w:r>
          </w:p>
        </w:tc>
        <w:tc>
          <w:tcPr>
            <w:tcW w:w="184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   167.5</w:t>
            </w:r>
          </w:p>
        </w:tc>
      </w:tr>
    </w:tbl>
    <w:p>
      <w:pPr>
        <w:sectPr>
          <w:pgSz w:w="11900" w:h="16838" w:orient="portrait"/>
          <w:cols w:equalWidth="0" w:num="1">
            <w:col w:w="11520"/>
          </w:cols>
          <w:pgMar w:left="240" w:top="881" w:right="139" w:bottom="1440" w:gutter="0" w:footer="0" w:header="0"/>
        </w:sectPr>
      </w:pPr>
    </w:p>
    <w:bookmarkStart w:id="5" w:name="page6"/>
    <w:bookmarkEnd w:id="5"/>
    <w:p>
      <w:pPr>
        <w:ind w:left="3520"/>
        <w:spacing w:after="0"/>
        <w:rPr>
          <w:sz w:val="20"/>
          <w:szCs w:val="20"/>
          <w:color w:val="auto"/>
        </w:rPr>
      </w:pPr>
      <w:r>
        <w:rPr>
          <w:rFonts w:ascii="Courier New" w:cs="Courier New" w:eastAsia="Courier New" w:hAnsi="Courier New"/>
          <w:sz w:val="17"/>
          <w:szCs w:val="17"/>
          <w:color w:val="auto"/>
        </w:rPr>
        <w:t>Exhibit 11</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MICRON TECHNOLOGY, INC.</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Computation of Per Share Earnings</w:t>
      </w:r>
    </w:p>
    <w:p>
      <w:pPr>
        <w:jc w:val="center"/>
        <w:ind w:right="3400"/>
        <w:spacing w:after="0"/>
        <w:rPr>
          <w:sz w:val="20"/>
          <w:szCs w:val="20"/>
          <w:color w:val="auto"/>
        </w:rPr>
      </w:pPr>
      <w:r>
        <w:rPr>
          <w:rFonts w:ascii="Courier New" w:cs="Courier New" w:eastAsia="Courier New" w:hAnsi="Courier New"/>
          <w:sz w:val="17"/>
          <w:szCs w:val="17"/>
          <w:color w:val="auto"/>
        </w:rPr>
        <w:t>(Amounts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20"/>
        <w:spacing w:after="0"/>
        <w:tabs>
          <w:tab w:leader="none" w:pos="10300" w:val="left"/>
        </w:tabs>
        <w:rPr>
          <w:sz w:val="20"/>
          <w:szCs w:val="20"/>
          <w:color w:val="auto"/>
        </w:rPr>
      </w:pPr>
      <w:r>
        <w:rPr>
          <w:rFonts w:ascii="Courier New" w:cs="Courier New" w:eastAsia="Courier New" w:hAnsi="Courier New"/>
          <w:sz w:val="17"/>
          <w:szCs w:val="17"/>
          <w:color w:val="auto"/>
        </w:rPr>
        <w:t>November 28,</w:t>
      </w:r>
      <w:r>
        <w:rPr>
          <w:sz w:val="20"/>
          <w:szCs w:val="20"/>
          <w:color w:val="auto"/>
        </w:rPr>
        <w:tab/>
      </w:r>
      <w:r>
        <w:rPr>
          <w:rFonts w:ascii="Courier New" w:cs="Courier New" w:eastAsia="Courier New" w:hAnsi="Courier New"/>
          <w:sz w:val="16"/>
          <w:szCs w:val="16"/>
          <w:color w:val="auto"/>
        </w:rPr>
        <w:t>November 30,</w:t>
      </w:r>
    </w:p>
    <w:p>
      <w:pPr>
        <w:spacing w:after="0"/>
        <w:tabs>
          <w:tab w:leader="none" w:pos="8300" w:val="left"/>
          <w:tab w:leader="none" w:pos="10900" w:val="left"/>
        </w:tabs>
        <w:rPr>
          <w:sz w:val="20"/>
          <w:szCs w:val="20"/>
          <w:color w:val="auto"/>
        </w:rPr>
      </w:pPr>
      <w:r>
        <w:rPr>
          <w:rFonts w:ascii="Courier New" w:cs="Courier New" w:eastAsia="Courier New" w:hAnsi="Courier New"/>
          <w:sz w:val="17"/>
          <w:szCs w:val="17"/>
          <w:color w:val="auto"/>
        </w:rPr>
        <w:t>Quarter Ended</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6"/>
          <w:szCs w:val="16"/>
          <w:color w:val="auto"/>
        </w:rPr>
        <w:t>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2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5"/>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 shares outstanding</w:t>
            </w:r>
          </w:p>
        </w:tc>
        <w:tc>
          <w:tcPr>
            <w:tcW w:w="2160" w:type="dxa"/>
            <w:vAlign w:val="bottom"/>
          </w:tcPr>
          <w:p>
            <w:pPr>
              <w:spacing w:after="0"/>
              <w:rPr>
                <w:sz w:val="24"/>
                <w:szCs w:val="24"/>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209.1</w:t>
            </w:r>
          </w:p>
        </w:tc>
        <w:tc>
          <w:tcPr>
            <w:tcW w:w="1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206.7</w:t>
            </w:r>
          </w:p>
        </w:tc>
      </w:t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effect of dilutive stock options</w:t>
            </w:r>
          </w:p>
        </w:tc>
        <w:tc>
          <w:tcPr>
            <w:tcW w:w="2160" w:type="dxa"/>
            <w:vAlign w:val="bottom"/>
          </w:tcPr>
          <w:p>
            <w:pPr>
              <w:spacing w:after="0"/>
              <w:rPr>
                <w:sz w:val="16"/>
                <w:szCs w:val="16"/>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4.9</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Total shares</w:t>
            </w:r>
          </w:p>
        </w:tc>
        <w:tc>
          <w:tcPr>
            <w:tcW w:w="2160" w:type="dxa"/>
            <w:vAlign w:val="bottom"/>
          </w:tcPr>
          <w:p>
            <w:pPr>
              <w:spacing w:after="0"/>
              <w:rPr>
                <w:sz w:val="16"/>
                <w:szCs w:val="16"/>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214.0</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217.2</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income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20.6</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$ 328.5</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Primary earnings per share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0.10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1.51</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 shares outstanding</w:t>
            </w:r>
          </w:p>
        </w:tc>
        <w:tc>
          <w:tcPr>
            <w:tcW w:w="2160" w:type="dxa"/>
            <w:vAlign w:val="bottom"/>
          </w:tcPr>
          <w:p>
            <w:pPr>
              <w:spacing w:after="0"/>
              <w:rPr>
                <w:sz w:val="24"/>
                <w:szCs w:val="24"/>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209.1</w:t>
            </w:r>
          </w:p>
        </w:tc>
        <w:tc>
          <w:tcPr>
            <w:tcW w:w="1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206.7</w:t>
            </w:r>
          </w:p>
        </w:tc>
      </w:t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effect of dilutive stock options</w:t>
            </w:r>
          </w:p>
        </w:tc>
        <w:tc>
          <w:tcPr>
            <w:tcW w:w="2160" w:type="dxa"/>
            <w:vAlign w:val="bottom"/>
          </w:tcPr>
          <w:p>
            <w:pPr>
              <w:spacing w:after="0"/>
              <w:rPr>
                <w:sz w:val="16"/>
                <w:szCs w:val="16"/>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5.4</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Total shares</w:t>
            </w:r>
          </w:p>
        </w:tc>
        <w:tc>
          <w:tcPr>
            <w:tcW w:w="2160" w:type="dxa"/>
            <w:vAlign w:val="bottom"/>
          </w:tcPr>
          <w:p>
            <w:pPr>
              <w:spacing w:after="0"/>
              <w:rPr>
                <w:sz w:val="16"/>
                <w:szCs w:val="16"/>
                <w:color w:val="auto"/>
              </w:rPr>
            </w:pP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214.5</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217.2</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income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20.6</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$ 328.5</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Fully diluted earnings per share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0.10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1.51</w:t>
            </w:r>
          </w:p>
        </w:tc>
      </w:tr>
      <w:tr>
        <w:trPr>
          <w:trHeight w:val="193"/>
        </w:trPr>
        <w:tc>
          <w:tcPr>
            <w:tcW w:w="6120" w:type="dxa"/>
            <w:vAlign w:val="bottom"/>
          </w:tcPr>
          <w:p>
            <w:pPr>
              <w:spacing w:after="0"/>
              <w:rPr>
                <w:sz w:val="16"/>
                <w:szCs w:val="16"/>
                <w:color w:val="auto"/>
              </w:rPr>
            </w:pPr>
          </w:p>
        </w:tc>
        <w:tc>
          <w:tcPr>
            <w:tcW w:w="366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6120" w:type="dxa"/>
            <w:vAlign w:val="bottom"/>
          </w:tcPr>
          <w:p>
            <w:pPr>
              <w:ind w:left="3920"/>
              <w:spacing w:after="0"/>
              <w:rPr>
                <w:sz w:val="20"/>
                <w:szCs w:val="20"/>
                <w:color w:val="auto"/>
              </w:rPr>
            </w:pPr>
            <w:r>
              <w:rPr>
                <w:rFonts w:ascii="Courier New" w:cs="Courier New" w:eastAsia="Courier New" w:hAnsi="Courier New"/>
                <w:sz w:val="17"/>
                <w:szCs w:val="17"/>
                <w:color w:val="auto"/>
              </w:rPr>
              <w:t>15</w:t>
            </w: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520"/>
          </w:cols>
          <w:pgMar w:left="240" w:top="13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WARNING: THE EDGAR SYSTEM ENCOUNTERED ERROR(S) WHILE PROCESSING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0" w:right="2179" w:firstLine="501"/>
        <w:spacing w:after="0" w:line="237" w:lineRule="auto"/>
        <w:rPr>
          <w:sz w:val="20"/>
          <w:szCs w:val="20"/>
          <w:color w:val="auto"/>
        </w:rPr>
      </w:pPr>
      <w:r>
        <w:rPr>
          <w:rFonts w:ascii="Courier New" w:cs="Courier New" w:eastAsia="Courier New" w:hAnsi="Courier New"/>
          <w:sz w:val="17"/>
          <w:szCs w:val="17"/>
          <w:color w:val="auto"/>
        </w:rPr>
        <w:t>This schedule contains summary financial information extracted from the accompanying financial statements and is qualified in its entirety by reference to such financial statements.</w:t>
      </w: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1,000,000</w:t>
      </w:r>
    </w:p>
    <w:p>
      <w:pPr>
        <w:spacing w:after="0" w:line="3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3-MOS</w:t>
      </w:r>
    </w:p>
    <w:p>
      <w:pPr>
        <w:ind w:left="4320"/>
        <w:spacing w:after="0"/>
        <w:rPr>
          <w:sz w:val="20"/>
          <w:szCs w:val="20"/>
          <w:color w:val="auto"/>
        </w:rPr>
      </w:pPr>
      <w:r>
        <w:rPr>
          <w:rFonts w:ascii="Courier New" w:cs="Courier New" w:eastAsia="Courier New" w:hAnsi="Courier New"/>
          <w:sz w:val="17"/>
          <w:szCs w:val="17"/>
          <w:color w:val="auto"/>
        </w:rPr>
        <w:t>AUG-28-1997</w:t>
      </w:r>
    </w:p>
    <w:p>
      <w:pPr>
        <w:ind w:left="4820"/>
        <w:spacing w:after="0"/>
        <w:rPr>
          <w:sz w:val="20"/>
          <w:szCs w:val="20"/>
          <w:color w:val="auto"/>
        </w:rPr>
      </w:pPr>
      <w:r>
        <w:rPr>
          <w:rFonts w:ascii="Courier New" w:cs="Courier New" w:eastAsia="Courier New" w:hAnsi="Courier New"/>
          <w:sz w:val="17"/>
          <w:szCs w:val="17"/>
          <w:color w:val="auto"/>
        </w:rPr>
        <w:t>NOV-28-1996</w:t>
      </w:r>
    </w:p>
    <w:p>
      <w:pPr>
        <w:ind w:left="6220"/>
        <w:spacing w:after="0"/>
        <w:rPr>
          <w:sz w:val="20"/>
          <w:szCs w:val="20"/>
          <w:color w:val="auto"/>
        </w:rPr>
      </w:pPr>
      <w:r>
        <w:rPr>
          <w:rFonts w:ascii="Courier New" w:cs="Courier New" w:eastAsia="Courier New" w:hAnsi="Courier New"/>
          <w:sz w:val="17"/>
          <w:szCs w:val="17"/>
          <w:color w:val="auto"/>
        </w:rPr>
        <w:t>222</w:t>
      </w:r>
    </w:p>
    <w:p>
      <w:pPr>
        <w:ind w:left="5820"/>
        <w:spacing w:after="0"/>
        <w:rPr>
          <w:sz w:val="20"/>
          <w:szCs w:val="20"/>
          <w:color w:val="auto"/>
        </w:rPr>
      </w:pPr>
      <w:r>
        <w:rPr>
          <w:rFonts w:ascii="Courier New" w:cs="Courier New" w:eastAsia="Courier New" w:hAnsi="Courier New"/>
          <w:sz w:val="17"/>
          <w:szCs w:val="17"/>
          <w:color w:val="auto"/>
        </w:rPr>
        <w:t>6</w:t>
      </w:r>
    </w:p>
    <w:p>
      <w:pPr>
        <w:ind w:left="5520"/>
        <w:spacing w:after="0"/>
        <w:rPr>
          <w:sz w:val="20"/>
          <w:szCs w:val="20"/>
          <w:color w:val="auto"/>
        </w:rPr>
      </w:pPr>
      <w:r>
        <w:rPr>
          <w:rFonts w:ascii="Courier New" w:cs="Courier New" w:eastAsia="Courier New" w:hAnsi="Courier New"/>
          <w:sz w:val="17"/>
          <w:szCs w:val="17"/>
          <w:color w:val="auto"/>
        </w:rPr>
        <w:t>337</w:t>
      </w:r>
    </w:p>
    <w:p>
      <w:pPr>
        <w:ind w:left="5720"/>
        <w:spacing w:after="0"/>
        <w:rPr>
          <w:sz w:val="20"/>
          <w:szCs w:val="20"/>
          <w:color w:val="auto"/>
        </w:rPr>
      </w:pPr>
      <w:r>
        <w:rPr>
          <w:rFonts w:ascii="Courier New" w:cs="Courier New" w:eastAsia="Courier New" w:hAnsi="Courier New"/>
          <w:sz w:val="17"/>
          <w:szCs w:val="17"/>
          <w:color w:val="auto"/>
        </w:rPr>
        <w:t>21</w:t>
      </w:r>
    </w:p>
    <w:p>
      <w:pPr>
        <w:ind w:left="5720"/>
        <w:spacing w:after="0"/>
        <w:rPr>
          <w:sz w:val="20"/>
          <w:szCs w:val="20"/>
          <w:color w:val="auto"/>
        </w:rPr>
      </w:pPr>
      <w:r>
        <w:rPr>
          <w:rFonts w:ascii="Courier New" w:cs="Courier New" w:eastAsia="Courier New" w:hAnsi="Courier New"/>
          <w:sz w:val="17"/>
          <w:szCs w:val="17"/>
          <w:color w:val="auto"/>
        </w:rPr>
        <w:t>304</w:t>
      </w:r>
    </w:p>
    <w:p>
      <w:pPr>
        <w:jc w:val="center"/>
        <w:ind w:right="-500"/>
        <w:spacing w:after="0"/>
        <w:rPr>
          <w:sz w:val="20"/>
          <w:szCs w:val="20"/>
          <w:color w:val="auto"/>
        </w:rPr>
      </w:pPr>
      <w:r>
        <w:rPr>
          <w:rFonts w:ascii="Courier New" w:cs="Courier New" w:eastAsia="Courier New" w:hAnsi="Courier New"/>
          <w:sz w:val="17"/>
          <w:szCs w:val="17"/>
          <w:color w:val="auto"/>
        </w:rPr>
        <w:t>910</w:t>
      </w:r>
    </w:p>
    <w:p>
      <w:pPr>
        <w:ind w:left="6020"/>
        <w:spacing w:after="0"/>
        <w:rPr>
          <w:sz w:val="20"/>
          <w:szCs w:val="20"/>
          <w:color w:val="auto"/>
        </w:rPr>
      </w:pPr>
      <w:r>
        <w:rPr>
          <w:rFonts w:ascii="Courier New" w:cs="Courier New" w:eastAsia="Courier New" w:hAnsi="Courier New"/>
          <w:sz w:val="17"/>
          <w:szCs w:val="17"/>
          <w:color w:val="auto"/>
        </w:rPr>
        <w:t>3,644</w:t>
      </w:r>
    </w:p>
    <w:p>
      <w:pPr>
        <w:jc w:val="right"/>
        <w:ind w:right="4499"/>
        <w:spacing w:after="0"/>
        <w:rPr>
          <w:sz w:val="20"/>
          <w:szCs w:val="20"/>
          <w:color w:val="auto"/>
        </w:rPr>
      </w:pPr>
      <w:r>
        <w:rPr>
          <w:rFonts w:ascii="Courier New" w:cs="Courier New" w:eastAsia="Courier New" w:hAnsi="Courier New"/>
          <w:sz w:val="17"/>
          <w:szCs w:val="17"/>
          <w:color w:val="auto"/>
        </w:rPr>
        <w:t>904</w:t>
      </w:r>
    </w:p>
    <w:p>
      <w:pPr>
        <w:jc w:val="right"/>
        <w:ind w:right="4499"/>
        <w:spacing w:after="0"/>
        <w:rPr>
          <w:sz w:val="20"/>
          <w:szCs w:val="20"/>
          <w:color w:val="auto"/>
        </w:rPr>
      </w:pPr>
      <w:r>
        <w:rPr>
          <w:rFonts w:ascii="Courier New" w:cs="Courier New" w:eastAsia="Courier New" w:hAnsi="Courier New"/>
          <w:sz w:val="17"/>
          <w:szCs w:val="17"/>
          <w:color w:val="auto"/>
        </w:rPr>
        <w:t>3,721</w:t>
      </w:r>
    </w:p>
    <w:p>
      <w:pPr>
        <w:jc w:val="center"/>
        <w:ind w:right="499"/>
        <w:spacing w:after="0"/>
        <w:rPr>
          <w:sz w:val="20"/>
          <w:szCs w:val="20"/>
          <w:color w:val="auto"/>
        </w:rPr>
      </w:pPr>
      <w:r>
        <w:rPr>
          <w:rFonts w:ascii="Courier New" w:cs="Courier New" w:eastAsia="Courier New" w:hAnsi="Courier New"/>
          <w:sz w:val="17"/>
          <w:szCs w:val="17"/>
          <w:color w:val="auto"/>
        </w:rPr>
        <w:t>605</w:t>
      </w:r>
    </w:p>
    <w:p>
      <w:pPr>
        <w:ind w:left="6120"/>
        <w:spacing w:after="0"/>
        <w:rPr>
          <w:sz w:val="20"/>
          <w:szCs w:val="20"/>
          <w:color w:val="auto"/>
        </w:rPr>
      </w:pPr>
      <w:r>
        <w:rPr>
          <w:rFonts w:ascii="Courier New" w:cs="Courier New" w:eastAsia="Courier New" w:hAnsi="Courier New"/>
          <w:sz w:val="17"/>
          <w:szCs w:val="17"/>
          <w:color w:val="auto"/>
        </w:rPr>
        <w:t>306</w:t>
      </w:r>
    </w:p>
    <w:p>
      <w:pPr>
        <w:jc w:val="center"/>
        <w:ind w:right="299"/>
        <w:spacing w:after="0"/>
        <w:rPr>
          <w:sz w:val="20"/>
          <w:szCs w:val="20"/>
          <w:color w:val="auto"/>
        </w:rPr>
      </w:pPr>
      <w:r>
        <w:rPr>
          <w:rFonts w:ascii="Courier New" w:cs="Courier New" w:eastAsia="Courier New" w:hAnsi="Courier New"/>
          <w:sz w:val="17"/>
          <w:szCs w:val="17"/>
          <w:color w:val="auto"/>
        </w:rPr>
        <w:t>0</w:t>
      </w:r>
    </w:p>
    <w:p>
      <w:pPr>
        <w:ind w:left="5920"/>
        <w:spacing w:after="0"/>
        <w:rPr>
          <w:sz w:val="20"/>
          <w:szCs w:val="20"/>
          <w:color w:val="auto"/>
        </w:rPr>
      </w:pPr>
      <w:r>
        <w:rPr>
          <w:rFonts w:ascii="Courier New" w:cs="Courier New" w:eastAsia="Courier New" w:hAnsi="Courier New"/>
          <w:sz w:val="17"/>
          <w:szCs w:val="17"/>
          <w:color w:val="auto"/>
        </w:rPr>
        <w:t>0</w:t>
      </w:r>
    </w:p>
    <w:p>
      <w:pPr>
        <w:ind w:left="6120"/>
        <w:spacing w:after="0"/>
        <w:rPr>
          <w:sz w:val="20"/>
          <w:szCs w:val="20"/>
          <w:color w:val="auto"/>
        </w:rPr>
      </w:pPr>
      <w:r>
        <w:rPr>
          <w:rFonts w:ascii="Courier New" w:cs="Courier New" w:eastAsia="Courier New" w:hAnsi="Courier New"/>
          <w:sz w:val="17"/>
          <w:szCs w:val="17"/>
          <w:color w:val="auto"/>
        </w:rPr>
        <w:t>21</w:t>
      </w:r>
    </w:p>
    <w:p>
      <w:pPr>
        <w:ind w:left="5620"/>
        <w:spacing w:after="0"/>
        <w:rPr>
          <w:sz w:val="20"/>
          <w:szCs w:val="20"/>
          <w:color w:val="auto"/>
        </w:rPr>
      </w:pPr>
      <w:r>
        <w:rPr>
          <w:rFonts w:ascii="Courier New" w:cs="Courier New" w:eastAsia="Courier New" w:hAnsi="Courier New"/>
          <w:sz w:val="17"/>
          <w:szCs w:val="17"/>
          <w:color w:val="auto"/>
        </w:rPr>
        <w:t>2,507</w:t>
      </w:r>
    </w:p>
    <w:p>
      <w:pPr>
        <w:ind w:left="3820"/>
        <w:spacing w:after="0"/>
        <w:rPr>
          <w:sz w:val="20"/>
          <w:szCs w:val="20"/>
          <w:color w:val="auto"/>
        </w:rPr>
      </w:pPr>
      <w:r>
        <w:rPr>
          <w:rFonts w:ascii="Courier New" w:cs="Courier New" w:eastAsia="Courier New" w:hAnsi="Courier New"/>
          <w:sz w:val="17"/>
          <w:szCs w:val="17"/>
          <w:color w:val="auto"/>
        </w:rPr>
        <w:t>3,721</w:t>
      </w:r>
    </w:p>
    <w:p>
      <w:pPr>
        <w:ind w:left="6120"/>
        <w:spacing w:after="0"/>
        <w:rPr>
          <w:sz w:val="20"/>
          <w:szCs w:val="20"/>
          <w:color w:val="auto"/>
        </w:rPr>
      </w:pPr>
      <w:r>
        <w:rPr>
          <w:rFonts w:ascii="Courier New" w:cs="Courier New" w:eastAsia="Courier New" w:hAnsi="Courier New"/>
          <w:sz w:val="17"/>
          <w:szCs w:val="17"/>
          <w:color w:val="auto"/>
        </w:rPr>
        <w:t>728</w:t>
      </w:r>
    </w:p>
    <w:p>
      <w:pPr>
        <w:jc w:val="center"/>
        <w:ind w:right="-500"/>
        <w:spacing w:after="0"/>
        <w:rPr>
          <w:sz w:val="20"/>
          <w:szCs w:val="20"/>
          <w:color w:val="auto"/>
        </w:rPr>
      </w:pPr>
      <w:r>
        <w:rPr>
          <w:rFonts w:ascii="Courier New" w:cs="Courier New" w:eastAsia="Courier New" w:hAnsi="Courier New"/>
          <w:sz w:val="17"/>
          <w:szCs w:val="17"/>
          <w:color w:val="auto"/>
        </w:rPr>
        <w:t>728</w:t>
      </w:r>
    </w:p>
    <w:p>
      <w:pPr>
        <w:ind w:left="6320"/>
        <w:spacing w:after="0"/>
        <w:rPr>
          <w:sz w:val="20"/>
          <w:szCs w:val="20"/>
          <w:color w:val="auto"/>
        </w:rPr>
      </w:pPr>
      <w:r>
        <w:rPr>
          <w:rFonts w:ascii="Courier New" w:cs="Courier New" w:eastAsia="Courier New" w:hAnsi="Courier New"/>
          <w:sz w:val="17"/>
          <w:szCs w:val="17"/>
          <w:color w:val="auto"/>
        </w:rPr>
        <w:t>573</w:t>
      </w:r>
    </w:p>
    <w:p>
      <w:pPr>
        <w:ind w:left="5520"/>
        <w:spacing w:after="0"/>
        <w:rPr>
          <w:sz w:val="20"/>
          <w:szCs w:val="20"/>
          <w:color w:val="auto"/>
        </w:rPr>
      </w:pPr>
      <w:r>
        <w:rPr>
          <w:rFonts w:ascii="Courier New" w:cs="Courier New" w:eastAsia="Courier New" w:hAnsi="Courier New"/>
          <w:sz w:val="17"/>
          <w:szCs w:val="17"/>
          <w:color w:val="auto"/>
        </w:rPr>
        <w:t>687</w:t>
      </w:r>
    </w:p>
    <w:p>
      <w:pPr>
        <w:ind w:left="5420"/>
        <w:spacing w:after="0"/>
        <w:rPr>
          <w:sz w:val="20"/>
          <w:szCs w:val="20"/>
          <w:color w:val="auto"/>
        </w:rPr>
      </w:pPr>
      <w:r>
        <w:rPr>
          <w:rFonts w:ascii="Courier New" w:cs="Courier New" w:eastAsia="Courier New" w:hAnsi="Courier New"/>
          <w:sz w:val="17"/>
          <w:szCs w:val="17"/>
          <w:color w:val="auto"/>
        </w:rPr>
        <w:t>0</w:t>
      </w:r>
    </w:p>
    <w:p>
      <w:pPr>
        <w:ind w:left="5420"/>
        <w:spacing w:after="0"/>
        <w:rPr>
          <w:sz w:val="20"/>
          <w:szCs w:val="20"/>
          <w:color w:val="auto"/>
        </w:rPr>
      </w:pPr>
      <w:r>
        <w:rPr>
          <w:rFonts w:ascii="Courier New" w:cs="Courier New" w:eastAsia="Courier New" w:hAnsi="Courier New"/>
          <w:sz w:val="17"/>
          <w:szCs w:val="17"/>
          <w:color w:val="auto"/>
        </w:rPr>
        <w:t>0</w:t>
      </w:r>
    </w:p>
    <w:p>
      <w:pPr>
        <w:jc w:val="center"/>
        <w:ind w:right="-300"/>
        <w:spacing w:after="0"/>
        <w:rPr>
          <w:sz w:val="20"/>
          <w:szCs w:val="20"/>
          <w:color w:val="auto"/>
        </w:rPr>
      </w:pPr>
      <w:r>
        <w:rPr>
          <w:rFonts w:ascii="Courier New" w:cs="Courier New" w:eastAsia="Courier New" w:hAnsi="Courier New"/>
          <w:sz w:val="17"/>
          <w:szCs w:val="17"/>
          <w:color w:val="auto"/>
        </w:rPr>
        <w:t>2</w:t>
      </w:r>
    </w:p>
    <w:p>
      <w:pPr>
        <w:ind w:left="5420"/>
        <w:spacing w:after="0"/>
        <w:rPr>
          <w:sz w:val="20"/>
          <w:szCs w:val="20"/>
          <w:color w:val="auto"/>
        </w:rPr>
      </w:pPr>
      <w:r>
        <w:rPr>
          <w:rFonts w:ascii="Courier New" w:cs="Courier New" w:eastAsia="Courier New" w:hAnsi="Courier New"/>
          <w:sz w:val="17"/>
          <w:szCs w:val="17"/>
          <w:color w:val="auto"/>
        </w:rPr>
        <w:t>39</w:t>
      </w:r>
    </w:p>
    <w:p>
      <w:pPr>
        <w:ind w:left="5720"/>
        <w:spacing w:after="0"/>
        <w:rPr>
          <w:sz w:val="20"/>
          <w:szCs w:val="20"/>
          <w:color w:val="auto"/>
        </w:rPr>
      </w:pPr>
      <w:r>
        <w:rPr>
          <w:rFonts w:ascii="Courier New" w:cs="Courier New" w:eastAsia="Courier New" w:hAnsi="Courier New"/>
          <w:sz w:val="17"/>
          <w:szCs w:val="17"/>
          <w:color w:val="auto"/>
        </w:rPr>
        <w:t>16</w:t>
      </w:r>
    </w:p>
    <w:p>
      <w:pPr>
        <w:jc w:val="center"/>
        <w:ind w:right="-100"/>
        <w:spacing w:after="0"/>
        <w:rPr>
          <w:sz w:val="20"/>
          <w:szCs w:val="20"/>
          <w:color w:val="auto"/>
        </w:rPr>
      </w:pPr>
      <w:r>
        <w:rPr>
          <w:rFonts w:ascii="Courier New" w:cs="Courier New" w:eastAsia="Courier New" w:hAnsi="Courier New"/>
          <w:sz w:val="17"/>
          <w:szCs w:val="17"/>
          <w:color w:val="auto"/>
        </w:rPr>
        <w:t>0</w:t>
      </w:r>
    </w:p>
    <w:p>
      <w:pPr>
        <w:ind w:left="5620"/>
        <w:spacing w:after="0"/>
        <w:rPr>
          <w:sz w:val="20"/>
          <w:szCs w:val="20"/>
          <w:color w:val="auto"/>
        </w:rPr>
      </w:pPr>
      <w:r>
        <w:rPr>
          <w:rFonts w:ascii="Courier New" w:cs="Courier New" w:eastAsia="Courier New" w:hAnsi="Courier New"/>
          <w:sz w:val="17"/>
          <w:szCs w:val="17"/>
          <w:color w:val="auto"/>
        </w:rPr>
        <w:t>0</w:t>
      </w:r>
    </w:p>
    <w:p>
      <w:pPr>
        <w:ind w:left="5520"/>
        <w:spacing w:after="0"/>
        <w:rPr>
          <w:sz w:val="20"/>
          <w:szCs w:val="20"/>
          <w:color w:val="auto"/>
        </w:rPr>
      </w:pPr>
      <w:r>
        <w:rPr>
          <w:rFonts w:ascii="Courier New" w:cs="Courier New" w:eastAsia="Courier New" w:hAnsi="Courier New"/>
          <w:sz w:val="17"/>
          <w:szCs w:val="17"/>
          <w:color w:val="auto"/>
        </w:rPr>
        <w:t>0</w:t>
      </w:r>
    </w:p>
    <w:p>
      <w:pPr>
        <w:ind w:left="6120"/>
        <w:spacing w:after="0"/>
        <w:rPr>
          <w:sz w:val="20"/>
          <w:szCs w:val="20"/>
          <w:color w:val="auto"/>
        </w:rPr>
      </w:pPr>
      <w:r>
        <w:rPr>
          <w:rFonts w:ascii="Courier New" w:cs="Courier New" w:eastAsia="Courier New" w:hAnsi="Courier New"/>
          <w:sz w:val="17"/>
          <w:szCs w:val="17"/>
          <w:color w:val="auto"/>
        </w:rPr>
        <w:t>0</w:t>
      </w:r>
    </w:p>
    <w:p>
      <w:pPr>
        <w:ind w:left="5720"/>
        <w:spacing w:after="0"/>
        <w:rPr>
          <w:sz w:val="20"/>
          <w:szCs w:val="20"/>
          <w:color w:val="auto"/>
        </w:rPr>
      </w:pPr>
      <w:r>
        <w:rPr>
          <w:rFonts w:ascii="Courier New" w:cs="Courier New" w:eastAsia="Courier New" w:hAnsi="Courier New"/>
          <w:sz w:val="17"/>
          <w:szCs w:val="17"/>
          <w:color w:val="auto"/>
        </w:rPr>
        <w:t>21</w:t>
      </w:r>
    </w:p>
    <w:p>
      <w:pPr>
        <w:ind w:left="5520"/>
        <w:spacing w:after="0"/>
        <w:rPr>
          <w:sz w:val="20"/>
          <w:szCs w:val="20"/>
          <w:color w:val="auto"/>
        </w:rPr>
      </w:pPr>
      <w:r>
        <w:rPr>
          <w:rFonts w:ascii="Courier New" w:cs="Courier New" w:eastAsia="Courier New" w:hAnsi="Courier New"/>
          <w:sz w:val="17"/>
          <w:szCs w:val="17"/>
          <w:color w:val="auto"/>
        </w:rPr>
        <w:t>.10</w:t>
      </w:r>
    </w:p>
    <w:p>
      <w:pPr>
        <w:ind w:left="5520"/>
        <w:spacing w:after="0"/>
        <w:rPr>
          <w:sz w:val="20"/>
          <w:szCs w:val="20"/>
          <w:color w:val="auto"/>
        </w:rPr>
      </w:pPr>
      <w:r>
        <w:rPr>
          <w:rFonts w:ascii="Courier New" w:cs="Courier New" w:eastAsia="Courier New" w:hAnsi="Courier New"/>
          <w:sz w:val="17"/>
          <w:szCs w:val="17"/>
          <w:color w:val="auto"/>
        </w:rPr>
        <w:t>.10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2019-12-13T13:30:09Z</dcterms:created>
  <dcterms:modified xsi:type="dcterms:W3CDTF">2019-12-13T13:30:09Z</dcterms:modified>
</cp:coreProperties>
</file>