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8710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871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Deboer Scott J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CTO and Product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41"/>
            <w:col w:w="3339"/>
          </w:cols>
          <w:pgMar w:left="460" w:top="215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38,580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194,884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7,033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187,851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7,804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180,047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29,214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209,261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13,115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196,146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29,214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225,360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13,115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212,245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12,095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224,340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5,234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219,106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15,403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234,509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7,301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227,208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4,390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231,598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2,081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229,517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13,119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242,636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6,218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236,418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2,314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108.34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234,104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29,214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29,214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12,095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9,833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15,403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7,701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-2846705</wp:posOffset>
            </wp:positionV>
            <wp:extent cx="28575" cy="2927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2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2157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215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4,390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7,701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13,119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12,147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12,147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1"/>
        <w:spacing w:after="0" w:line="231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High Value and Data Center NAND delivery and solutions each at 266%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hanging="1"/>
        <w:spacing w:after="0" w:line="231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Data Center NAND delivery and solutions at a level of 200%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DRAM revenue at a level of 57%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20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 awarded on October 13, 2022.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1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1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performance period beginning September 2, 2022 and ending August 28, 2025 (subject to a 200% aggregate limit on the total target shares that may be received under the PRSUs awarded on October 13, 2022), and certification of such performance by the Compensation Committee.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10/16/2024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20" w:right="3720" w:hanging="1"/>
        <w:spacing w:after="0" w:line="329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2024-10-16T17:15:47Z</dcterms:created>
  <dcterms:modified xsi:type="dcterms:W3CDTF">2024-10-16T17:15:47Z</dcterms:modified>
</cp:coreProperties>
</file>