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273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November 30, 1995</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220"/>
            <w:col w:w="46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1-10658</w:t>
      </w:r>
    </w:p>
    <w:p>
      <w:pPr>
        <w:spacing w:after="0" w:line="21" w:lineRule="exact"/>
        <w:rPr>
          <w:sz w:val="24"/>
          <w:szCs w:val="24"/>
          <w:color w:val="auto"/>
        </w:rPr>
      </w:pPr>
    </w:p>
    <w:p>
      <w:pPr>
        <w:sectPr>
          <w:pgSz w:w="11900" w:h="16838" w:orient="portrait"/>
          <w:cols w:equalWidth="0" w:num="2">
            <w:col w:w="3080" w:space="720"/>
            <w:col w:w="6419"/>
          </w:cols>
          <w:pgMar w:left="240" w:top="244" w:right="1440" w:bottom="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Micron Technology,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75-1618004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spacing w:after="0" w:line="221" w:lineRule="exact"/>
        <w:rPr>
          <w:sz w:val="24"/>
          <w:szCs w:val="24"/>
          <w:color w:val="auto"/>
        </w:rPr>
      </w:pP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8000 S. Federal Way, P.O. Box 6, Boise, Idaho</w:t>
      </w:r>
      <w:r>
        <w:rPr>
          <w:sz w:val="20"/>
          <w:szCs w:val="20"/>
          <w:color w:val="auto"/>
        </w:rPr>
        <w:tab/>
      </w:r>
      <w:r>
        <w:rPr>
          <w:rFonts w:ascii="Courier New" w:cs="Courier New" w:eastAsia="Courier New" w:hAnsi="Courier New"/>
          <w:sz w:val="16"/>
          <w:szCs w:val="16"/>
          <w:color w:val="auto"/>
        </w:rPr>
        <w:t>83707-0006</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7" w:lineRule="exact"/>
        <w:rPr>
          <w:sz w:val="24"/>
          <w:szCs w:val="24"/>
          <w:color w:val="auto"/>
        </w:rPr>
      </w:pPr>
    </w:p>
    <w:p>
      <w:pPr>
        <w:jc w:val="right"/>
        <w:ind w:left="540" w:right="283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(208) 368-4000 ---------------</w:t>
      </w:r>
    </w:p>
    <w:p>
      <w:pPr>
        <w:spacing w:after="0" w:line="208" w:lineRule="exact"/>
        <w:rPr>
          <w:sz w:val="24"/>
          <w:szCs w:val="24"/>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4" w:right="1440" w:bottom="0" w:gutter="0" w:footer="0" w:header="0"/>
          <w:type w:val="continuous"/>
        </w:sectPr>
      </w:pPr>
    </w:p>
    <w:p>
      <w:pPr>
        <w:spacing w:after="0" w:line="2" w:lineRule="exact"/>
        <w:rPr>
          <w:sz w:val="24"/>
          <w:szCs w:val="24"/>
          <w:color w:val="auto"/>
        </w:rPr>
      </w:pPr>
    </w:p>
    <w:p>
      <w:pPr>
        <w:spacing w:after="0"/>
        <w:tabs>
          <w:tab w:leader="none" w:pos="520" w:val="left"/>
          <w:tab w:leader="none" w:pos="126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1480" w:space="0"/>
            <w:col w:w="8739"/>
          </w:cols>
          <w:pgMar w:left="240" w:top="244" w:right="1440" w:bottom="0" w:gutter="0" w:footer="0" w:header="0"/>
          <w:type w:val="continuous"/>
        </w:sectPr>
      </w:pPr>
    </w:p>
    <w:p>
      <w:pPr>
        <w:spacing w:after="0" w:line="7" w:lineRule="exact"/>
        <w:rPr>
          <w:sz w:val="24"/>
          <w:szCs w:val="24"/>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December 14, 1995 was 207,004,357.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jc w:val="right"/>
              <w:spacing w:after="0"/>
              <w:rPr>
                <w:sz w:val="20"/>
                <w:szCs w:val="20"/>
                <w:color w:val="auto"/>
              </w:rPr>
            </w:pPr>
            <w:r>
              <w:rPr>
                <w:rFonts w:ascii="Courier New" w:cs="Courier New" w:eastAsia="Courier New" w:hAnsi="Courier New"/>
                <w:sz w:val="18"/>
                <w:szCs w:val="18"/>
                <w:color w:val="auto"/>
              </w:rPr>
              <w:t>Consolidated Balance</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Sheets</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(Dollars in millions, except for</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 value amount)</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608"/>
        </w:trPr>
        <w:tc>
          <w:tcPr>
            <w:tcW w:w="42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November 30,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280" w:type="dxa"/>
            <w:vAlign w:val="bottom"/>
          </w:tcPr>
          <w:p>
            <w:pPr>
              <w:jc w:val="right"/>
              <w:ind w:right="3652"/>
              <w:spacing w:after="0" w:line="203" w:lineRule="exact"/>
              <w:rPr>
                <w:sz w:val="20"/>
                <w:szCs w:val="20"/>
                <w:color w:val="auto"/>
              </w:rPr>
            </w:pPr>
            <w:r>
              <w:rPr>
                <w:rFonts w:ascii="Courier New" w:cs="Courier New" w:eastAsia="Courier New" w:hAnsi="Courier New"/>
                <w:sz w:val="18"/>
                <w:szCs w:val="18"/>
                <w:color w:val="auto"/>
                <w:w w:val="96"/>
              </w:rPr>
              <w:t>As of</w:t>
            </w: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2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172.8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128.1</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Liquid investments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434.2</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427.7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576.7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1,529.7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1,274.1</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41.6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1,834.3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1,385.6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$3,478.9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Accounts payable and accrued expenses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808.0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502.3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952.7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604.8</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121.8</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129.4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1,251.5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878.7</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Common stock, $0.10 par value, authorized</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300.0 million shares, issued and</w:t>
            </w: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207.0 million and 206.4</w:t>
            </w: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million shares, respectively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404.5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1,802.2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1,484.1</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2,227.4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1,896.2</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$3,478.9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4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December 1,</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quarter ended</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$1,185.8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535.0</w:t>
            </w:r>
          </w:p>
        </w:tc>
      </w:tr>
      <w:tr>
        <w:trPr>
          <w:trHeight w:val="203"/>
        </w:trPr>
        <w:tc>
          <w:tcPr>
            <w:tcW w:w="44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538.1</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76.4</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46.6</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44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661.1</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289.7</w:t>
            </w:r>
          </w:p>
        </w:tc>
      </w:tr>
      <w:tr>
        <w:trPr>
          <w:trHeight w:val="203"/>
        </w:trPr>
        <w:tc>
          <w:tcPr>
            <w:tcW w:w="44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524.7</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245.3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net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4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533.1</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248.9</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204.6</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89.6</w:t>
            </w:r>
          </w:p>
        </w:tc>
      </w:tr>
      <w:tr>
        <w:trPr>
          <w:trHeight w:val="203"/>
        </w:trPr>
        <w:tc>
          <w:tcPr>
            <w:tcW w:w="44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328.5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159.3</w:t>
            </w:r>
          </w:p>
        </w:tc>
      </w:tr>
      <w:tr>
        <w:trPr>
          <w:trHeight w:val="203"/>
        </w:trPr>
        <w:tc>
          <w:tcPr>
            <w:tcW w:w="44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$0.76</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0.75</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 calculations:</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217.2</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217.2</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211.1</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Cash dividend declared per share</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$0.05</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$0.025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313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December 1,</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quarter ended</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FLOWS OF OPERATING ACTIVITIES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328.5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73.2</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accounts payable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304.6</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103.1</w:t>
            </w: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535.4</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236.0</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FLOWS OF 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held to maturity securities</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sales and maturities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securities</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179.1</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(426.7)</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(436.0)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CASH FLOWS OF 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equipment purchase contracts</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(54.7)</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increase in cash and equivalents</w:t>
            </w:r>
          </w:p>
        </w:tc>
        <w:tc>
          <w:tcPr>
            <w:tcW w:w="26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44.7</w:t>
            </w:r>
          </w:p>
        </w:tc>
        <w:tc>
          <w:tcPr>
            <w:tcW w:w="36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60.1</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 period</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128.1</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end of period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138.5</w:t>
            </w:r>
          </w:p>
        </w:tc>
      </w:tr>
      <w:tr>
        <w:trPr>
          <w:trHeight w:val="203"/>
        </w:trPr>
        <w:tc>
          <w:tcPr>
            <w:tcW w:w="48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net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2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 acquisitions on contracts payable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capital leases</w:t>
            </w:r>
          </w:p>
        </w:tc>
        <w:tc>
          <w:tcPr>
            <w:tcW w:w="2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90.8</w:t>
            </w:r>
          </w:p>
        </w:tc>
        <w:tc>
          <w:tcPr>
            <w:tcW w:w="3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4" w:name="page5"/>
    <w:bookmarkEnd w:id="4"/>
    <w:p>
      <w:pPr>
        <w:ind w:left="1280"/>
        <w:spacing w:after="0"/>
        <w:rPr>
          <w:sz w:val="20"/>
          <w:szCs w:val="20"/>
          <w:color w:val="auto"/>
        </w:rPr>
      </w:pPr>
      <w:r>
        <w:rPr>
          <w:rFonts w:ascii="Courier New" w:cs="Courier New" w:eastAsia="Courier New" w:hAnsi="Courier New"/>
          <w:sz w:val="18"/>
          <w:szCs w:val="18"/>
          <w:color w:val="auto"/>
        </w:rPr>
        <w:t>Notes to Consolidated Financial Statements</w:t>
      </w:r>
    </w:p>
    <w:p>
      <w:pPr>
        <w:ind w:left="860"/>
        <w:spacing w:after="0" w:line="238" w:lineRule="auto"/>
        <w:rPr>
          <w:sz w:val="20"/>
          <w:szCs w:val="20"/>
          <w:color w:val="auto"/>
        </w:rPr>
      </w:pPr>
      <w:r>
        <w:rPr>
          <w:rFonts w:ascii="Courier New" w:cs="Courier New" w:eastAsia="Courier New" w:hAnsi="Courier New"/>
          <w:sz w:val="18"/>
          <w:szCs w:val="18"/>
          <w:color w:val="auto"/>
        </w:rPr>
        <w:t>(All tabular dollar amounts are stated in millions)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w:t>
      </w:r>
    </w:p>
    <w:p>
      <w:pPr>
        <w:spacing w:after="0" w:line="200" w:lineRule="exact"/>
        <w:rPr>
          <w:sz w:val="20"/>
          <w:szCs w:val="20"/>
          <w:color w:val="auto"/>
        </w:rPr>
      </w:pPr>
    </w:p>
    <w:p>
      <w:pPr>
        <w:spacing w:after="0" w:line="212"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This report on Form 10-Q for the quarter ended November 30, 1995, should be read in conjunction with the Company's Annual Report to Shareholders and/or Form 10-K for the year ended August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2. Receivables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306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Trade receivables</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583.7</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457.4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6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6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41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576.7</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41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3. Inventories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306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28.2</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17.8</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11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130.7</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1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107.4</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3700" w:type="dxa"/>
            <w:vAlign w:val="bottom"/>
          </w:tcPr>
          <w:p>
            <w:pPr>
              <w:spacing w:after="0"/>
              <w:rPr>
                <w:sz w:val="17"/>
                <w:szCs w:val="17"/>
                <w:color w:val="auto"/>
              </w:rPr>
            </w:pPr>
          </w:p>
        </w:tc>
        <w:tc>
          <w:tcPr>
            <w:tcW w:w="2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3700" w:type="dxa"/>
            <w:vAlign w:val="bottom"/>
          </w:tcPr>
          <w:p>
            <w:pPr>
              <w:spacing w:after="0"/>
              <w:rPr>
                <w:sz w:val="17"/>
                <w:szCs w:val="17"/>
                <w:color w:val="auto"/>
              </w:rPr>
            </w:pPr>
          </w:p>
        </w:tc>
        <w:tc>
          <w:tcPr>
            <w:tcW w:w="2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4. Product and process technology, net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at cost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161.2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5. Property, plant, and equipment, net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36.2</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34.4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477.5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1,579.4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1,338.4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439.0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259.2</w:t>
            </w:r>
          </w:p>
        </w:tc>
      </w:tr>
      <w:tr>
        <w:trPr>
          <w:trHeight w:val="203"/>
        </w:trPr>
        <w:tc>
          <w:tcPr>
            <w:tcW w:w="406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2,532.1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2,024.0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ectPr>
          <w:pgSz w:w="11900" w:h="16838" w:orient="portrait"/>
          <w:cols w:equalWidth="0" w:num="1">
            <w:col w:w="10219"/>
          </w:cols>
          <w:pgMar w:left="240" w:top="514"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3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(697.8)</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(638.4)</w:t>
            </w:r>
          </w:p>
        </w:tc>
      </w:tr>
      <w:tr>
        <w:trPr>
          <w:trHeight w:val="203"/>
        </w:trPr>
        <w:tc>
          <w:tcPr>
            <w:tcW w:w="2060" w:type="dxa"/>
            <w:vAlign w:val="bottom"/>
          </w:tcPr>
          <w:p>
            <w:pPr>
              <w:spacing w:after="0"/>
              <w:rPr>
                <w:sz w:val="17"/>
                <w:szCs w:val="17"/>
                <w:color w:val="auto"/>
              </w:rPr>
            </w:pPr>
          </w:p>
        </w:tc>
        <w:tc>
          <w:tcPr>
            <w:tcW w:w="3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3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$1,834.3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$1,385.6</w:t>
            </w:r>
          </w:p>
        </w:tc>
      </w:tr>
      <w:tr>
        <w:trPr>
          <w:trHeight w:val="203"/>
        </w:trPr>
        <w:tc>
          <w:tcPr>
            <w:tcW w:w="2060" w:type="dxa"/>
            <w:vAlign w:val="bottom"/>
          </w:tcPr>
          <w:p>
            <w:pPr>
              <w:spacing w:after="0"/>
              <w:rPr>
                <w:sz w:val="17"/>
                <w:szCs w:val="17"/>
                <w:color w:val="auto"/>
              </w:rPr>
            </w:pPr>
          </w:p>
        </w:tc>
        <w:tc>
          <w:tcPr>
            <w:tcW w:w="3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60" w:type="dxa"/>
            <w:vAlign w:val="bottom"/>
          </w:tcPr>
          <w:p>
            <w:pPr>
              <w:spacing w:after="0"/>
              <w:rPr>
                <w:sz w:val="24"/>
                <w:szCs w:val="24"/>
                <w:color w:val="auto"/>
              </w:rPr>
            </w:pPr>
          </w:p>
        </w:tc>
        <w:tc>
          <w:tcPr>
            <w:tcW w:w="364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4</w:t>
            </w:r>
          </w:p>
        </w:tc>
        <w:tc>
          <w:tcPr>
            <w:tcW w:w="1160" w:type="dxa"/>
            <w:vAlign w:val="bottom"/>
          </w:tcPr>
          <w:p>
            <w:pPr>
              <w:spacing w:after="0"/>
              <w:rPr>
                <w:sz w:val="24"/>
                <w:szCs w:val="24"/>
                <w:color w:val="auto"/>
              </w:rPr>
            </w:pPr>
          </w:p>
        </w:tc>
      </w:tr>
    </w:tbl>
    <w:p>
      <w:pPr>
        <w:sectPr>
          <w:pgSz w:w="11900" w:h="16838" w:orient="portrait"/>
          <w:cols w:equalWidth="0" w:num="1">
            <w:col w:w="9799"/>
          </w:cols>
          <w:pgMar w:left="660" w:top="136"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Notes to Consolidated Financial</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Statements,</w:t>
            </w:r>
          </w:p>
        </w:tc>
        <w:tc>
          <w:tcPr>
            <w:tcW w:w="146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continued</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810"/>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6. Accounts payable and accrued</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expenses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November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3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290.6</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193.2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103.0</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133.6</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216.6</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53.9</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390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808.0</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502.3</w:t>
            </w:r>
          </w:p>
        </w:tc>
      </w:tr>
      <w:tr>
        <w:trPr>
          <w:trHeight w:val="203"/>
        </w:trPr>
        <w:tc>
          <w:tcPr>
            <w:tcW w:w="390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7. Long-term debt</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August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32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Notes payable in periodic installments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through July 2015, weighted average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rate of 6.74% and 6.82%,</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84.5</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Noninterest bearing obligations, $19.8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million due June 1997, $3 million due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October 1997, and $20.5 million due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1997, weighted average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imputed interest rate of 6.85%</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38.5</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Notes payable, due at maturity ranging</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December 1996 to December 1997,</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interest rate of 5.30%</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5.49%, respectively</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monthly installments through April 1998,</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interest rate of</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7.87% and 8.94%, respectively</w:t>
            </w: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150.7</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121.8</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129.4</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Earnings per share</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 Per share amounts for the first quarter of fiscal 1995 have been restated to reflect retroactively a 2 for 1 stock split effected in the form of a stock dividend to shareholders of record on May 4, 1995.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Income taxes</w:t>
      </w:r>
    </w:p>
    <w:p>
      <w:pPr>
        <w:spacing w:after="0" w:line="207" w:lineRule="exact"/>
        <w:rPr>
          <w:sz w:val="20"/>
          <w:szCs w:val="20"/>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The estimated effective income tax rate for the fiscal 1996 is 38.4%. The effective income tax rate principally reflects the statutory corporate income tax rate and the net effect of state taxation.</w:t>
      </w:r>
    </w:p>
    <w:p>
      <w:pPr>
        <w:ind w:left="32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766"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Commitments</w:t>
      </w:r>
    </w:p>
    <w:p>
      <w:pPr>
        <w:spacing w:after="0" w:line="207" w:lineRule="exact"/>
        <w:rPr>
          <w:sz w:val="20"/>
          <w:szCs w:val="20"/>
          <w:color w:val="auto"/>
        </w:rPr>
      </w:pPr>
    </w:p>
    <w:p>
      <w:pPr>
        <w:ind w:right="3479" w:firstLine="211"/>
        <w:spacing w:after="0" w:line="279" w:lineRule="auto"/>
        <w:rPr>
          <w:sz w:val="20"/>
          <w:szCs w:val="20"/>
          <w:color w:val="auto"/>
        </w:rPr>
      </w:pPr>
      <w:r>
        <w:rPr>
          <w:rFonts w:ascii="Courier New" w:cs="Courier New" w:eastAsia="Courier New" w:hAnsi="Courier New"/>
          <w:sz w:val="16"/>
          <w:szCs w:val="16"/>
          <w:color w:val="auto"/>
        </w:rPr>
        <w:t>As of November 30, 1995, the Company had commitments extending into fiscal 1998 of approximately $865 million for equipment purchases and $80 million for the construction of buildings.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Contingencies</w:t>
      </w:r>
    </w:p>
    <w:p>
      <w:pPr>
        <w:spacing w:after="0" w:line="207"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 The Company had various product and process technology agreements expire in calendar 1995 and is not able to predict whether these license agreements can be renewed on terms acceptable to the Company.</w:t>
      </w:r>
    </w:p>
    <w:p>
      <w:pPr>
        <w:spacing w:after="0" w:line="208" w:lineRule="exact"/>
        <w:rPr>
          <w:sz w:val="20"/>
          <w:szCs w:val="20"/>
          <w:color w:val="auto"/>
        </w:rPr>
      </w:pPr>
    </w:p>
    <w:p>
      <w:pPr>
        <w:jc w:val="both"/>
        <w:ind w:right="3479" w:firstLine="211"/>
        <w:spacing w:after="0" w:line="237" w:lineRule="auto"/>
        <w:rPr>
          <w:sz w:val="20"/>
          <w:szCs w:val="20"/>
          <w:color w:val="auto"/>
        </w:rPr>
      </w:pPr>
      <w:r>
        <w:rPr>
          <w:rFonts w:ascii="Courier New" w:cs="Courier New" w:eastAsia="Courier New" w:hAnsi="Courier New"/>
          <w:sz w:val="18"/>
          <w:szCs w:val="18"/>
          <w:color w:val="auto"/>
        </w:rPr>
        <w:t>The Company is a party to various legal actions arising out of the normal course of business, none of which is expected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8" w:name="page9"/>
    <w:bookmarkEnd w:id="8"/>
    <w:p>
      <w:pPr>
        <w:ind w:right="30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0" w:lineRule="exact"/>
        <w:rPr>
          <w:sz w:val="20"/>
          <w:szCs w:val="20"/>
          <w:color w:val="auto"/>
        </w:rPr>
      </w:pPr>
    </w:p>
    <w:p>
      <w:pPr>
        <w:spacing w:after="0" w:line="211"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All period references are to the Company's fiscal periods ended November 30, 1995, and December 1, 1994, unless otherwise indicated. Share and per share amounts for the first quarter of 1995 have been restated to reflect a 2 for 1 stock split effected in the form of a stock dividend to shareholders of record on May 4, 1995. Quarterly financial results may not be indicative of the financial results for any future period. All tabular dollar amounts are stated in millions.</w:t>
      </w:r>
    </w:p>
    <w:p>
      <w:pPr>
        <w:spacing w:after="0" w:line="212" w:lineRule="exact"/>
        <w:rPr>
          <w:sz w:val="20"/>
          <w:szCs w:val="20"/>
          <w:color w:val="auto"/>
        </w:rPr>
      </w:pPr>
    </w:p>
    <w:p>
      <w:pPr>
        <w:ind w:right="3579" w:firstLine="211"/>
        <w:spacing w:after="0" w:line="275" w:lineRule="auto"/>
        <w:rPr>
          <w:sz w:val="20"/>
          <w:szCs w:val="20"/>
          <w:color w:val="auto"/>
        </w:rPr>
      </w:pPr>
      <w:r>
        <w:rPr>
          <w:rFonts w:ascii="Courier New" w:cs="Courier New" w:eastAsia="Courier New" w:hAnsi="Courier New"/>
          <w:sz w:val="16"/>
          <w:szCs w:val="16"/>
          <w:color w:val="auto"/>
        </w:rPr>
        <w:t>Net income for the first quarter of 1996 was $328 million, or $1.51 per fully diluted share, on net sales of $1,186 million. For the first quarter of 1995 net income was $159 million, or $0.75 per fully diluted share, on net sales of $535 million.</w:t>
      </w:r>
    </w:p>
    <w:p>
      <w:pPr>
        <w:spacing w:after="0" w:line="182" w:lineRule="exact"/>
        <w:rPr>
          <w:sz w:val="20"/>
          <w:szCs w:val="20"/>
          <w:color w:val="auto"/>
        </w:rPr>
      </w:pPr>
    </w:p>
    <w:p>
      <w:pPr>
        <w:ind w:right="3039" w:firstLine="211"/>
        <w:spacing w:after="0" w:line="270" w:lineRule="auto"/>
        <w:rPr>
          <w:sz w:val="20"/>
          <w:szCs w:val="20"/>
          <w:color w:val="auto"/>
        </w:rPr>
      </w:pPr>
      <w:r>
        <w:rPr>
          <w:rFonts w:ascii="Courier New" w:cs="Courier New" w:eastAsia="Courier New" w:hAnsi="Courier New"/>
          <w:sz w:val="16"/>
          <w:szCs w:val="16"/>
          <w:color w:val="auto"/>
        </w:rPr>
        <w:t>The Company's higher level of net income and net sales in the first quarter of 1996 resulted primarily from a substantial increase in volume of semiconductor memory sold, favorable market conditions and lower manufacturing costs per unit for the Company's primary semiconductor memory products, and a higher level of sales of PC systems. Average selling prices for the Company's primary semiconductor memory products have been relatively stable for approximately the past three and-a-half years. Customer demand for semiconductor memory continues to increase. However, in recent weeks, the industry has experienced downward pressure on prices for DRAM products. Based on negotiations with certain major customers, the Company believes pricing for memory products delivered in the first calendar quarter of 1996 is likely to be modestly lower than for comparable deliveries in the first fiscal quarter of 1996. A substantial decrease in average selling</w:t>
      </w:r>
    </w:p>
    <w:p>
      <w:pPr>
        <w:spacing w:after="0" w:line="184"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prices for the Company's memory products would have a material adverse effect on the Company's results of operations.</w:t>
      </w:r>
    </w:p>
    <w:p>
      <w:pPr>
        <w:spacing w:after="0" w:line="170" w:lineRule="exact"/>
        <w:rPr>
          <w:sz w:val="20"/>
          <w:szCs w:val="20"/>
          <w:color w:val="auto"/>
        </w:rPr>
      </w:pPr>
    </w:p>
    <w:p>
      <w:pPr>
        <w:ind w:right="3359" w:firstLine="211"/>
        <w:spacing w:after="0" w:line="272" w:lineRule="auto"/>
        <w:rPr>
          <w:sz w:val="20"/>
          <w:szCs w:val="20"/>
          <w:color w:val="auto"/>
        </w:rPr>
      </w:pPr>
      <w:r>
        <w:rPr>
          <w:rFonts w:ascii="Courier New" w:cs="Courier New" w:eastAsia="Courier New" w:hAnsi="Courier New"/>
          <w:sz w:val="16"/>
          <w:szCs w:val="16"/>
          <w:color w:val="auto"/>
        </w:rPr>
        <w:t>The Company's product and process technology cross-license agreements with Motorola, Inc., and IBM expired on June 30, 1995 and November 1, 1995, respectively. Failure to renew license agreements could result in litigation, and its attendant cost and diversion of resources, and could also result in material changes in the Company's production processes or products. Any such litigation or changes could have a material adverse effect on the Company's results of operations.</w:t>
      </w:r>
    </w:p>
    <w:p>
      <w:pPr>
        <w:spacing w:after="0" w:line="385"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Substantially all of the Company's near-term cash flows from operations is expected to be dedicated to capacity improvement programs. The Company is evaluating debt financing as a source of additional funds that may be needed for timely completion of these projects. Should the Company be unable to obtain financing on acceptable terms, the Company's expansion and capital improvement programs as currently scheduled could be significantly delayed.</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w:t>
      </w:r>
    </w:p>
    <w:p>
      <w:pPr>
        <w:spacing w:after="0" w:line="207"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following table presents the Company's net sales by related products or services. The value of the Company's semiconductor memory products included in PC systems and other products is included in the caption "Semiconductor memory products". The caption "Other" includes revenue from contract manufacturing and module assembly services, construction management services, government contracts, and licensing fees.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First Quarter</w:t>
            </w:r>
          </w:p>
        </w:tc>
        <w:tc>
          <w:tcPr>
            <w:tcW w:w="64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36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580" w:type="dxa"/>
            <w:vAlign w:val="bottom"/>
          </w:tcPr>
          <w:p>
            <w:pPr>
              <w:spacing w:after="0"/>
              <w:rPr>
                <w:sz w:val="17"/>
                <w:szCs w:val="17"/>
                <w:color w:val="auto"/>
              </w:rPr>
            </w:pPr>
          </w:p>
        </w:tc>
        <w:tc>
          <w:tcPr>
            <w:tcW w:w="36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Semiconductor memory products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884.5</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90.5%</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464.3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Personal computer systems</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394.6%</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sales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1,185.8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121.6%</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535.0</w:t>
            </w:r>
          </w:p>
        </w:tc>
      </w:tr>
      <w:tr>
        <w:trPr>
          <w:trHeight w:val="203"/>
        </w:trPr>
        <w:tc>
          <w:tcPr>
            <w:tcW w:w="3580" w:type="dxa"/>
            <w:vAlign w:val="bottom"/>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70" w:lineRule="auto"/>
        <w:rPr>
          <w:sz w:val="20"/>
          <w:szCs w:val="20"/>
          <w:color w:val="auto"/>
        </w:rPr>
      </w:pPr>
      <w:r>
        <w:rPr>
          <w:rFonts w:ascii="Courier New" w:cs="Courier New" w:eastAsia="Courier New" w:hAnsi="Courier New"/>
          <w:sz w:val="16"/>
          <w:szCs w:val="16"/>
          <w:color w:val="auto"/>
        </w:rPr>
        <w:t>The substantial increase in net sales in the first quarter of 1996 compared to the first quarter of 1995 was principally due to increased production and favorable market conditions for the Company's semiconductor memory products, in particular the 4 Meg DRAM, and, to a lesser extent, a higher level of sales of PC systems. The volume of semiconductor memory sold, as measured in megabits, more than doubled in the first quarter of 1996 compared to the first quarter of 1995 and increased approximately 29% compared to the fourth quarter of 1995. The increase in volume of semiconductor memory sold was principally due to transitions to successive shrink versions of existing memory products, particularly the 4 Meg DRAM, and increased wafer output. In addition, the higher volume of semiconductor memory was also a result of a transition to a product mix with a slightly higher average density without a corresponding decrease in throughput.</w:t>
      </w:r>
    </w:p>
    <w:p>
      <w:pPr>
        <w:spacing w:after="0" w:line="387"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Prices for the Company's primary semiconductor memory products remained relatively stable for approximately the past three and-a-half years, which represented a deviation from the historical long-term trend of declining DRAM prices per megabit. Customer demand for semiconductor memory products continues to increase. However, in recent weeks the industry has experienced downward pressure on pricing for DRAM products. Based on negotiations with certain major customers, the Company believes pricing for memory products delivered in the first calendar quarter of 1996 is likely to be modestly lower than for comparable deliveries in the first fiscal quarter of 1996. The Company is unable to predict when a combination of product shrinks, yield improvements, and capacity expansions will allow world-wide supply to equal or exceed demand, or to predict changes in demand and quantify the effects on pricing for the Company's products. A shift in the relationship between supply and demand resulting in increased downward pressure on prices for the Company's products would have a material adverse effect on the Company's results of operations.</w:t>
      </w:r>
    </w:p>
    <w:p>
      <w:pPr>
        <w:spacing w:after="0" w:line="210"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4 Meg DRAM comprised approximately 87% of sales of semiconductor memory products in the first quarter of 1996. Sales of SRAM products were higher in the first quarter of 1996 compared to the first quarter of 1995, but declined as a percentage of the net sales of semiconductor memory products to approximately 5% in the first quarter of 1996 due to the Company's production emphasis on the 4 Meg DRAM. SRAM sales were approximately 8% of the net sales of semiconductor products in the first quarter of 1995.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59" w:gutter="0" w:footer="0" w:header="0"/>
        </w:sectPr>
      </w:pPr>
    </w:p>
    <w:bookmarkStart w:id="10" w:name="page11"/>
    <w:bookmarkEnd w:id="10"/>
    <w:p>
      <w:pPr>
        <w:ind w:right="3359" w:firstLine="211"/>
        <w:spacing w:after="0" w:line="269" w:lineRule="auto"/>
        <w:rPr>
          <w:sz w:val="20"/>
          <w:szCs w:val="20"/>
          <w:color w:val="auto"/>
        </w:rPr>
      </w:pPr>
      <w:r>
        <w:rPr>
          <w:rFonts w:ascii="Courier New" w:cs="Courier New" w:eastAsia="Courier New" w:hAnsi="Courier New"/>
          <w:sz w:val="16"/>
          <w:szCs w:val="16"/>
          <w:color w:val="auto"/>
        </w:rPr>
        <w:t>Sales of PC systems, excluding the value of the Company's semiconductor memory included therein, increased to approximately 18% of the Company's total net sales for the first quarter of 1996 from approximately 8% in the first quarter of 1995. The significant increase in unit sales of Micron brand PC systems in the first quarter of 1996 compared to the first quarter of 1995 resulted primarily from a significant increase in direct unit sales of Micron brand PC systems and an increase in government unit sales. The increase in direct unit sales of Micron brand PC systems was principally a result of enhanced name recognition and market acceptance of Micron brand PC systems. Enhanced name recognition and market acceptance resulted primarily from the receipt of a number of awards from computer trade magazines relating to the performance characteristics of Micron brand PC systems and to the Company's service and support functions. In the event the Company is unsuccessful in winning awards from computer trade magazines in the future, consumer interest in its PC systems could decline materially. In general, sales of Micron and ZEOS brand PC systems benefited from continued strong demand in the market for PC products during both periods reported. Slightly higher overall average selling prices of the Company's PC systems in the first quarter of 1996 compared to the first quarter of 1995 resulted primarily from the shift to PC systems with higher speed microprocessors and increased demand for PC systems with greater amounts of main memory.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1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w w:val="99"/>
              </w:rPr>
              <w:t>First Quarter</w:t>
            </w:r>
          </w:p>
        </w:tc>
      </w:tr>
      <w:tr>
        <w:trPr>
          <w:trHeight w:val="203"/>
        </w:trPr>
        <w:tc>
          <w:tcPr>
            <w:tcW w:w="3020" w:type="dxa"/>
            <w:vAlign w:val="bottom"/>
          </w:tcPr>
          <w:p>
            <w:pPr>
              <w:spacing w:after="0"/>
              <w:rPr>
                <w:sz w:val="17"/>
                <w:szCs w:val="17"/>
                <w:color w:val="auto"/>
              </w:rPr>
            </w:pPr>
          </w:p>
        </w:tc>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Change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020" w:type="dxa"/>
            <w:vAlign w:val="bottom"/>
          </w:tcPr>
          <w:p>
            <w:pPr>
              <w:spacing w:after="0"/>
              <w:rPr>
                <w:sz w:val="17"/>
                <w:szCs w:val="17"/>
                <w:color w:val="auto"/>
              </w:rPr>
            </w:pPr>
          </w:p>
        </w:tc>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jc w:val="center"/>
              <w:ind w:right="1032"/>
              <w:spacing w:after="0"/>
              <w:rPr>
                <w:sz w:val="20"/>
                <w:szCs w:val="20"/>
                <w:color w:val="auto"/>
              </w:rPr>
            </w:pPr>
            <w:r>
              <w:rPr>
                <w:rFonts w:ascii="Courier New" w:cs="Courier New" w:eastAsia="Courier New" w:hAnsi="Courier New"/>
                <w:sz w:val="18"/>
                <w:szCs w:val="18"/>
                <w:color w:val="auto"/>
                <w:w w:val="97"/>
              </w:rPr>
              <w:t>Cost of goods sold</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  538.1</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139.7%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224.5</w:t>
            </w:r>
          </w:p>
        </w:tc>
      </w:tr>
      <w:tr>
        <w:trPr>
          <w:trHeight w:val="203"/>
        </w:trPr>
        <w:tc>
          <w:tcPr>
            <w:tcW w:w="302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Gross margin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w:t>
            </w:r>
          </w:p>
        </w:tc>
      </w:tr>
    </w:tbl>
    <w:p>
      <w:pPr>
        <w:spacing w:after="0" w:line="200" w:lineRule="exact"/>
        <w:rPr>
          <w:sz w:val="20"/>
          <w:szCs w:val="20"/>
          <w:color w:val="auto"/>
        </w:rPr>
      </w:pPr>
    </w:p>
    <w:p>
      <w:pPr>
        <w:spacing w:after="0" w:line="209" w:lineRule="exact"/>
        <w:rPr>
          <w:sz w:val="20"/>
          <w:szCs w:val="20"/>
          <w:color w:val="auto"/>
        </w:rPr>
      </w:pPr>
    </w:p>
    <w:p>
      <w:pPr>
        <w:ind w:right="2939" w:firstLine="211"/>
        <w:spacing w:after="0" w:line="270" w:lineRule="auto"/>
        <w:rPr>
          <w:sz w:val="20"/>
          <w:szCs w:val="20"/>
          <w:color w:val="auto"/>
        </w:rPr>
      </w:pPr>
      <w:r>
        <w:rPr>
          <w:rFonts w:ascii="Courier New" w:cs="Courier New" w:eastAsia="Courier New" w:hAnsi="Courier New"/>
          <w:sz w:val="16"/>
          <w:szCs w:val="16"/>
          <w:color w:val="auto"/>
        </w:rPr>
        <w:t>The Company's gross margin percentage was lower in the first quarter of 1996 than in the first quarter of 1995 primarily as a result of the effect of the increased sales of PC systems which generally have a lower gross margin percentage compared to the balance of the Company's products. The Company's gross margin percentage on sales of semiconductor memory products increased to approximately 70% in the first quarter of 1996, compared to approximately 68% and 64% for the fourth quarter and first quarter of 1995, respectively. The Company's gross margin percentage on sales of PC systems remained fairly stable in the first quarter of 1996 compared to fourth the quarter of 1995. The higher gross margin percentage for semiconductor memory products in the first quarter of 1996 was principally due to relatively stable selling prices for such products and decreased per unit manufacturing costs. Decreases</w:t>
      </w:r>
    </w:p>
    <w:p>
      <w:pPr>
        <w:spacing w:after="0" w:line="18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per unit manufacturing costs were principally due to transitions to shrink versions of existing products, which have a greater number of potential die per wafer, and increased wafer output. In addition, the higher volume of semiconductor memory was also a result of a transition to a product mix with a slightly higher average density without a corresponding decrease in throughput.</w:t>
      </w:r>
    </w:p>
    <w:p>
      <w:pPr>
        <w:spacing w:after="0" w:line="211"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Company limited production of its 16 Meg DRAM in the first quarter of 1996 to a level only sufficient to continue development of process efficiencies. The Company continued to maximize its production of the 4 Meg DRAM, which is currently the most profitable product offered by the Company. The Company believes the market transition to the 16 Meg DRAM as the primary DRAM product will be largely driven by the timing of increases in demand for main memory in PC systems, which the Company is unable to predict. The Company's transition to the 16 Meg DRAM as its principal memory product could have a negative impact on the Company's results of operations.</w:t>
      </w:r>
    </w:p>
    <w:p>
      <w:pPr>
        <w:spacing w:after="0" w:line="216" w:lineRule="exact"/>
        <w:rPr>
          <w:sz w:val="20"/>
          <w:szCs w:val="20"/>
          <w:color w:val="auto"/>
        </w:rPr>
      </w:pPr>
    </w:p>
    <w:p>
      <w:pPr>
        <w:ind w:right="3259" w:firstLine="211"/>
        <w:spacing w:after="0" w:line="272" w:lineRule="auto"/>
        <w:rPr>
          <w:sz w:val="20"/>
          <w:szCs w:val="20"/>
          <w:color w:val="auto"/>
        </w:rPr>
      </w:pPr>
      <w:r>
        <w:rPr>
          <w:rFonts w:ascii="Courier New" w:cs="Courier New" w:eastAsia="Courier New" w:hAnsi="Courier New"/>
          <w:sz w:val="16"/>
          <w:szCs w:val="16"/>
          <w:color w:val="auto"/>
        </w:rPr>
        <w:t>The Company's gross margin percentage for PC systems remained relatively stable in the first quarter of 1996 compared to both the first quarter and fourth quarter of 1995. The Company continues to experience significant pressure on its gross margin percentage realized for sales of PC systems as a result of intense competition in the PC industry and consumer expectations of more</w:t>
      </w:r>
    </w:p>
    <w:p>
      <w:pPr>
        <w:sectPr>
          <w:pgSz w:w="11900" w:h="16838" w:orient="portrait"/>
          <w:cols w:equalWidth="0" w:num="1">
            <w:col w:w="10219"/>
          </w:cols>
          <w:pgMar w:left="240" w:top="723" w:right="1440" w:bottom="0" w:gutter="0" w:footer="0" w:header="0"/>
        </w:sectPr>
      </w:pPr>
    </w:p>
    <w:bookmarkStart w:id="11" w:name="page12"/>
    <w:bookmarkEnd w:id="11"/>
    <w:p>
      <w:pPr>
        <w:ind w:right="2839"/>
        <w:spacing w:after="0" w:line="237" w:lineRule="auto"/>
        <w:rPr>
          <w:sz w:val="20"/>
          <w:szCs w:val="20"/>
          <w:color w:val="auto"/>
        </w:rPr>
      </w:pPr>
      <w:r>
        <w:rPr>
          <w:rFonts w:ascii="Courier New" w:cs="Courier New" w:eastAsia="Courier New" w:hAnsi="Courier New"/>
          <w:sz w:val="18"/>
          <w:szCs w:val="18"/>
          <w:color w:val="auto"/>
        </w:rPr>
        <w:t>powerful PC systems at lower prices. Many of the Company's competitors have substantial resources and purchasing power relative to those which the Company has dedicated to its PC operations. Although the Company has begun to realize reduction in costs of raw materials for PC systems in recent periods, the Company's gross margin percentage on sales of PC systems continues to be lower than those of its primary PC competitors. In the event that sales</w:t>
      </w:r>
    </w:p>
    <w:p>
      <w:pPr>
        <w:spacing w:after="0" w:line="9"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of PC systems continue to increase as a percentage of total net sales, the Company's overall gross margin percentage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2" w:name="page13"/>
    <w:bookmarkEnd w:id="12"/>
    <w:p>
      <w:pPr>
        <w:ind w:right="3479" w:firstLine="211"/>
        <w:spacing w:after="0" w:line="270" w:lineRule="auto"/>
        <w:rPr>
          <w:sz w:val="20"/>
          <w:szCs w:val="20"/>
          <w:color w:val="auto"/>
        </w:rPr>
      </w:pPr>
      <w:r>
        <w:rPr>
          <w:rFonts w:ascii="Courier New" w:cs="Courier New" w:eastAsia="Courier New" w:hAnsi="Courier New"/>
          <w:sz w:val="16"/>
          <w:szCs w:val="16"/>
          <w:color w:val="auto"/>
        </w:rPr>
        <w:t>Cost of goods sold includes estimated costs of settlement or adjudication of asserted and unasserted claims for patent infringement prior to the balance sheet date, and costs of product and process technology licensing arrangements. Charges for product and process technology remained fairly constant as a percentage of net sales in the first quarter of 1996 compared to both the first quarter of 1995 and the fourth quarter of 1995. Future product and process technology charges may fluctuate in absolute dollars and as a percentage of net sales, however, as a result of claims that may be asserted in the future, and as a result of future license arrangement. See "Certain Factors."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First Quarter</w:t>
            </w:r>
          </w:p>
        </w:tc>
        <w:tc>
          <w:tcPr>
            <w:tcW w:w="5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3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Change</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960" w:type="dxa"/>
            <w:vAlign w:val="bottom"/>
          </w:tcPr>
          <w:p>
            <w:pPr>
              <w:spacing w:after="0"/>
              <w:rPr>
                <w:sz w:val="17"/>
                <w:szCs w:val="17"/>
                <w:color w:val="auto"/>
              </w:rPr>
            </w:pPr>
          </w:p>
        </w:tc>
        <w:tc>
          <w:tcPr>
            <w:tcW w:w="3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76.4</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100.0%</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38.2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bl>
    <w:p>
      <w:pPr>
        <w:spacing w:after="0" w:line="200" w:lineRule="exact"/>
        <w:rPr>
          <w:sz w:val="20"/>
          <w:szCs w:val="20"/>
          <w:color w:val="auto"/>
        </w:rPr>
      </w:pPr>
    </w:p>
    <w:p>
      <w:pPr>
        <w:spacing w:after="0" w:line="209" w:lineRule="exact"/>
        <w:rPr>
          <w:sz w:val="20"/>
          <w:szCs w:val="20"/>
          <w:color w:val="auto"/>
        </w:rPr>
      </w:pPr>
    </w:p>
    <w:p>
      <w:pPr>
        <w:ind w:right="3579" w:firstLine="211"/>
        <w:spacing w:after="0" w:line="237" w:lineRule="auto"/>
        <w:rPr>
          <w:sz w:val="20"/>
          <w:szCs w:val="20"/>
          <w:color w:val="auto"/>
        </w:rPr>
      </w:pPr>
      <w:r>
        <w:rPr>
          <w:rFonts w:ascii="Courier New" w:cs="Courier New" w:eastAsia="Courier New" w:hAnsi="Courier New"/>
          <w:sz w:val="18"/>
          <w:szCs w:val="18"/>
          <w:color w:val="auto"/>
        </w:rPr>
        <w:t>The higher level of selling, general, and administrative expenses during the first quarter of 1996 as compared to the first quarter of 1995 resulted primarily from personnel costs associated with the administrative and information systems support for the Company's ongoing expansion plans and the Company's profit sharing programs, and the higher level of advertising and credit card processing fees associated with the increased sales of PC systems.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First Quarter</w:t>
            </w:r>
          </w:p>
        </w:tc>
        <w:tc>
          <w:tcPr>
            <w:tcW w:w="5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3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320" w:type="dxa"/>
            <w:vAlign w:val="bottom"/>
          </w:tcPr>
          <w:p>
            <w:pPr>
              <w:spacing w:after="0"/>
              <w:rPr>
                <w:sz w:val="17"/>
                <w:szCs w:val="17"/>
                <w:color w:val="auto"/>
              </w:rPr>
            </w:pPr>
          </w:p>
        </w:tc>
        <w:tc>
          <w:tcPr>
            <w:tcW w:w="3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Research and development</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   46.6</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72.6%</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27.0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bl>
    <w:p>
      <w:pPr>
        <w:spacing w:after="0" w:line="200" w:lineRule="exact"/>
        <w:rPr>
          <w:sz w:val="20"/>
          <w:szCs w:val="20"/>
          <w:color w:val="auto"/>
        </w:rPr>
      </w:pPr>
    </w:p>
    <w:p>
      <w:pPr>
        <w:spacing w:after="0" w:line="209" w:lineRule="exact"/>
        <w:rPr>
          <w:sz w:val="20"/>
          <w:szCs w:val="20"/>
          <w:color w:val="auto"/>
        </w:rPr>
      </w:pPr>
    </w:p>
    <w:p>
      <w:pPr>
        <w:ind w:right="2939" w:firstLine="211"/>
        <w:spacing w:after="0" w:line="238" w:lineRule="auto"/>
        <w:rPr>
          <w:sz w:val="20"/>
          <w:szCs w:val="20"/>
          <w:color w:val="auto"/>
        </w:rPr>
      </w:pPr>
      <w:r>
        <w:rPr>
          <w:rFonts w:ascii="Courier New" w:cs="Courier New" w:eastAsia="Courier New" w:hAnsi="Courier New"/>
          <w:sz w:val="18"/>
          <w:szCs w:val="18"/>
          <w:color w:val="auto"/>
        </w:rPr>
        <w:t>Research and development expenses vary primarily with the number of wafers and personnel dedicated to new product and process development. Research and development efforts in the first quarter of 1996 were focused primarily on further development of 16 Meg and 4 Meg DRAM shrinks, and 32K x 36 synchronous SRAM and design and development of next generation DRAM densities. The Company expects research and development expenses in the remainder of 1996 to be higher than comparable periods in 1995 as additional resources are dedicated to the development of 16 Meg and 4 Meg DRAM shrinks, design and development of next generation DRAM densities, and new technologies including radio frequency identification systems, non-volatile semiconductor memory devices, and field emission flat panel displays.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First Quarter</w:t>
            </w:r>
          </w:p>
        </w:tc>
        <w:tc>
          <w:tcPr>
            <w:tcW w:w="58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Change</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120" w:type="dxa"/>
            <w:vAlign w:val="bottom"/>
          </w:tcPr>
          <w:p>
            <w:pPr>
              <w:spacing w:after="0"/>
              <w:rPr>
                <w:sz w:val="17"/>
                <w:szCs w:val="17"/>
                <w:color w:val="auto"/>
              </w:rPr>
            </w:pP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Income tax provision</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  204.6</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128.3%</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89.6</w:t>
            </w:r>
          </w:p>
        </w:tc>
      </w:tr>
    </w:tbl>
    <w:p>
      <w:pPr>
        <w:spacing w:after="0" w:line="200" w:lineRule="exact"/>
        <w:rPr>
          <w:sz w:val="20"/>
          <w:szCs w:val="20"/>
          <w:color w:val="auto"/>
        </w:rPr>
      </w:pPr>
    </w:p>
    <w:p>
      <w:pPr>
        <w:spacing w:after="0" w:line="209"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effective income tax rate for the first quarter of 1996 of 38.4% represents a slight increase compared to the 37.5% rate for fiscal 1995 principally due to a change in the mix of sales among taxing jurisdictions and the decreased effect of state tax credits. The effective tax rate for the first quarter of 1995 was 36.0%.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ectPr>
          <w:pgSz w:w="11900" w:h="16838" w:orient="portrait"/>
          <w:cols w:equalWidth="0" w:num="1">
            <w:col w:w="10219"/>
          </w:cols>
          <w:pgMar w:left="240" w:top="723" w:right="1440" w:bottom="0" w:gutter="0" w:footer="0" w:header="0"/>
        </w:sectPr>
      </w:pPr>
    </w:p>
    <w:bookmarkStart w:id="13" w:name="page14"/>
    <w:bookmarkEnd w:id="13"/>
    <w:p>
      <w:pPr>
        <w:ind w:right="3359" w:firstLine="211"/>
        <w:spacing w:after="0" w:line="270" w:lineRule="auto"/>
        <w:rPr>
          <w:sz w:val="20"/>
          <w:szCs w:val="20"/>
          <w:color w:val="auto"/>
        </w:rPr>
      </w:pPr>
      <w:r>
        <w:rPr>
          <w:rFonts w:ascii="Courier New" w:cs="Courier New" w:eastAsia="Courier New" w:hAnsi="Courier New"/>
          <w:sz w:val="16"/>
          <w:szCs w:val="16"/>
          <w:color w:val="auto"/>
        </w:rPr>
        <w:t>The Company had cash and liquid investments of $607 million as of November 30, 1995, representing an increase of $51 million during the first quarter of 1996. While cash and liquid investments have generally increased since the fourth quarter of fiscal 1992, the Company expects such balances to decline significantly as funds are required for the Company's capital improvement programs and to support the Company's growth. The Company's principal sources of liquidity during the first quarter of 1996 were cash flows from operations of $535 million and equipment financing of $91 million. The principal uses of funds in the first quarter of 1996 were $518 million for property, plant, and equipment, $55 million for repayments of equipment contracts, and $7 million for payments on long-term debt.</w:t>
      </w:r>
    </w:p>
    <w:p>
      <w:pPr>
        <w:spacing w:after="0" w:line="389" w:lineRule="exact"/>
        <w:rPr>
          <w:sz w:val="20"/>
          <w:szCs w:val="20"/>
          <w:color w:val="auto"/>
        </w:rPr>
      </w:pPr>
    </w:p>
    <w:p>
      <w:pPr>
        <w:ind w:right="3359" w:firstLine="211"/>
        <w:spacing w:after="0" w:line="236" w:lineRule="auto"/>
        <w:rPr>
          <w:sz w:val="20"/>
          <w:szCs w:val="20"/>
          <w:color w:val="auto"/>
        </w:rPr>
      </w:pPr>
      <w:r>
        <w:rPr>
          <w:rFonts w:ascii="Courier New" w:cs="Courier New" w:eastAsia="Courier New" w:hAnsi="Courier New"/>
          <w:sz w:val="18"/>
          <w:szCs w:val="18"/>
          <w:color w:val="auto"/>
        </w:rPr>
        <w:t>The Company paid a $0.05 per share cash dividend on December 1, 1995, aggregating approximately $10 million to shareholders of record on November 10, 1995.</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4" w:name="page15"/>
    <w:bookmarkEnd w:id="14"/>
    <w:p>
      <w:pPr>
        <w:ind w:right="3359" w:firstLine="211"/>
        <w:spacing w:after="0" w:line="237" w:lineRule="auto"/>
        <w:rPr>
          <w:sz w:val="20"/>
          <w:szCs w:val="20"/>
          <w:color w:val="auto"/>
        </w:rPr>
      </w:pPr>
      <w:r>
        <w:rPr>
          <w:rFonts w:ascii="Courier New" w:cs="Courier New" w:eastAsia="Courier New" w:hAnsi="Courier New"/>
          <w:sz w:val="18"/>
          <w:szCs w:val="18"/>
          <w:color w:val="auto"/>
        </w:rPr>
        <w:t>As of November, 30, 1995, the Company had contractual commitments extending through calendar 1998 of approximately $865 million for equipment purchases and approximately $80 million for the construction of facilities. The Company believes continuing investments in manufacturing technology, facilities and equipment, research and development, and product and process technology are necessary to support growth, achieve operating efficiencies, and enhance product quality.</w:t>
      </w:r>
    </w:p>
    <w:p>
      <w:pPr>
        <w:spacing w:after="0" w:line="212"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The Company periodically evaluates various alternatives to improve and expand its production capacity and evaluates opportunities for product diversification. The Company's current expansion and capital improvement projects, including the Utah manufacturing facility and the conversion of the Boise Fabs to process 8-inch wafers, are currently estimated to aggregate approximately $4 billion in remaining cash outlays, the majority of which is expected to be incurred prior to the end of fiscal 1997. Substantially all of the Company's near-term cash flow from operations is expected to be dedicated to capacity improvement programs. The Company is evaluating debt financing as a source of additional funds that may be needed for timely completion of these projects. Should the Company be unable to obtain financing on acceptable terms, the Company's expansion and capital improvement programs as currently scheduled could be significantly delayed. There can be no assurance that the expansion and capital improvement programs will be completed as currently scheduled or within current cost estimates.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Company and many of its competitors are adding new facilities designed to process 8-inch wafers, which have approximately 84% greater usable surface area than 6-inch wafers. The amount of capacity to be placed into production and future yield improvements by these competitors would dramatically increase world-wide supply of semiconductor memory. Excess supply of semiconductor memory, or currency fluctuation resulting in a strengthening dollar against the yen, could result in downward pricing pressure on the Company's products. A decline in product pricing would have a material adverse effect on the Company's results of operations.</w:t>
      </w:r>
    </w:p>
    <w:p>
      <w:pPr>
        <w:spacing w:after="0" w:line="396" w:lineRule="exact"/>
        <w:rPr>
          <w:sz w:val="20"/>
          <w:szCs w:val="20"/>
          <w:color w:val="auto"/>
        </w:rPr>
      </w:pPr>
    </w:p>
    <w:p>
      <w:pPr>
        <w:ind w:right="3479" w:firstLine="211"/>
        <w:spacing w:after="0" w:line="238" w:lineRule="auto"/>
        <w:rPr>
          <w:sz w:val="20"/>
          <w:szCs w:val="20"/>
          <w:color w:val="auto"/>
        </w:rPr>
      </w:pPr>
      <w:r>
        <w:rPr>
          <w:rFonts w:ascii="Courier New" w:cs="Courier New" w:eastAsia="Courier New" w:hAnsi="Courier New"/>
          <w:sz w:val="18"/>
          <w:szCs w:val="18"/>
          <w:color w:val="auto"/>
        </w:rPr>
        <w:t>DRAMs are the most widely used semiconductor memory component in most PC systems. Approximately 64% of the Company's sales of semiconductor memory products during the first quarter of 1995 were directly into the personal computer or peripheral markets. Demand for semiconductor memory products, and DRAMs in particular, has grown in recent periods fueled primarily by growth in the personal computer industry. In addition to an increased sales volume of PC systems, most PC systems are being shipped with greater amounts of memory, principally as a result of more powerful microprocessors, more memory-intensive software applications, and enhanced system architectures. Should the demand for PC systems decrease, a corresponding decrease in demand for semiconductor memory products would also occur, which would likely have a material adverse effect on the Company's results of operations.</w:t>
      </w:r>
    </w:p>
    <w:p>
      <w:pPr>
        <w:spacing w:after="0" w:line="208" w:lineRule="exact"/>
        <w:rPr>
          <w:sz w:val="20"/>
          <w:szCs w:val="20"/>
          <w:color w:val="auto"/>
        </w:rPr>
      </w:pPr>
    </w:p>
    <w:p>
      <w:pPr>
        <w:ind w:right="3359" w:firstLine="211"/>
        <w:spacing w:after="0" w:line="238" w:lineRule="auto"/>
        <w:rPr>
          <w:sz w:val="20"/>
          <w:szCs w:val="20"/>
          <w:color w:val="auto"/>
        </w:rPr>
      </w:pPr>
      <w:r>
        <w:rPr>
          <w:rFonts w:ascii="Courier New" w:cs="Courier New" w:eastAsia="Courier New" w:hAnsi="Courier New"/>
          <w:sz w:val="18"/>
          <w:szCs w:val="18"/>
          <w:color w:val="auto"/>
        </w:rPr>
        <w:t>The Company had previously anticipated Fab III to be substantially converted to 8-inch wafer processing by the end of calendar 1995. While considerable progress has been made, the Company does not expect substantial conversion of Fab III before the middle of fiscal 1996. Conversion requires expansion of portions of the Company's facilities and modifications, enhancements, or replacement of a significant portion of the Company's wafer processing equipment. There can be no assurance that the Company will not experience an interruption of its manufacturing process or experience decreased manufacturing yields as a result of the conversion. An interruption of the manufacturing process or decreased manufacturing yields could have a material adverse effect on the Company's results of</w:t>
      </w:r>
    </w:p>
    <w:p>
      <w:pPr>
        <w:sectPr>
          <w:pgSz w:w="11900" w:h="16838" w:orient="portrait"/>
          <w:cols w:equalWidth="0" w:num="1">
            <w:col w:w="10219"/>
          </w:cols>
          <w:pgMar w:left="240" w:top="723"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operations.</w:t>
      </w:r>
    </w:p>
    <w:p>
      <w:pPr>
        <w:spacing w:after="0" w:line="201" w:lineRule="exact"/>
        <w:rPr>
          <w:sz w:val="20"/>
          <w:szCs w:val="20"/>
          <w:color w:val="auto"/>
        </w:rPr>
      </w:pPr>
    </w:p>
    <w:p>
      <w:pPr>
        <w:jc w:val="right"/>
        <w:ind w:right="673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16" w:name="page17"/>
    <w:bookmarkEnd w:id="16"/>
    <w:p>
      <w:pPr>
        <w:ind w:right="3359" w:firstLine="211"/>
        <w:spacing w:after="0" w:line="270" w:lineRule="auto"/>
        <w:rPr>
          <w:sz w:val="20"/>
          <w:szCs w:val="20"/>
          <w:color w:val="auto"/>
        </w:rPr>
      </w:pPr>
      <w:r>
        <w:rPr>
          <w:rFonts w:ascii="Courier New" w:cs="Courier New" w:eastAsia="Courier New" w:hAnsi="Courier New"/>
          <w:sz w:val="16"/>
          <w:szCs w:val="16"/>
          <w:color w:val="auto"/>
        </w:rPr>
        <w:t>The manufacture of the Company's semiconductor memory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such as the 16 Meg DRAM, to commercial volumes.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 or at gross margin rates comparable to the Company's current primary products.</w:t>
      </w:r>
    </w:p>
    <w:p>
      <w:pPr>
        <w:spacing w:after="0" w:line="388" w:lineRule="exact"/>
        <w:rPr>
          <w:sz w:val="20"/>
          <w:szCs w:val="20"/>
          <w:color w:val="auto"/>
        </w:rPr>
      </w:pPr>
    </w:p>
    <w:p>
      <w:pPr>
        <w:jc w:val="both"/>
        <w:ind w:right="3359" w:firstLine="211"/>
        <w:spacing w:after="0" w:line="268"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w:t>
      </w:r>
    </w:p>
    <w:p>
      <w:pPr>
        <w:spacing w:after="0" w:line="216" w:lineRule="exact"/>
        <w:rPr>
          <w:sz w:val="20"/>
          <w:szCs w:val="20"/>
          <w:color w:val="auto"/>
        </w:rPr>
      </w:pPr>
    </w:p>
    <w:p>
      <w:pPr>
        <w:ind w:right="3359" w:firstLine="211"/>
        <w:spacing w:after="0" w:line="237" w:lineRule="auto"/>
        <w:rPr>
          <w:sz w:val="20"/>
          <w:szCs w:val="20"/>
          <w:color w:val="auto"/>
        </w:rPr>
      </w:pPr>
      <w:r>
        <w:rPr>
          <w:rFonts w:ascii="Courier New" w:cs="Courier New" w:eastAsia="Courier New" w:hAnsi="Courier New"/>
          <w:sz w:val="18"/>
          <w:szCs w:val="18"/>
          <w:color w:val="auto"/>
        </w:rPr>
        <w:t>The Company's product and process technology cross-license agreements with Motorola, Inc., and IBM expired on June 30, 1995, and November 1, 1995, respectively, and the agreement with AT&amp;T expires in December 1996. Failure to renew license agreements could result in litigation, and its attendant cost and diversion of resources, and could also result in material changes in the Company's production processes. Any such litigation or changes could have a material adverse effect on the Company's results of operations.</w:t>
      </w:r>
    </w:p>
    <w:p>
      <w:pPr>
        <w:spacing w:after="0" w:line="214" w:lineRule="exact"/>
        <w:rPr>
          <w:sz w:val="20"/>
          <w:szCs w:val="20"/>
          <w:color w:val="auto"/>
        </w:rPr>
      </w:pPr>
    </w:p>
    <w:p>
      <w:pPr>
        <w:ind w:right="3359" w:firstLine="211"/>
        <w:spacing w:after="0" w:line="269" w:lineRule="auto"/>
        <w:rPr>
          <w:sz w:val="20"/>
          <w:szCs w:val="20"/>
          <w:color w:val="auto"/>
        </w:rPr>
      </w:pPr>
      <w:r>
        <w:rPr>
          <w:rFonts w:ascii="Courier New" w:cs="Courier New" w:eastAsia="Courier New" w:hAnsi="Courier New"/>
          <w:sz w:val="16"/>
          <w:szCs w:val="16"/>
          <w:color w:val="auto"/>
        </w:rPr>
        <w:t>In June 1995, the Company began construction of an additional manufacturing facility in Utah which represents a significant capital investment by the Company. While the Company has at times conducted certain assembly and test operations at sites remote to its primary manufacturing operation, the Utah facility will be the Company's first remote fabrication facility. The success of the Utah operation will largely depend on the Company's ability to achieve manufacturing efficiencies comparable to those of the Boise facility, of which there can be no assurance. In addition to the hiring needs of the expansion plan at the Boise site, it is anticipated that the Utah site will employ approximately 3,500 full-time employees. The inability of the Company to retain a qualified work force or to locate and hire qualified candidates or failure of the Utah facility to achieve manufacturing efficiencies comparable to the Boise facility would have a negative affect on existing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7" w:name="page18"/>
    <w:bookmarkEnd w:id="17"/>
    <w:p>
      <w:pPr>
        <w:ind w:left="2120"/>
        <w:spacing w:after="0"/>
        <w:tabs>
          <w:tab w:leader="none" w:pos="3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are filed as a part of this report:</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Number</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0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Computation</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w:t>
            </w:r>
          </w:p>
        </w:tc>
        <w:tc>
          <w:tcPr>
            <w:tcW w:w="3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share earnings for the quarters</w:t>
            </w:r>
          </w:p>
        </w:tc>
        <w:tc>
          <w:tcPr>
            <w:tcW w:w="68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ended November</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w:t>
            </w:r>
          </w:p>
        </w:tc>
        <w:tc>
          <w:tcPr>
            <w:tcW w:w="3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1995 and December 1, 1994</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9" w:lineRule="exact"/>
        <w:rPr>
          <w:sz w:val="20"/>
          <w:szCs w:val="20"/>
          <w:color w:val="auto"/>
        </w:rPr>
      </w:pPr>
    </w:p>
    <w:p>
      <w:pPr>
        <w:ind w:right="36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did not file any reports on Form 8-K during the quarter ended November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14" w:right="1440" w:bottom="1440" w:gutter="0" w:footer="0" w:header="0"/>
        </w:sectPr>
      </w:pPr>
    </w:p>
    <w:bookmarkStart w:id="18" w:name="page19"/>
    <w:bookmarkEnd w:id="18"/>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3479" w:firstLine="211"/>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20,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Wilbur G. Stover, Jr. Vice</w:t>
      </w:r>
    </w:p>
    <w:p>
      <w:pPr>
        <w:spacing w:after="0" w:line="238" w:lineRule="auto"/>
        <w:rPr>
          <w:sz w:val="20"/>
          <w:szCs w:val="20"/>
          <w:color w:val="auto"/>
        </w:rPr>
      </w:pPr>
      <w:r>
        <w:rPr>
          <w:rFonts w:ascii="Courier New" w:cs="Courier New" w:eastAsia="Courier New" w:hAnsi="Courier New"/>
          <w:sz w:val="18"/>
          <w:szCs w:val="18"/>
          <w:color w:val="auto"/>
        </w:rPr>
        <w:t>President, Finance, and Chief</w:t>
      </w:r>
    </w:p>
    <w:p>
      <w:pPr>
        <w:spacing w:after="0"/>
        <w:rPr>
          <w:sz w:val="20"/>
          <w:szCs w:val="20"/>
          <w:color w:val="auto"/>
        </w:rPr>
      </w:pPr>
      <w:r>
        <w:rPr>
          <w:rFonts w:ascii="Courier New" w:cs="Courier New" w:eastAsia="Courier New" w:hAnsi="Courier New"/>
          <w:sz w:val="18"/>
          <w:szCs w:val="18"/>
          <w:color w:val="auto"/>
        </w:rPr>
        <w:t>Financial Officer (Principal</w:t>
      </w:r>
    </w:p>
    <w:p>
      <w:pPr>
        <w:spacing w:after="0" w:line="237" w:lineRule="auto"/>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ectPr>
          <w:pgSz w:w="11900" w:h="16838" w:orient="portrait"/>
          <w:cols w:equalWidth="0" w:num="3">
            <w:col w:w="640" w:space="220"/>
            <w:col w:w="1780" w:space="520"/>
            <w:col w:w="705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717" w:right="1440" w:bottom="1440" w:gutter="0" w:footer="0" w:header="0"/>
          <w:type w:val="continuous"/>
        </w:sectPr>
      </w:pPr>
    </w:p>
    <w:bookmarkStart w:id="19" w:name="page20"/>
    <w:bookmarkEnd w:id="19"/>
    <w:p>
      <w:pPr>
        <w:ind w:left="286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left="860" w:right="4099" w:firstLine="948"/>
        <w:spacing w:after="0" w:line="290" w:lineRule="auto"/>
        <w:rPr>
          <w:sz w:val="20"/>
          <w:szCs w:val="20"/>
          <w:color w:val="auto"/>
        </w:rPr>
      </w:pPr>
      <w:r>
        <w:rPr>
          <w:rFonts w:ascii="Courier New" w:cs="Courier New" w:eastAsia="Courier New" w:hAnsi="Courier New"/>
          <w:sz w:val="16"/>
          <w:szCs w:val="16"/>
          <w:color w:val="auto"/>
        </w:rPr>
        <w:t>Computation of Per Share Earnings (Amounts in millions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40"/>
        <w:spacing w:after="0"/>
        <w:tabs>
          <w:tab w:leader="none" w:pos="6100" w:val="left"/>
        </w:tabs>
        <w:rPr>
          <w:sz w:val="20"/>
          <w:szCs w:val="20"/>
          <w:color w:val="auto"/>
        </w:rPr>
      </w:pPr>
      <w:r>
        <w:rPr>
          <w:rFonts w:ascii="Courier New" w:cs="Courier New" w:eastAsia="Courier New" w:hAnsi="Courier New"/>
          <w:sz w:val="18"/>
          <w:szCs w:val="18"/>
          <w:color w:val="auto"/>
        </w:rPr>
        <w:t>November 30,</w:t>
      </w:r>
      <w:r>
        <w:rPr>
          <w:sz w:val="20"/>
          <w:szCs w:val="20"/>
          <w:color w:val="auto"/>
        </w:rPr>
        <w:tab/>
      </w:r>
      <w:r>
        <w:rPr>
          <w:rFonts w:ascii="Courier New" w:cs="Courier New" w:eastAsia="Courier New" w:hAnsi="Courier New"/>
          <w:sz w:val="16"/>
          <w:szCs w:val="16"/>
          <w:color w:val="auto"/>
        </w:rPr>
        <w:t>December 1,</w:t>
      </w:r>
    </w:p>
    <w:p>
      <w:pPr>
        <w:spacing w:after="0"/>
        <w:tabs>
          <w:tab w:leader="none" w:pos="4940" w:val="left"/>
          <w:tab w:leader="none" w:pos="6420" w:val="left"/>
        </w:tabs>
        <w:rPr>
          <w:sz w:val="20"/>
          <w:szCs w:val="20"/>
          <w:color w:val="auto"/>
        </w:rPr>
      </w:pPr>
      <w:r>
        <w:rPr>
          <w:rFonts w:ascii="Courier New" w:cs="Courier New" w:eastAsia="Courier New" w:hAnsi="Courier New"/>
          <w:sz w:val="18"/>
          <w:szCs w:val="18"/>
          <w:color w:val="auto"/>
        </w:rPr>
        <w:t>Quarter Ended</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68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206.7</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204.0</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217.2</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210.8</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328.5</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159.3</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Primary earnings per share</w:t>
            </w:r>
          </w:p>
        </w:tc>
        <w:tc>
          <w:tcPr>
            <w:tcW w:w="68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$1.51</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$0.76</w:t>
            </w:r>
          </w:p>
        </w:tc>
      </w:t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 outstanding</w:t>
            </w:r>
          </w:p>
        </w:tc>
        <w:tc>
          <w:tcPr>
            <w:tcW w:w="68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206.7</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204.0</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217.2</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211.1</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328.5</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159.3</w:t>
            </w:r>
          </w:p>
        </w:tc>
      </w:tr>
      <w:tr>
        <w:trPr>
          <w:trHeight w:val="203"/>
        </w:trPr>
        <w:tc>
          <w:tcPr>
            <w:tcW w:w="448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Fully diluted earnings per share</w:t>
            </w:r>
          </w:p>
        </w:tc>
        <w:tc>
          <w:tcPr>
            <w:tcW w:w="68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$1.51</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$0.75</w:t>
            </w:r>
          </w:p>
        </w:tc>
      </w:t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39" w:right="1440" w:bottom="1440" w:gutter="0" w:footer="0" w:header="0"/>
        </w:sectPr>
      </w:pPr>
    </w:p>
    <w:bookmarkStart w:id="20" w:name="page21"/>
    <w:bookmarkEnd w:id="20"/>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599" w:firstLine="527"/>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AUG-30-1996</w:t>
      </w:r>
    </w:p>
    <w:p>
      <w:pPr>
        <w:ind w:left="3240"/>
        <w:spacing w:after="0"/>
        <w:rPr>
          <w:sz w:val="20"/>
          <w:szCs w:val="20"/>
          <w:color w:val="auto"/>
        </w:rPr>
      </w:pPr>
      <w:r>
        <w:rPr>
          <w:rFonts w:ascii="Courier New" w:cs="Courier New" w:eastAsia="Courier New" w:hAnsi="Courier New"/>
          <w:sz w:val="18"/>
          <w:szCs w:val="18"/>
          <w:color w:val="auto"/>
        </w:rPr>
        <w:t>NOV-30-1995</w:t>
      </w:r>
    </w:p>
    <w:p>
      <w:pPr>
        <w:jc w:val="center"/>
        <w:ind w:right="439"/>
        <w:spacing w:after="0" w:line="237" w:lineRule="auto"/>
        <w:rPr>
          <w:sz w:val="20"/>
          <w:szCs w:val="20"/>
          <w:color w:val="auto"/>
        </w:rPr>
      </w:pPr>
      <w:r>
        <w:rPr>
          <w:rFonts w:ascii="Courier New" w:cs="Courier New" w:eastAsia="Courier New" w:hAnsi="Courier New"/>
          <w:sz w:val="18"/>
          <w:szCs w:val="18"/>
          <w:color w:val="auto"/>
        </w:rPr>
        <w:t>173</w:t>
      </w:r>
    </w:p>
    <w:p>
      <w:pPr>
        <w:ind w:left="4080"/>
        <w:spacing w:after="0" w:line="238" w:lineRule="auto"/>
        <w:rPr>
          <w:sz w:val="20"/>
          <w:szCs w:val="20"/>
          <w:color w:val="auto"/>
        </w:rPr>
      </w:pPr>
      <w:r>
        <w:rPr>
          <w:rFonts w:ascii="Courier New" w:cs="Courier New" w:eastAsia="Courier New" w:hAnsi="Courier New"/>
          <w:sz w:val="18"/>
          <w:szCs w:val="18"/>
          <w:color w:val="auto"/>
        </w:rPr>
        <w:t>434</w:t>
      </w:r>
    </w:p>
    <w:p>
      <w:pPr>
        <w:ind w:left="3980"/>
        <w:spacing w:after="0"/>
        <w:rPr>
          <w:sz w:val="20"/>
          <w:szCs w:val="20"/>
          <w:color w:val="auto"/>
        </w:rPr>
      </w:pPr>
      <w:r>
        <w:rPr>
          <w:rFonts w:ascii="Courier New" w:cs="Courier New" w:eastAsia="Courier New" w:hAnsi="Courier New"/>
          <w:sz w:val="18"/>
          <w:szCs w:val="18"/>
          <w:color w:val="auto"/>
        </w:rPr>
        <w:t>599</w:t>
      </w:r>
    </w:p>
    <w:p>
      <w:pPr>
        <w:ind w:left="4180"/>
        <w:spacing w:after="0" w:line="237" w:lineRule="auto"/>
        <w:rPr>
          <w:sz w:val="20"/>
          <w:szCs w:val="20"/>
          <w:color w:val="auto"/>
        </w:rPr>
      </w:pPr>
      <w:r>
        <w:rPr>
          <w:rFonts w:ascii="Courier New" w:cs="Courier New" w:eastAsia="Courier New" w:hAnsi="Courier New"/>
          <w:sz w:val="18"/>
          <w:szCs w:val="18"/>
          <w:color w:val="auto"/>
        </w:rPr>
        <w:t>22</w:t>
      </w:r>
    </w:p>
    <w:p>
      <w:pPr>
        <w:ind w:left="4180"/>
        <w:spacing w:after="0"/>
        <w:rPr>
          <w:sz w:val="20"/>
          <w:szCs w:val="20"/>
          <w:color w:val="auto"/>
        </w:rPr>
      </w:pPr>
      <w:r>
        <w:rPr>
          <w:rFonts w:ascii="Courier New" w:cs="Courier New" w:eastAsia="Courier New" w:hAnsi="Courier New"/>
          <w:sz w:val="18"/>
          <w:szCs w:val="18"/>
          <w:color w:val="auto"/>
        </w:rPr>
        <w:t>266</w:t>
      </w:r>
    </w:p>
    <w:p>
      <w:pPr>
        <w:ind w:left="3440"/>
        <w:spacing w:after="0" w:line="237" w:lineRule="auto"/>
        <w:rPr>
          <w:sz w:val="20"/>
          <w:szCs w:val="20"/>
          <w:color w:val="auto"/>
        </w:rPr>
      </w:pPr>
      <w:r>
        <w:rPr>
          <w:rFonts w:ascii="Courier New" w:cs="Courier New" w:eastAsia="Courier New" w:hAnsi="Courier New"/>
          <w:sz w:val="18"/>
          <w:szCs w:val="18"/>
          <w:color w:val="auto"/>
        </w:rPr>
        <w:t>1,530</w:t>
      </w:r>
    </w:p>
    <w:p>
      <w:pPr>
        <w:ind w:left="4500"/>
        <w:spacing w:after="0"/>
        <w:rPr>
          <w:sz w:val="20"/>
          <w:szCs w:val="20"/>
          <w:color w:val="auto"/>
        </w:rPr>
      </w:pPr>
      <w:r>
        <w:rPr>
          <w:rFonts w:ascii="Courier New" w:cs="Courier New" w:eastAsia="Courier New" w:hAnsi="Courier New"/>
          <w:sz w:val="18"/>
          <w:szCs w:val="18"/>
          <w:color w:val="auto"/>
        </w:rPr>
        <w:t>2,532</w:t>
      </w:r>
    </w:p>
    <w:p>
      <w:pPr>
        <w:ind w:left="3860"/>
        <w:spacing w:after="0" w:line="237" w:lineRule="auto"/>
        <w:rPr>
          <w:sz w:val="20"/>
          <w:szCs w:val="20"/>
          <w:color w:val="auto"/>
        </w:rPr>
      </w:pPr>
      <w:r>
        <w:rPr>
          <w:rFonts w:ascii="Courier New" w:cs="Courier New" w:eastAsia="Courier New" w:hAnsi="Courier New"/>
          <w:sz w:val="18"/>
          <w:szCs w:val="18"/>
          <w:color w:val="auto"/>
        </w:rPr>
        <w:t>698</w:t>
      </w:r>
    </w:p>
    <w:p>
      <w:pPr>
        <w:ind w:left="3660"/>
        <w:spacing w:after="0" w:line="238" w:lineRule="auto"/>
        <w:rPr>
          <w:sz w:val="20"/>
          <w:szCs w:val="20"/>
          <w:color w:val="auto"/>
        </w:rPr>
      </w:pPr>
      <w:r>
        <w:rPr>
          <w:rFonts w:ascii="Courier New" w:cs="Courier New" w:eastAsia="Courier New" w:hAnsi="Courier New"/>
          <w:sz w:val="18"/>
          <w:szCs w:val="18"/>
          <w:color w:val="auto"/>
        </w:rPr>
        <w:t>3,479</w:t>
      </w:r>
    </w:p>
    <w:p>
      <w:pPr>
        <w:ind w:left="3120"/>
        <w:spacing w:after="0"/>
        <w:rPr>
          <w:sz w:val="20"/>
          <w:szCs w:val="20"/>
          <w:color w:val="auto"/>
        </w:rPr>
      </w:pPr>
      <w:r>
        <w:rPr>
          <w:rFonts w:ascii="Courier New" w:cs="Courier New" w:eastAsia="Courier New" w:hAnsi="Courier New"/>
          <w:sz w:val="18"/>
          <w:szCs w:val="18"/>
          <w:color w:val="auto"/>
        </w:rPr>
        <w:t>953</w:t>
      </w:r>
    </w:p>
    <w:p>
      <w:pPr>
        <w:ind w:left="4600"/>
        <w:spacing w:after="0" w:line="237" w:lineRule="auto"/>
        <w:rPr>
          <w:sz w:val="20"/>
          <w:szCs w:val="20"/>
          <w:color w:val="auto"/>
        </w:rPr>
      </w:pPr>
      <w:r>
        <w:rPr>
          <w:rFonts w:ascii="Courier New" w:cs="Courier New" w:eastAsia="Courier New" w:hAnsi="Courier New"/>
          <w:sz w:val="18"/>
          <w:szCs w:val="18"/>
          <w:color w:val="auto"/>
        </w:rPr>
        <w:t>122</w:t>
      </w:r>
    </w:p>
    <w:p>
      <w:pPr>
        <w:ind w:left="4600"/>
        <w:spacing w:after="0"/>
        <w:rPr>
          <w:sz w:val="20"/>
          <w:szCs w:val="20"/>
          <w:color w:val="auto"/>
        </w:rPr>
      </w:pPr>
      <w:r>
        <w:rPr>
          <w:rFonts w:ascii="Courier New" w:cs="Courier New" w:eastAsia="Courier New" w:hAnsi="Courier New"/>
          <w:sz w:val="18"/>
          <w:szCs w:val="18"/>
          <w:color w:val="auto"/>
        </w:rPr>
        <w:t>21</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2,207</w:t>
      </w:r>
    </w:p>
    <w:p>
      <w:pPr>
        <w:ind w:left="2180"/>
        <w:spacing w:after="0" w:line="238" w:lineRule="auto"/>
        <w:rPr>
          <w:sz w:val="20"/>
          <w:szCs w:val="20"/>
          <w:color w:val="auto"/>
        </w:rPr>
      </w:pPr>
      <w:r>
        <w:rPr>
          <w:rFonts w:ascii="Courier New" w:cs="Courier New" w:eastAsia="Courier New" w:hAnsi="Courier New"/>
          <w:sz w:val="18"/>
          <w:szCs w:val="18"/>
          <w:color w:val="auto"/>
        </w:rPr>
        <w:t>3,479</w:t>
      </w:r>
    </w:p>
    <w:p>
      <w:pPr>
        <w:ind w:left="4400"/>
        <w:spacing w:after="0"/>
        <w:rPr>
          <w:sz w:val="20"/>
          <w:szCs w:val="20"/>
          <w:color w:val="auto"/>
        </w:rPr>
      </w:pPr>
      <w:r>
        <w:rPr>
          <w:rFonts w:ascii="Courier New" w:cs="Courier New" w:eastAsia="Courier New" w:hAnsi="Courier New"/>
          <w:sz w:val="18"/>
          <w:szCs w:val="18"/>
          <w:color w:val="auto"/>
        </w:rPr>
        <w:t>1,186</w:t>
      </w:r>
    </w:p>
    <w:p>
      <w:pPr>
        <w:ind w:left="3440"/>
        <w:spacing w:after="0" w:line="237" w:lineRule="auto"/>
        <w:rPr>
          <w:sz w:val="20"/>
          <w:szCs w:val="20"/>
          <w:color w:val="auto"/>
        </w:rPr>
      </w:pPr>
      <w:r>
        <w:rPr>
          <w:rFonts w:ascii="Courier New" w:cs="Courier New" w:eastAsia="Courier New" w:hAnsi="Courier New"/>
          <w:sz w:val="18"/>
          <w:szCs w:val="18"/>
          <w:color w:val="auto"/>
        </w:rPr>
        <w:t>1,186</w:t>
      </w:r>
    </w:p>
    <w:p>
      <w:pPr>
        <w:jc w:val="center"/>
        <w:ind w:right="239"/>
        <w:spacing w:after="0"/>
        <w:rPr>
          <w:sz w:val="20"/>
          <w:szCs w:val="20"/>
          <w:color w:val="auto"/>
        </w:rPr>
      </w:pPr>
      <w:r>
        <w:rPr>
          <w:rFonts w:ascii="Courier New" w:cs="Courier New" w:eastAsia="Courier New" w:hAnsi="Courier New"/>
          <w:sz w:val="18"/>
          <w:szCs w:val="18"/>
          <w:color w:val="auto"/>
        </w:rPr>
        <w:t>538</w:t>
      </w:r>
    </w:p>
    <w:p>
      <w:pPr>
        <w:ind w:left="3980"/>
        <w:spacing w:after="0" w:line="237" w:lineRule="auto"/>
        <w:rPr>
          <w:sz w:val="20"/>
          <w:szCs w:val="20"/>
          <w:color w:val="auto"/>
        </w:rPr>
      </w:pPr>
      <w:r>
        <w:rPr>
          <w:rFonts w:ascii="Courier New" w:cs="Courier New" w:eastAsia="Courier New" w:hAnsi="Courier New"/>
          <w:sz w:val="18"/>
          <w:szCs w:val="18"/>
          <w:color w:val="auto"/>
        </w:rPr>
        <w:t>661</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(8)</w:t>
      </w:r>
    </w:p>
    <w:p>
      <w:pPr>
        <w:ind w:left="3760"/>
        <w:spacing w:after="0" w:line="237" w:lineRule="auto"/>
        <w:rPr>
          <w:sz w:val="20"/>
          <w:szCs w:val="20"/>
          <w:color w:val="auto"/>
        </w:rPr>
      </w:pPr>
      <w:r>
        <w:rPr>
          <w:rFonts w:ascii="Courier New" w:cs="Courier New" w:eastAsia="Courier New" w:hAnsi="Courier New"/>
          <w:sz w:val="18"/>
          <w:szCs w:val="18"/>
          <w:color w:val="auto"/>
        </w:rPr>
        <w:t>533</w:t>
      </w:r>
    </w:p>
    <w:p>
      <w:pPr>
        <w:ind w:left="4080"/>
        <w:spacing w:after="0" w:line="238" w:lineRule="auto"/>
        <w:rPr>
          <w:sz w:val="20"/>
          <w:szCs w:val="20"/>
          <w:color w:val="auto"/>
        </w:rPr>
      </w:pPr>
      <w:r>
        <w:rPr>
          <w:rFonts w:ascii="Courier New" w:cs="Courier New" w:eastAsia="Courier New" w:hAnsi="Courier New"/>
          <w:sz w:val="18"/>
          <w:szCs w:val="18"/>
          <w:color w:val="auto"/>
        </w:rPr>
        <w:t>205</w:t>
      </w:r>
    </w:p>
    <w:p>
      <w:pPr>
        <w:ind w:left="354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328</w:t>
      </w:r>
    </w:p>
    <w:p>
      <w:pPr>
        <w:ind w:left="3860"/>
        <w:spacing w:after="0" w:line="237" w:lineRule="auto"/>
        <w:rPr>
          <w:sz w:val="20"/>
          <w:szCs w:val="20"/>
          <w:color w:val="auto"/>
        </w:rPr>
      </w:pPr>
      <w:r>
        <w:rPr>
          <w:rFonts w:ascii="Courier New" w:cs="Courier New" w:eastAsia="Courier New" w:hAnsi="Courier New"/>
          <w:sz w:val="18"/>
          <w:szCs w:val="18"/>
          <w:color w:val="auto"/>
        </w:rPr>
        <w:t>1.51</w:t>
      </w:r>
    </w:p>
    <w:p>
      <w:pPr>
        <w:ind w:left="3860"/>
        <w:spacing w:after="0" w:line="238" w:lineRule="auto"/>
        <w:rPr>
          <w:sz w:val="20"/>
          <w:szCs w:val="20"/>
          <w:color w:val="auto"/>
        </w:rPr>
      </w:pPr>
      <w:r>
        <w:rPr>
          <w:rFonts w:ascii="Courier New" w:cs="Courier New" w:eastAsia="Courier New" w:hAnsi="Courier New"/>
          <w:sz w:val="18"/>
          <w:szCs w:val="18"/>
          <w:color w:val="auto"/>
        </w:rPr>
        <w:t>1.51</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2019-12-12T07:55:04Z</dcterms:created>
  <dcterms:modified xsi:type="dcterms:W3CDTF">2019-12-12T07:55:04Z</dcterms:modified>
</cp:coreProperties>
</file>