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Filed Pursuant to Rule 424(b)(2)</w:t>
      </w:r>
    </w:p>
    <w:p>
      <w:pPr>
        <w:ind w:left="4860"/>
        <w:spacing w:after="0" w:line="238" w:lineRule="auto"/>
        <w:rPr>
          <w:sz w:val="20"/>
          <w:szCs w:val="20"/>
          <w:color w:val="auto"/>
        </w:rPr>
      </w:pPr>
      <w:r>
        <w:rPr>
          <w:rFonts w:ascii="Courier New" w:cs="Courier New" w:eastAsia="Courier New" w:hAnsi="Courier New"/>
          <w:sz w:val="18"/>
          <w:szCs w:val="18"/>
          <w:color w:val="auto"/>
        </w:rPr>
        <w:t>Registration No. 333-57973</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7,600,000 SHARES</w:t>
      </w:r>
    </w:p>
    <w:p>
      <w:pPr>
        <w:ind w:left="29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6"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of the 7,600,000 shares of Common Stock (the "Shares") of Micron Technology, Inc. ("Micron" or the "Company") offered hereby are being offered for sale from time to time by one of the Company's stockholders (the "Selling Stockholder"). See "Selling Stockholder." The Company has been advised that the Selling Stockholder expects to deliver the shares to close out short positions entered into in the course of hedging transactions. See "Plan of Distribution." The Company will not receive any of the proceeds from the sales of shares by the Selling Stockholder.</w:t>
      </w: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SEE "RISK FACTORS" COMMENCING ON PAGE 3 FOR A DISCUSSION OF CERTAIN FACTORS THAT SHOULD BE CONSIDERED BY PROSPECTIVE PURCHASERS OF THE COMMON STOCK OFFERED HEREBY.</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SELLING STOCKHOLDER WILL BEAR ALL DISCOUNTS AND COMMISSIONS PAID TO BROKERS,</w:t>
      </w:r>
    </w:p>
    <w:p>
      <w:pPr>
        <w:spacing w:after="0" w:line="21"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DEALERS OR AGENTS IN CONNECTION WITH THE SALE OF THE SHARES AND THE FEES AND EXPENSES OF ANY COUNSEL AND OTHER ADVISERS THAT THE SELLING STOCKHOLDER MAY EMPLOY TO REPRESENT IT IN THIS OFFERING.</w:t>
      </w:r>
    </w:p>
    <w:p>
      <w:pPr>
        <w:spacing w:after="0" w:line="20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4"/>
          <w:szCs w:val="24"/>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THE COMMON STOCK IS QUOTED ON THE NEW YORK STOCK EXCHANGE UNDER THE TRADING SYMBOL "MU." ON JULY 23, 1998, THE LAST SALE PRICE OF THE COMMON STOCK AS REPORTED BY THE NEW YORK STOCK EXCHANGE</w:t>
      </w:r>
    </w:p>
    <w:p>
      <w:pPr>
        <w:spacing w:after="0" w:line="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TRANSACTIONS TAPE WAS $27 1/8 PER SHARE.</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 AND</w:t>
      </w:r>
    </w:p>
    <w:p>
      <w:pPr>
        <w:ind w:left="640"/>
        <w:spacing w:after="0" w:line="238" w:lineRule="auto"/>
        <w:rPr>
          <w:sz w:val="20"/>
          <w:szCs w:val="20"/>
          <w:color w:val="auto"/>
        </w:rPr>
      </w:pPr>
      <w:r>
        <w:rPr>
          <w:rFonts w:ascii="Courier New" w:cs="Courier New" w:eastAsia="Courier New" w:hAnsi="Courier New"/>
          <w:sz w:val="18"/>
          <w:szCs w:val="18"/>
          <w:color w:val="auto"/>
        </w:rPr>
        <w:t>EXCHANGE COMMISSION OR ANY STATE SECURITIES COMMISSION NOR HAS THE</w:t>
      </w:r>
    </w:p>
    <w:p>
      <w:pPr>
        <w:ind w:left="1060"/>
        <w:spacing w:after="0"/>
        <w:rPr>
          <w:sz w:val="20"/>
          <w:szCs w:val="20"/>
          <w:color w:val="auto"/>
        </w:rPr>
      </w:pPr>
      <w:r>
        <w:rPr>
          <w:rFonts w:ascii="Courier New" w:cs="Courier New" w:eastAsia="Courier New" w:hAnsi="Courier New"/>
          <w:sz w:val="18"/>
          <w:szCs w:val="18"/>
          <w:color w:val="auto"/>
        </w:rPr>
        <w:t>SECURITIES AND EXCHANGE COMMISSION OR ANY STATE SECURITIES</w:t>
      </w:r>
    </w:p>
    <w:p>
      <w:pPr>
        <w:ind w:left="1480"/>
        <w:spacing w:after="0" w:line="237" w:lineRule="auto"/>
        <w:rPr>
          <w:sz w:val="20"/>
          <w:szCs w:val="20"/>
          <w:color w:val="auto"/>
        </w:rPr>
      </w:pPr>
      <w:r>
        <w:rPr>
          <w:rFonts w:ascii="Courier New" w:cs="Courier New" w:eastAsia="Courier New" w:hAnsi="Courier New"/>
          <w:sz w:val="18"/>
          <w:szCs w:val="18"/>
          <w:color w:val="auto"/>
        </w:rPr>
        <w:t>COMMISSION PASSED UPON THE ACCURACY OR ADEQUACY OF</w:t>
      </w:r>
    </w:p>
    <w:p>
      <w:pPr>
        <w:ind w:left="1900"/>
        <w:spacing w:after="0" w:line="238" w:lineRule="auto"/>
        <w:rPr>
          <w:sz w:val="20"/>
          <w:szCs w:val="20"/>
          <w:color w:val="auto"/>
        </w:rPr>
      </w:pPr>
      <w:r>
        <w:rPr>
          <w:rFonts w:ascii="Courier New" w:cs="Courier New" w:eastAsia="Courier New" w:hAnsi="Courier New"/>
          <w:sz w:val="18"/>
          <w:szCs w:val="18"/>
          <w:color w:val="auto"/>
        </w:rPr>
        <w:t>THIS PROSPECTUS. ANY REPRESENTATION TO THE</w:t>
      </w:r>
    </w:p>
    <w:p>
      <w:pPr>
        <w:ind w:left="2540"/>
        <w:spacing w:after="0"/>
        <w:rPr>
          <w:sz w:val="20"/>
          <w:szCs w:val="20"/>
          <w:color w:val="auto"/>
        </w:rPr>
      </w:pPr>
      <w:r>
        <w:rPr>
          <w:rFonts w:ascii="Courier New" w:cs="Courier New" w:eastAsia="Courier New" w:hAnsi="Courier New"/>
          <w:sz w:val="18"/>
          <w:szCs w:val="18"/>
          <w:color w:val="auto"/>
        </w:rPr>
        <w:t>CONTRARY IS A CRIMINAL OFFENSE.</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July 24, 1998</w:t>
      </w:r>
    </w:p>
    <w:p>
      <w:pPr>
        <w:sectPr>
          <w:pgSz w:w="11900" w:h="16838" w:orient="portrait"/>
          <w:cols w:equalWidth="0" w:num="1">
            <w:col w:w="10219"/>
          </w:cols>
          <w:pgMar w:left="240" w:top="447" w:right="1440" w:bottom="1440" w:gutter="0" w:footer="0" w:header="0"/>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maintained by the Commission at Room 1024, 450 Fifth Street, NW, Washington, D.C. 20549, and at the Commission's Regional Offices located at Citicorp Center, 500 West Madison Street, Suite 1400, Chicago, Illinois 60661 and 7 World Trade Center, Suite 1300, New York, New York 10048. Copies of such material can be obtained from the Public Reference Section of the Commission, 450 Fifth Street, NW, Washington, D.C. 20549, at prescribed rates. The Common Stock is listed on the New York Stock Exchange. Reports, proxy statements and other information concerning the Company may be inspected at the offices of the New York Stock Exchange, Inc., 20 Broad Street, New York, New York 10005. The Commission maintains a World Wide Web site that contains reports, proxy statements and information statements and other information regarding registrants that file electronically with the Commission. The address of the World Wide Web site is http://www.sec.gov.</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S-3 (herein, together with all amendments and exhibits, referred to as the "Registration Statement") under the Securities Act of 1933, as amended (the "Securities Act"), with respect to the Shares. This Prospectus which constitutes part of the Registration Statement does not contain all of the information set forth in the Registration Statement, certain parts of which are omitted in accordance with the rules and regulations of the Commission. For further information, reference is made to the Registration Statement. Statements contained in this Prospectus as to the contents of any contract or other document are not necessarily complete, and in each instance, reference is made to the copy of such contract or document filed as an exhibit to the Registration Statement, each such statement being qualified in all respects by such reference. For further information with respect to the Company, reference is made to the Registration Statement.</w:t>
      </w: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The following documents have been filed with the Commission and are incorporated herein by reference:</w:t>
      </w:r>
    </w:p>
    <w:p>
      <w:pPr>
        <w:spacing w:after="0" w:line="208" w:lineRule="exact"/>
        <w:rPr>
          <w:sz w:val="20"/>
          <w:szCs w:val="20"/>
          <w:color w:val="auto"/>
        </w:rPr>
      </w:pPr>
    </w:p>
    <w:p>
      <w:pPr>
        <w:ind w:right="2319" w:firstLine="535"/>
        <w:spacing w:after="0" w:line="235"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August 28, 1997;</w:t>
      </w:r>
    </w:p>
    <w:p>
      <w:pPr>
        <w:spacing w:after="0" w:line="208" w:lineRule="exact"/>
        <w:rPr>
          <w:rFonts w:ascii="Courier New" w:cs="Courier New" w:eastAsia="Courier New" w:hAnsi="Courier New"/>
          <w:sz w:val="18"/>
          <w:szCs w:val="18"/>
          <w:color w:val="auto"/>
        </w:rPr>
      </w:pPr>
    </w:p>
    <w:p>
      <w:pPr>
        <w:ind w:right="2199" w:firstLine="535"/>
        <w:spacing w:after="0" w:line="235"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fiscal quarters ended November 27, 1997, February 26, 1998 and May 28, 1998; and</w:t>
      </w:r>
    </w:p>
    <w:p>
      <w:pPr>
        <w:spacing w:after="0" w:line="208" w:lineRule="exact"/>
        <w:rPr>
          <w:rFonts w:ascii="Courier New" w:cs="Courier New" w:eastAsia="Courier New" w:hAnsi="Courier New"/>
          <w:sz w:val="18"/>
          <w:szCs w:val="18"/>
          <w:color w:val="auto"/>
        </w:rPr>
      </w:pPr>
    </w:p>
    <w:p>
      <w:pPr>
        <w:ind w:right="2619" w:firstLine="535"/>
        <w:spacing w:after="0" w:line="235" w:lineRule="auto"/>
        <w:tabs>
          <w:tab w:leader="none" w:pos="94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(No. 1-10658), declared effective by the Commission on November 28, 1990.</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Registration Statement of which this Prospectus forms a part and prior to the termination of the offering of the Securities offered hereby shall be deemed to be incorporated by reference into this Prospectus and to be a part of this Prospectus from the date of filing thereof.</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statement contained in a document incorporated or deemed to be incorporated by reference herein shall be deemed to be modified or superseded for purposes of the Registration Statement or this Prospectus to the extent that a statement contained herein, in a Prospectus Supplement or in any other document subsequently filed with the Commission which also is or is deemed to be incorporated by reference herein modifies or supersedes such</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both"/>
        <w:ind w:right="2099"/>
        <w:spacing w:after="0" w:line="236" w:lineRule="auto"/>
        <w:rPr>
          <w:sz w:val="20"/>
          <w:szCs w:val="20"/>
          <w:color w:val="auto"/>
        </w:rPr>
      </w:pPr>
      <w:r>
        <w:rPr>
          <w:rFonts w:ascii="Courier New" w:cs="Courier New" w:eastAsia="Courier New" w:hAnsi="Courier New"/>
          <w:sz w:val="18"/>
          <w:szCs w:val="18"/>
          <w:color w:val="auto"/>
        </w:rPr>
        <w:t>statement. Any such statement so modified or superseded shall not be deemed, except as so modified or superseded, to constitute a part of the Registration Statement or this Prospectus.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will furnish without charge to each person, including any beneficial owner, to whom this Prospectus is delivered, on the written or oral request of such person, a copy of any or all of the documents incorporated by reference, other than exhibits to such documents. Requests should be directed to Roderic W. Lewis, Vice President of Legal Affairs, General Counsel and Corporate Secretary, Micron Technology, Inc., 8000 South Federal Way, P.O. Box 6, Boise, Idaho 83707-0006, telephone (208) 368-4000.</w:t>
      </w: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Micron Technology, Inc. ("Micron" or the "Company") designs, develops, manufactures and markets semiconductor memory products, primarily DRAM, and, through its approximately 64% owned subsidiary, Micron Electronics, Inc., the Company develops, markets, manufactures and supports PC systems. Micron was incorporated in Idaho in 1978 and reincorporated in Delaware in 1984. The Company's executive offices and principal manufacturing operations are located at 8000 South Federal Way, Boise, Idaho, 83707-0006 and its telephone number is (208) 368-4000.</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An investment in the Common Stock being offered hereby involves a high degree of risk. Prospective investors should carefully consider the following risk factors, in addition to the other information contained in or incorporated by reference into this Prospectus, before purchasing the Common Stock offered hereby. This Prospectus contains or incorporates by reference forward-looking statements that involve risk and uncertainties made by or on behalf of the Company. The actual results of the Company may differ materially from the results discussed in the forward-looking statements. Factors that might cause such a difference include, but are not limited to, those discussed in "Risk Factors" as well as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CERTAIN FACTORS</w:t>
      </w:r>
    </w:p>
    <w:p>
      <w:pPr>
        <w:spacing w:after="0" w:line="207" w:lineRule="exact"/>
        <w:rPr>
          <w:sz w:val="20"/>
          <w:szCs w:val="20"/>
          <w:color w:val="auto"/>
        </w:rPr>
      </w:pPr>
    </w:p>
    <w:p>
      <w:pPr>
        <w:ind w:right="1779" w:firstLine="211"/>
        <w:spacing w:after="0" w:line="270" w:lineRule="auto"/>
        <w:rPr>
          <w:sz w:val="20"/>
          <w:szCs w:val="20"/>
          <w:color w:val="auto"/>
        </w:rPr>
      </w:pPr>
      <w:r>
        <w:rPr>
          <w:rFonts w:ascii="Courier New" w:cs="Courier New" w:eastAsia="Courier New" w:hAnsi="Courier New"/>
          <w:sz w:val="16"/>
          <w:szCs w:val="16"/>
          <w:color w:val="auto"/>
        </w:rPr>
        <w:t>The Company has entered into an acquisition agreement with Texas Instruments Incorporated ("TI") to purchase substantially all of TI's memory operations and assume certain related liabilities, but this transaction has not yet been consummated. The transaction is subject to several conditions, including satisfactory completion of due diligence and completion of appropriate agreements with various third parties. In particular, the Company and TI need to obtain the consent of the Italian government as well as each of the partners and bank syndicates to TECH Semiconductor Singapore Pte. Ltd. ("TECH") and KTI Semiconductor ("KTI"). The transaction is subject to customary regulatory approvals (including Hart-Scott-Rodino and European antitrust reviews). There can be no assurance that the conditions required to effect the transition will be met and that the transaction will ever be consummated.</w:t>
      </w:r>
    </w:p>
    <w:p>
      <w:pPr>
        <w:spacing w:after="0" w:line="391"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integration and successful operation of the pending business to be acquired is dependent upon a number of factors, including, but not limited to: the Company's ability to transfer its product and process technology into the acquired facilities in a timely and cost-effective manner; the availability of sufficient funds to upgrade certain equipment at the facilities, particularly should the actual cost exceed the Company's current estimate; the ability of TECH and KTI to restructure each of their existing financing arrangements and secure adequate additional financing to provide equipped facilities capable of utilizing Micron's manufacturing processes; the Company's receipt of adequate assistance, service and support from TI during the transition period following consummation of the transaction; the Company's ability to effectively manage global semiconductor manufacturing operations and distribution channels and expand its sales and marketing programs; the Company's ability to retain key employees of the acquired operations; the Company's success in transitioning the key business relationships from TI's memory operations to the Company; the Company's ability to implement and/or integrate information systems capable of handling the expanded operations, including year 2000 compliance; and the Company's ability to successfully integrate differing management structures, all of which require significant management time and resources. In addition, the long-term successful operation of the pending business to be acquired is dependent upon the market for the Company's semiconductor memory products and the Company's long-term ability to reduce manufacturing costs at a rate commensurate with the decline in average selling prices for such products.</w:t>
      </w:r>
    </w:p>
    <w:p>
      <w:pPr>
        <w:spacing w:after="0" w:line="211"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If consummated, it is expected that the pending acquisition will substantially increase the Company's share of the worldwide DRAM market, and as a result the Company would become even more sensitive to fluctuations in pricing for semiconductor memory products. Many customers prefer multiple sources of supply for semiconductor memory products, therefore the Company may not retain all of TI's semiconductor memory market as some of TI's customers are currently customers of the Company. It may become difficult to increase the Company's customer base to a level required to sell the expected increase in production of semiconductor memory products as a result of the transfer of its product and process technology into the TI semiconductor memory production facilities. If the Company is successful in the transfer of its product and process technology into the acquired production facilities the amount of worldwide semiconductor memory capacity could increase, resulting in further downward pricing pressure on the Company's semiconductor memory products.</w:t>
      </w:r>
    </w:p>
    <w:p>
      <w:pPr>
        <w:spacing w:after="0" w:line="208" w:lineRule="exact"/>
        <w:rPr>
          <w:sz w:val="20"/>
          <w:szCs w:val="20"/>
          <w:color w:val="auto"/>
        </w:rPr>
      </w:pPr>
    </w:p>
    <w:p>
      <w:pPr>
        <w:ind w:right="1779" w:firstLine="211"/>
        <w:spacing w:after="0" w:line="269" w:lineRule="auto"/>
        <w:rPr>
          <w:sz w:val="20"/>
          <w:szCs w:val="20"/>
          <w:color w:val="auto"/>
        </w:rPr>
      </w:pPr>
      <w:r>
        <w:rPr>
          <w:rFonts w:ascii="Courier New" w:cs="Courier New" w:eastAsia="Courier New" w:hAnsi="Courier New"/>
          <w:sz w:val="16"/>
          <w:szCs w:val="16"/>
          <w:color w:val="auto"/>
        </w:rPr>
        <w:t>The pending acquisition is expected to have a significant effect on the Company's future results of operations and cash flows, including, but not limited to: a considerable negative impact on gross margin in the near term due in part to significantly higher per unit manufacturing costs at the acquired facilities; costs related to the assimilation of the acquired operations; increased interest expense associated with the $740 million principal amount of convertible subordinated notes ("Convertible Notes") and $210 million principal amount of subordinated notes ("Subordinated Notes") to be issued in connection with the TI acquisition and the Italian debt to be assumed in the transaction; an increase in capital spending relating to the newly acquired facilities; and the potential for further downward pressure on the average selling prices the Company receives on its semiconductor memory products. The Company will account for the pending acquisition as a purchase, which could result in a write-off related to in-process research and development at the time of closing of the acquisition and the creation of intangible assets that could result in significant future amortization expense.</w:t>
      </w:r>
    </w:p>
    <w:p>
      <w:pPr>
        <w:spacing w:after="0" w:line="39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frequent product introductions and enhancements, difficult product transitions, relatively short product life cycles, and volatile market</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0" w:gutter="0" w:footer="0" w:header="0"/>
        </w:sectPr>
      </w:pPr>
    </w:p>
    <w:bookmarkStart w:id="4" w:name="page5"/>
    <w:bookmarkEnd w:id="4"/>
    <w:p>
      <w:pPr>
        <w:ind w:right="1779"/>
        <w:spacing w:after="0" w:line="270" w:lineRule="auto"/>
        <w:rPr>
          <w:sz w:val="20"/>
          <w:szCs w:val="20"/>
          <w:color w:val="auto"/>
        </w:rPr>
      </w:pPr>
      <w:r>
        <w:rPr>
          <w:rFonts w:ascii="Courier New" w:cs="Courier New" w:eastAsia="Courier New" w:hAnsi="Courier New"/>
          <w:sz w:val="16"/>
          <w:szCs w:val="16"/>
          <w:color w:val="auto"/>
        </w:rPr>
        <w:t>conditions. These characteristics historically have made the semiconductor industry highly cyclical, particularly in the market for DRAMs, which are the Company's primary semiconductor memory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 as evidenced by the 75% decline in average selling prices for the Company's semiconductor memory products for 1997 and the sequential 25%, 26% and 30% declines in average selling prices in the first, second and third quarters of 1998 as compared to the preceding quarters.</w:t>
      </w:r>
    </w:p>
    <w:p>
      <w:pPr>
        <w:spacing w:after="0" w:line="189"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selling prices for the Company's semiconductor memory products fluctuate significantly with real and perceived changes in the balance of supply and demand for these commodity products. Growth in worldwide supply has outpaced growth in worldwide demand in recent periods, resulting in a significant decrease in average selling prices for the Company's semiconductor memory products. For most of fiscal 1997 the rate at which the Company was able to decrease per unit manufacturing costs exceeded the rate of decline in average selling prices, due mainly to a transition to a higher density product. However, in the fourth quarter of 1997 and the first nine months of 1998 the Company was unable to decrease per unit manufacturing costs at a rate commensurate with the decline in average selling prices. In the event that average selling prices continue to decline at a faster rate than that at which the Company is able to decrease per unit manufacturing costs, the Company could be materially adversely affected in its operations, cash flows and financial condition. The amount of capacity to be placed into production and future yield improvements by the Company and its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210"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In the event that average selling prices continue to decline at a faster rate than that at which the Company is able to decrease per unit manufacturing costs, the Company would likely be required to make changes in its operations, including but not limited to, reduction of the amount or changes in the timing of its capital expenditures, renegotiation of existing debt agreements, reduction of production and workforce levels, reduction of research and development, or changes in the products produced.</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Worldwide semiconductor pricing can be and has been influenced by currency fluctuations. In the last twelve months the Korean Won, the New Taiwan Dollar and the Japanese Yen were devalued significantly, dropping approximately 55%, 24% and 21%, respectively, compared to the U.S. dollar. The Company believes the Asian economic crisis, particularly in Korea, has prompted Asian competitors to price DRAM products significantly lower in an attempt to increase exports and realize U.S. dollars to service their near term debts. The Company believes these currency devaluations may have a significant adverse impact on DRAM pricing if the Company's Asian competitors effectively offer products at significantly lower prices as a result of their respective currency devaluations. While the Company cannot predict the overall impact of the Asian currency devaluations, the Company's products may be subject to further downward pricing pressure. If average selling prices for semiconductor memory products continue to decline, the Company's results of operations and cash flow will continue to be adversely affected.</w:t>
      </w:r>
    </w:p>
    <w:p>
      <w:pPr>
        <w:spacing w:after="0" w:line="387" w:lineRule="exact"/>
        <w:rPr>
          <w:sz w:val="20"/>
          <w:szCs w:val="20"/>
          <w:color w:val="auto"/>
        </w:rPr>
      </w:pPr>
    </w:p>
    <w:p>
      <w:pPr>
        <w:ind w:right="1779" w:firstLine="211"/>
        <w:spacing w:after="0" w:line="270" w:lineRule="auto"/>
        <w:rPr>
          <w:sz w:val="20"/>
          <w:szCs w:val="20"/>
          <w:color w:val="auto"/>
        </w:rPr>
      </w:pPr>
      <w:r>
        <w:rPr>
          <w:rFonts w:ascii="Courier New" w:cs="Courier New" w:eastAsia="Courier New" w:hAnsi="Courier New"/>
          <w:sz w:val="16"/>
          <w:szCs w:val="16"/>
          <w:color w:val="auto"/>
        </w:rPr>
        <w:t>Approximately 68% of the Company's sales of semiconductor memory products during the third quarter of 1998 were directly into the PC or peripheral markets. DRAMs are the most widely used semiconductor memory component in most PC systems. Should the rate of growth of sales of PC systems or the rate of growth in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 In recent periods the PC industry has seen a shift in demand towards sub-$1000 PCs. While the Company cannot predict with any degree of accuracy the future impact on the PC and semiconductor industry of this shift, possible effects include, but are not limited to, further downward pricing pressure on PC systems and further downward pricing pressure on semiconductor memory products.</w:t>
      </w:r>
    </w:p>
    <w:p>
      <w:pPr>
        <w:spacing w:after="0" w:line="38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The Company's operating results are significantly impacted by the operating results of its consolidated subsidiaries, particularly Micron Electronics, Inc. ("MEI"). MEI's past operating results have been, and its future operating results may be, subject to seasonality and other fluctuations, on a quarterly and an annual basis, as a result of a wide variety of factors, including, but</w:t>
      </w:r>
    </w:p>
    <w:p>
      <w:pPr>
        <w:sectPr>
          <w:pgSz w:w="11900" w:h="16838" w:orient="portrait"/>
          <w:cols w:equalWidth="0" w:num="1">
            <w:col w:w="10219"/>
          </w:cols>
          <w:pgMar w:left="240" w:top="723" w:right="1440" w:bottom="0" w:gutter="0" w:footer="0" w:header="0"/>
        </w:sectPr>
      </w:pPr>
    </w:p>
    <w:bookmarkStart w:id="5" w:name="page6"/>
    <w:bookmarkEnd w:id="5"/>
    <w:p>
      <w:pPr>
        <w:ind w:right="2419"/>
        <w:spacing w:after="0" w:line="235" w:lineRule="auto"/>
        <w:rPr>
          <w:sz w:val="20"/>
          <w:szCs w:val="20"/>
          <w:color w:val="auto"/>
        </w:rPr>
      </w:pPr>
      <w:r>
        <w:rPr>
          <w:rFonts w:ascii="Courier New" w:cs="Courier New" w:eastAsia="Courier New" w:hAnsi="Courier New"/>
          <w:sz w:val="18"/>
          <w:szCs w:val="18"/>
          <w:color w:val="auto"/>
        </w:rPr>
        <w:t>not limited to, industry competition, MEI's ability to accurately forecast demand and selling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prices for its PC products, fluctuating market pricing for</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PCs and semiconductor memory products, seasonal government purchasing cycles, inventory obsolescence, MEI's ability to effectively manage inventory levels, changes in product mix, manufacturing and production constraints, fluctuating component costs, the effects of product reviews and industry awards, critical component availability, seasonal cycles common in the PC industry and the timing of new product introductions by MEI and its competitors. Changing circumstances, including but not limited to, changes in the Company's core operations, uses of capital, strategic objectives and market conditions, could result in the Company changing its ownership interest in its subsidiaries.</w:t>
      </w:r>
    </w:p>
    <w:p>
      <w:pPr>
        <w:spacing w:after="0" w:line="214"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Company is engaged in ongoing efforts to enhance its semiconductor production processes to reduce per unit costs by reducing the die size of existing products. The result of such efforts has led to a significant increase in megabit production. There can be no assurance that the Company will be able to maintain or approximate increases in megabit production at a level approaching that experienced in recent periods or that the Company will not experience decreases in production volume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208"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The semiconductor memory industry is characterized by frequent product introductions and enhancements. The Company's transition to Synchronous DRAM ("SDRAM") products reached approximately 70% of DRAM wafer starts at the end of the third quarter of 1998. The Company's transition from the 16 Meg to the 64 Meg SDRAM as its primary memory product is expected to occur in the fourth quarter of calendar 1998. It is not unusual to encounter difficulties in manufacturing while transitioning to shrink versions of existing products or new generation products. Future gross margins will be adversely impacted if the Company is unable to efficiently transition to shrink versions of the 64 Meg SDRAM.</w:t>
      </w:r>
    </w:p>
    <w:p>
      <w:pPr>
        <w:spacing w:after="0" w:line="215"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DRAM manufacturers generally have substantial ongoing capital requirements to maintain or increase manufacturing capacity. Historically, the Company has reinvested substantially all cash flow from semiconductor memory operations in capacity expansion and enhancement programs. The Company's cash flows from operations are significantly affected by average selling prices and variable cost per megabit for the Company's semiconductor memory products. For the first nine months of 1998, the rate of decline in average selling prices for semiconductor memory products surpassed the rate at which the Company was able to decrease costs per megabit, and as a result the Company's cash flows have been significantly and adversely affected. If for any extended period of time average selling prices decline faster than the rate at which the Company is able to decrease per unit manufacturing costs, the Company may not be able to generate sufficient cash flows from operations to sustain operations. The Company anticipates that it will spend approximately $900 million in fiscal 1998 for purchases of equipment and construction and improvement of buildings at the Company's existing facilities. However, in the event current market conditions continue, the Company does not expect to have sufficient internal sources of liquidity to effect its current operational plan and will need to secure additional financing from external sources. The Company has a $500 million revolving credit agreement, which is available to finance its semiconductor operations. However, the agreement contains certain restrictive covenants, including a minimum fixed charge coverage ratio and a maximum operating losses covenant. On June 16, 1998, the Company amended the agreement to collateralize the facility with certain accounts receivable, inventory and equipment at its Boise facility and modify the maximum operating loss covenant for the third quarter of 1998. There can be no assurance that the Company will be able to meet the terms of the covenants and conditions in the agreement, borrow under the agreement, renegotiate a satisfactory new agreement, or replace the existing agreement with a satisfactory replacement, in which event the Company may not have access to the credit facility. Cash generated by, and credit lines available to, MEI are not anticipated to be available to finance other Micron operations. The Company is currently evaluating a number of financing alternatives. There can be no assurance that external sources of liquidity will be available to fund the Company's ongoing operations or the Company's capacity enhancement program. The failure to obtain financing would hinder the Company's ability to make continued investments in its capacity enhancement program, which could materially adversely affect the Company's business and results of operations.</w:t>
      </w:r>
    </w:p>
    <w:p>
      <w:pPr>
        <w:sectPr>
          <w:pgSz w:w="11900" w:h="16838" w:orient="portrait"/>
          <w:cols w:equalWidth="0" w:num="1">
            <w:col w:w="10219"/>
          </w:cols>
          <w:pgMar w:left="240" w:top="919" w:right="1440" w:bottom="0"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142" w:right="1440" w:bottom="1440" w:gutter="0" w:footer="0" w:header="0"/>
        </w:sectPr>
      </w:pPr>
    </w:p>
    <w:bookmarkStart w:id="8" w:name="page9"/>
    <w:bookmarkEnd w:id="8"/>
    <w:p>
      <w:pPr>
        <w:ind w:right="1779" w:firstLine="211"/>
        <w:spacing w:after="0" w:line="269" w:lineRule="auto"/>
        <w:rPr>
          <w:sz w:val="20"/>
          <w:szCs w:val="20"/>
          <w:color w:val="auto"/>
        </w:rPr>
      </w:pPr>
      <w:r>
        <w:rPr>
          <w:rFonts w:ascii="Courier New" w:cs="Courier New" w:eastAsia="Courier New" w:hAnsi="Courier New"/>
          <w:sz w:val="16"/>
          <w:szCs w:val="16"/>
          <w:color w:val="auto"/>
        </w:rPr>
        <w:t>Completion of the Company's semiconductor manufacturing facility in Lehi, Utah was suspended in February 1996, as a result of the decline in average selling prices for semiconductor memory products. As of May 28, 1998, the Company had invested approximately $700 million in the Lehi facility. The cost to complete the Lehi facility is estimated to approximate $1.6 billion. Completion of the Lehi production facilities is dependent upon market conditions. Test capacity previously expected to be provided by the Lehi facility in 1998 has been further delayed and the Company does not plan to complete the Lehi facility until market conditions warrant. Market conditions which the Company expects to evaluate include, but are not limited to, worldwide market supply and demand of semiconductor products and the Company's operations, cash flows and alternative uses of capital and production facilities. There can be no assurance that the Company will be able to fund the completion of the Lehi manufacturing facility. The failure by the Company to complete the facility would likely result in the Company being required to write off all or a portion of the facility's cost, which could have a material adverse effect on the Company's business and results of operations. In addition, in the event that market conditions improve, there can be no assurance that the Company can commence manufacturing at the Lehi facility in a timely, cost effective manner that enables it to take advantage of the improved market conditions.</w:t>
      </w:r>
    </w:p>
    <w:p>
      <w:pPr>
        <w:spacing w:after="0" w:line="200" w:lineRule="exact"/>
        <w:rPr>
          <w:sz w:val="20"/>
          <w:szCs w:val="20"/>
          <w:color w:val="auto"/>
        </w:rPr>
      </w:pPr>
    </w:p>
    <w:p>
      <w:pPr>
        <w:spacing w:after="0" w:line="39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Adverse determinations that the Company's manufacturing processes or products have infringed on the product or process rights held by others could subject the Company to significant liabilities to third parties or require material changes in production processes or products, any of which could have a material adverse effect on the Company's business, results of operations and financial condition.</w:t>
      </w:r>
    </w:p>
    <w:p>
      <w:pPr>
        <w:spacing w:after="0" w:line="210"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Company is dependent upon a limited number of key management and technical personnel. In addition, the Company's future success will depend in part upon its ability to attract and retain highly qualified personnel, particularly as the Company engages in worldwide operations and adds different product types to its product line, which will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Any loss of key personnel or the inability to hire or retain qualified personnel could have a material adverse effect on the Company's business and results of operations.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Company will not receive any of the proceeds from the sale of the Shares by the Selling Stockholder.</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STOCKHOLDER</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table sets forth the name of the Selling Stockholder,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of Common Stock that the Selling Stockholder beneficially owned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June 26, 1998, the number of shares of Common Stock beneficially owned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Selling Stockholder that may be offered for sale from time to time by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the number of shares of Common Stock to be beneficially owned by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Stockholder assuming the sale of all the Common Stock offered hereby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percentage of the outstanding shares of the Company's Common Stock to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 owned by the Selling Stockholder after completion of the offering.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as indicated, the Selling Stockholder has not held any position or office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had a material relationship with the Company or any of its affiliates within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past three years other than as a result of the ownership of the Company's</w:t>
      </w:r>
    </w:p>
    <w:p>
      <w:pPr>
        <w:spacing w:after="0" w:line="238" w:lineRule="auto"/>
        <w:rPr>
          <w:sz w:val="20"/>
          <w:szCs w:val="20"/>
          <w:color w:val="auto"/>
        </w:rPr>
      </w:pPr>
      <w:r>
        <w:rPr>
          <w:rFonts w:ascii="Courier New" w:cs="Courier New" w:eastAsia="Courier New" w:hAnsi="Courier New"/>
          <w:sz w:val="18"/>
          <w:szCs w:val="18"/>
          <w:color w:val="auto"/>
        </w:rPr>
        <w:t>Common Stock. The Company may amend or supplement this Prospectus from time to</w:t>
      </w:r>
    </w:p>
    <w:p>
      <w:pPr>
        <w:spacing w:after="0"/>
        <w:rPr>
          <w:sz w:val="20"/>
          <w:szCs w:val="20"/>
          <w:color w:val="auto"/>
        </w:rPr>
      </w:pPr>
      <w:r>
        <w:rPr>
          <w:rFonts w:ascii="Courier New" w:cs="Courier New" w:eastAsia="Courier New" w:hAnsi="Courier New"/>
          <w:sz w:val="18"/>
          <w:szCs w:val="18"/>
          <w:color w:val="auto"/>
        </w:rPr>
        <w:t>time to update the disclosure set forth herein.</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10" w:name="page11"/>
    <w:bookmarkEnd w:id="10"/>
    <w:p>
      <w:pPr>
        <w:spacing w:after="0" w:line="200" w:lineRule="exact"/>
        <w:rPr>
          <w:sz w:val="20"/>
          <w:szCs w:val="20"/>
          <w:color w:val="auto"/>
        </w:rPr>
      </w:pPr>
    </w:p>
    <w:p>
      <w:pPr>
        <w:spacing w:after="0" w:line="211" w:lineRule="exact"/>
        <w:rPr>
          <w:sz w:val="20"/>
          <w:szCs w:val="20"/>
          <w:color w:val="auto"/>
        </w:rPr>
      </w:pPr>
    </w:p>
    <w:p>
      <w:pPr>
        <w:ind w:left="540" w:right="220"/>
        <w:spacing w:after="0" w:line="290" w:lineRule="auto"/>
        <w:rPr>
          <w:sz w:val="20"/>
          <w:szCs w:val="20"/>
          <w:color w:val="auto"/>
        </w:rPr>
      </w:pPr>
      <w:r>
        <w:rPr>
          <w:rFonts w:ascii="Courier New" w:cs="Courier New" w:eastAsia="Courier New" w:hAnsi="Courier New"/>
          <w:sz w:val="16"/>
          <w:szCs w:val="16"/>
          <w:color w:val="auto"/>
        </w:rPr>
        <w:t>Selling Stockholder -------------------</w:t>
      </w:r>
    </w:p>
    <w:p>
      <w:pPr>
        <w:spacing w:after="0" w:line="20" w:lineRule="exact"/>
        <w:rPr>
          <w:sz w:val="20"/>
          <w:szCs w:val="20"/>
          <w:color w:val="auto"/>
        </w:rPr>
      </w:pPr>
      <w:r>
        <w:rPr>
          <w:sz w:val="20"/>
          <w:szCs w:val="20"/>
          <w:color w:val="auto"/>
        </w:rPr>
        <w:br w:type="column"/>
      </w:r>
    </w:p>
    <w:p>
      <w:pPr>
        <w:jc w:val="center"/>
        <w:spacing w:after="0" w:line="237" w:lineRule="auto"/>
        <w:rPr>
          <w:sz w:val="20"/>
          <w:szCs w:val="20"/>
          <w:color w:val="auto"/>
        </w:rPr>
      </w:pPr>
      <w:r>
        <w:rPr>
          <w:rFonts w:ascii="Courier New" w:cs="Courier New" w:eastAsia="Courier New" w:hAnsi="Courier New"/>
          <w:sz w:val="18"/>
          <w:szCs w:val="18"/>
          <w:color w:val="auto"/>
        </w:rPr>
        <w:t>Prior to the Offering --------------------- Shares Owned     Percentage ------------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Shares Offered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Following the Offering</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780" w:val="left"/>
        </w:tabs>
        <w:rPr>
          <w:sz w:val="20"/>
          <w:szCs w:val="20"/>
          <w:color w:val="auto"/>
        </w:rPr>
      </w:pPr>
      <w:r>
        <w:rPr>
          <w:rFonts w:ascii="Courier New" w:cs="Courier New" w:eastAsia="Courier New" w:hAnsi="Courier New"/>
          <w:sz w:val="18"/>
          <w:szCs w:val="18"/>
          <w:color w:val="auto"/>
        </w:rPr>
        <w:t>Shares Owned</w:t>
      </w:r>
      <w:r>
        <w:rPr>
          <w:sz w:val="20"/>
          <w:szCs w:val="20"/>
          <w:color w:val="auto"/>
        </w:rPr>
        <w:tab/>
      </w:r>
      <w:r>
        <w:rPr>
          <w:rFonts w:ascii="Courier New" w:cs="Courier New" w:eastAsia="Courier New" w:hAnsi="Courier New"/>
          <w:sz w:val="16"/>
          <w:szCs w:val="16"/>
          <w:color w:val="auto"/>
        </w:rPr>
        <w:t>Percentage</w:t>
      </w:r>
    </w:p>
    <w:p>
      <w:pPr>
        <w:spacing w:after="0" w:line="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4">
            <w:col w:w="2760" w:space="720"/>
            <w:col w:w="2840" w:space="320"/>
            <w:col w:w="1480" w:space="420"/>
            <w:col w:w="2840"/>
          </w:cols>
          <w:pgMar w:left="240" w:top="1122" w:right="279" w:bottom="0" w:gutter="0" w:footer="0" w:header="0"/>
        </w:sectPr>
      </w:pPr>
    </w:p>
    <w:p>
      <w:pPr>
        <w:spacing w:after="0"/>
        <w:rPr>
          <w:sz w:val="20"/>
          <w:szCs w:val="20"/>
          <w:color w:val="auto"/>
        </w:rPr>
      </w:pPr>
      <w:r>
        <w:rPr>
          <w:rFonts w:ascii="Courier New" w:cs="Courier New" w:eastAsia="Courier New" w:hAnsi="Courier New"/>
          <w:sz w:val="16"/>
          <w:szCs w:val="16"/>
          <w:color w:val="auto"/>
        </w:rPr>
        <w:t>Canadian Imperial Bank of</w:t>
      </w:r>
    </w:p>
    <w:p>
      <w:pPr>
        <w:sectPr>
          <w:pgSz w:w="11900" w:h="16838" w:orient="portrait"/>
          <w:cols w:equalWidth="0" w:num="1">
            <w:col w:w="11380"/>
          </w:cols>
          <w:pgMar w:left="240" w:top="1122" w:right="279" w:bottom="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Commerce (1)................</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7,600,000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6">
            <w:col w:w="3300" w:space="720"/>
            <w:col w:w="960" w:space="720"/>
            <w:col w:w="540" w:space="720"/>
            <w:col w:w="1380" w:space="720"/>
            <w:col w:w="1080" w:space="720"/>
            <w:col w:w="520"/>
          </w:cols>
          <w:pgMar w:left="240" w:top="1122" w:right="279"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w:t>
      </w:r>
    </w:p>
    <w:p>
      <w:pPr>
        <w:spacing w:after="0" w:line="207" w:lineRule="exact"/>
        <w:rPr>
          <w:sz w:val="20"/>
          <w:szCs w:val="20"/>
          <w:color w:val="auto"/>
        </w:rPr>
      </w:pPr>
    </w:p>
    <w:p>
      <w:pPr>
        <w:ind w:left="540" w:right="29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offering made by this Prospectus, the Shares being offered by this Prospectus were beneficially owned by J.R. Simplot Company and, in connection with such offering, are to be delivered to Canadian Imperial Bank of Commerce ("CIBC") as collateral for loans from CIBC. Including such Shares, J.R. Simplot Company beneficially owns an aggregate of 18,699,000 shares of Common Stock, constituting 8.8% of the shares of Common Stock outstanding on June 26, 1998. Mr. Don Simplot, a member of the Micron's Board of Directors, may also be deemed to be the beneficial owner of shares beneficially owned by J.R. Simplot Company. He is a shareholder, a director and the Corporate Vice President of J.R. Simplot Company and is a member of its Office of the Chairman.</w:t>
      </w:r>
    </w:p>
    <w:p>
      <w:pPr>
        <w:spacing w:after="0" w:line="216" w:lineRule="exact"/>
        <w:rPr>
          <w:sz w:val="20"/>
          <w:szCs w:val="20"/>
          <w:color w:val="auto"/>
        </w:rPr>
      </w:pPr>
    </w:p>
    <w:p>
      <w:pPr>
        <w:ind w:right="2940" w:firstLine="527"/>
        <w:spacing w:after="0" w:line="237" w:lineRule="auto"/>
        <w:rPr>
          <w:sz w:val="20"/>
          <w:szCs w:val="20"/>
          <w:color w:val="auto"/>
        </w:rPr>
      </w:pPr>
      <w:r>
        <w:rPr>
          <w:rFonts w:ascii="Courier New" w:cs="Courier New" w:eastAsia="Courier New" w:hAnsi="Courier New"/>
          <w:sz w:val="18"/>
          <w:szCs w:val="18"/>
          <w:color w:val="auto"/>
        </w:rPr>
        <w:t>The preceding table has been prepared based upon the information furnished to the Company by CIBC, except that (i) information regarding J.R. Simplot Company and Mr. Don Simplot has been furnished by J.R. Simplot Company and (ii) information regarding the outstanding shares of Common Stock has been furnished by Micron. Only a Selling Stockholder identified in the foregoing table may sell Shares pursuant to the Registration Statement of which this Prospectus forms a part. Information set forth in the foregoing table may change from time to time and any such changed information will be set forth in a Prospectus Supplement if and when necessary.</w:t>
      </w:r>
    </w:p>
    <w:p>
      <w:pPr>
        <w:spacing w:after="0" w:line="200" w:lineRule="exact"/>
        <w:rPr>
          <w:sz w:val="20"/>
          <w:szCs w:val="20"/>
          <w:color w:val="auto"/>
        </w:rPr>
      </w:pP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940" w:firstLine="527"/>
        <w:spacing w:after="0" w:line="238" w:lineRule="auto"/>
        <w:rPr>
          <w:sz w:val="20"/>
          <w:szCs w:val="20"/>
          <w:color w:val="auto"/>
        </w:rPr>
      </w:pPr>
      <w:r>
        <w:rPr>
          <w:rFonts w:ascii="Courier New" w:cs="Courier New" w:eastAsia="Courier New" w:hAnsi="Courier New"/>
          <w:sz w:val="18"/>
          <w:szCs w:val="18"/>
          <w:color w:val="auto"/>
        </w:rPr>
        <w:t>In June and July 1996, J.R. Simplot Company and an affiliate entered into derivative transactions with Canadian Imperial Bank of Commerce ("CIBC") relating to 7,600,000 of the shares of the Common Stock owned by J.R. Simplot Company and the affiliate. At that time, CIBC hedged its potential obligations pursuant to such transactions by engaging, directly or through its affiliates, in short sales of the Common Stock. Pursuant to a Revolving Loan Agreement and a Pledge Agreement, each dated July 24, 1998, (the "Loan Agreement" and "Pledge Agreement," respectively) CIBC has agreed to make revolving loans to J.R. Simplot Company in the aggregate amount of up to $200 million, secured by a pledge by J.R. Simplot Company of certain shares of Common Stock owned by it. Pursuant to the Pledge Agreement, CIBC is authorized to rehypothecate the shares of Common Stock deposited with it as collateral for the revolving loans. The shares of Common Stock so deposited are the Shares being offered by this Prospectus. CIBC intends promptly to deliver all of such 7,600,000 pledged Shares pursuant to this Prospectus to repay stock loans incurred in connection with existing short sale positions of CIBC and its affiliates in the Common Stock. J.R. Simplot Company and CIBC have advised the Company that J.R. Simplot Company will not realize any proceeds from the transfer of the Shares covered by this Prospectus to CIBC or from their application by CIBC to repay existing stock loans.</w:t>
      </w:r>
    </w:p>
    <w:p>
      <w:pPr>
        <w:spacing w:after="0" w:line="210" w:lineRule="exact"/>
        <w:rPr>
          <w:sz w:val="20"/>
          <w:szCs w:val="20"/>
          <w:color w:val="auto"/>
        </w:rPr>
      </w:pPr>
    </w:p>
    <w:p>
      <w:pPr>
        <w:ind w:right="2940" w:firstLine="527"/>
        <w:spacing w:after="0" w:line="271" w:lineRule="auto"/>
        <w:rPr>
          <w:sz w:val="20"/>
          <w:szCs w:val="20"/>
          <w:color w:val="auto"/>
        </w:rPr>
      </w:pPr>
      <w:r>
        <w:rPr>
          <w:rFonts w:ascii="Courier New" w:cs="Courier New" w:eastAsia="Courier New" w:hAnsi="Courier New"/>
          <w:sz w:val="16"/>
          <w:szCs w:val="16"/>
          <w:color w:val="auto"/>
        </w:rPr>
        <w:t>The Shares covered by this Prospectus may be offered and sold from time to time. In effecting the transactions contemplated by this Prospectus, CIBC and J.R. Simplot Company will act independently of the Company and, except with respect to the Loan Agreement and the Pledge Agreement, will act independently of each other. CIBC and J.R. Simplot Company have advised the Company that they will act independently of each other in making decisions with respect to the timing, manner and size of each sale pursuant to this Prospectus.</w:t>
      </w:r>
    </w:p>
    <w:p>
      <w:pPr>
        <w:spacing w:after="0" w:line="188" w:lineRule="exact"/>
        <w:rPr>
          <w:sz w:val="20"/>
          <w:szCs w:val="20"/>
          <w:color w:val="auto"/>
        </w:rPr>
      </w:pPr>
    </w:p>
    <w:p>
      <w:pPr>
        <w:ind w:right="3040" w:firstLine="527"/>
        <w:spacing w:after="0" w:line="237" w:lineRule="auto"/>
        <w:rPr>
          <w:sz w:val="20"/>
          <w:szCs w:val="20"/>
          <w:color w:val="auto"/>
        </w:rPr>
      </w:pPr>
      <w:r>
        <w:rPr>
          <w:rFonts w:ascii="Courier New" w:cs="Courier New" w:eastAsia="Courier New" w:hAnsi="Courier New"/>
          <w:sz w:val="18"/>
          <w:szCs w:val="18"/>
          <w:color w:val="auto"/>
        </w:rPr>
        <w:t>In effecting sales of the Shares, CIBC may arrange for brokers, dealers or agents to participate. Brokers, dealers or agents may receive commissions, discounts or concessions from CIBC in amounts to be negotiated prior to the sale. Such brokers, dealers or agents and any other participating brokers, dealers or agents may be deemed to be "underwriters" within the meaning of the Securities Act in connection with such sales, and any such commissions, discounts or concessions may be deemed to be underwriting discounts or commissions under the Securities Act.</w:t>
      </w:r>
    </w:p>
    <w:p>
      <w:pPr>
        <w:spacing w:after="0" w:line="212" w:lineRule="exact"/>
        <w:rPr>
          <w:sz w:val="20"/>
          <w:szCs w:val="20"/>
          <w:color w:val="auto"/>
        </w:rPr>
      </w:pPr>
    </w:p>
    <w:p>
      <w:pPr>
        <w:ind w:right="3040" w:firstLine="527"/>
        <w:spacing w:after="0" w:line="279" w:lineRule="auto"/>
        <w:rPr>
          <w:sz w:val="20"/>
          <w:szCs w:val="20"/>
          <w:color w:val="auto"/>
        </w:rPr>
      </w:pPr>
      <w:r>
        <w:rPr>
          <w:rFonts w:ascii="Courier New" w:cs="Courier New" w:eastAsia="Courier New" w:hAnsi="Courier New"/>
          <w:sz w:val="16"/>
          <w:szCs w:val="16"/>
          <w:color w:val="auto"/>
        </w:rPr>
        <w:t>The Company has advised J.R. Simplot Company and CIBC that the anti-manipulation rules of Regulation M under the Exchange Act may apply to sales of Shares in the market and to the activities of J.R. Simplot Company, CIBC and</w:t>
      </w:r>
    </w:p>
    <w:p>
      <w:pPr>
        <w:sectPr>
          <w:pgSz w:w="11900" w:h="16838" w:orient="portrait"/>
          <w:cols w:equalWidth="0" w:num="1">
            <w:col w:w="11380"/>
          </w:cols>
          <w:pgMar w:left="240" w:top="1122" w:right="279" w:bottom="0" w:gutter="0" w:footer="0" w:header="0"/>
          <w:type w:val="continuous"/>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their respective affiliates. In addition, the Company will make copies of this Prospectus available to CIBC and has informed CIBC of the need for delivery of copies of this Prospectus to purchasers at or prior to the time of any sale of the Shares offered hereby.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At the time a particular offer of Shares is made, if required, a Prospectus Supplement will be distributed that will set forth the number of Shares being offered and the terms of the offering.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42" w:right="1440" w:bottom="1440" w:gutter="0" w:footer="0" w:header="0"/>
        </w:sectPr>
      </w:pPr>
    </w:p>
    <w:bookmarkStart w:id="12" w:name="page13"/>
    <w:bookmarkEnd w:id="12"/>
    <w:p>
      <w:pPr>
        <w:ind w:right="2099" w:firstLine="527"/>
        <w:spacing w:after="0" w:line="235" w:lineRule="auto"/>
        <w:rPr>
          <w:sz w:val="20"/>
          <w:szCs w:val="20"/>
          <w:color w:val="auto"/>
        </w:rPr>
      </w:pPr>
      <w:r>
        <w:rPr>
          <w:rFonts w:ascii="Courier New" w:cs="Courier New" w:eastAsia="Courier New" w:hAnsi="Courier New"/>
          <w:sz w:val="18"/>
          <w:szCs w:val="18"/>
          <w:color w:val="auto"/>
        </w:rPr>
        <w:t>There can be no assurance that J.R. Simplot Company will pledge, or that CIBC will rehypothecate and deliver, all or any of the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validity of the Securities is being passed upon for the Company by Roderic W. Lewis, Esq., Vice President, Legal Affairs, General Counsel and Corporate Secretary, Micron Technology, Inc., 8000 South Federal Way, P.O. Box 6, Boise, Idaho 83707-0006, Telephone, (208) 368-4517.</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balance sheets of Micron Technology, Inc. and subsidiaries as of August 28, 1997 and August 29, 1996 and the consolidated statements of operations, shareholders' equity and cash flows for each of the three years in the period ended August 28, 1997 incorporated herein by reference to the Annual Report on Form 10-K of Micron Technology, Inc. for the year ended August 28, 1997 have been so incorporated in reliance upon the reports of PricewaterhouseCoopers LLP, independent accountants, given on the authority of that firm as experts in accounting and auditing.</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2019-12-12T07:16:29Z</dcterms:created>
  <dcterms:modified xsi:type="dcterms:W3CDTF">2019-12-12T07:16:29Z</dcterms:modified>
</cp:coreProperties>
</file>