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64770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1020" w:right="460" w:hanging="649"/>
        <w:spacing w:after="0" w:line="248" w:lineRule="auto"/>
        <w:tabs>
          <w:tab w:leader="none" w:pos="88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1, 2005</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1020" w:right="320" w:hanging="649"/>
        <w:spacing w:after="0" w:line="248" w:lineRule="auto"/>
        <w:tabs>
          <w:tab w:leader="none" w:pos="92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6" w:lineRule="exact"/>
        <w:rPr>
          <w:sz w:val="24"/>
          <w:szCs w:val="24"/>
          <w:color w:val="auto"/>
        </w:rPr>
      </w:pPr>
    </w:p>
    <w:tbl>
      <w:tblPr>
        <w:tblLayout w:type="fixed"/>
        <w:tblInd w:w="2780" w:type="dxa"/>
        <w:tblCellMar>
          <w:top w:w="0" w:type="dxa"/>
          <w:left w:w="0" w:type="dxa"/>
          <w:bottom w:w="0" w:type="dxa"/>
          <w:right w:w="0" w:type="dxa"/>
        </w:tblCellMar>
      </w:tblPr>
      <w:tr>
        <w:trPr>
          <w:trHeight w:val="220"/>
        </w:trPr>
        <w:tc>
          <w:tcPr>
            <w:tcW w:w="332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3320" w:type="dxa"/>
            <w:vAlign w:val="bottom"/>
          </w:tcPr>
          <w:p>
            <w:pPr>
              <w:jc w:val="center"/>
              <w:ind w:right="350"/>
              <w:spacing w:after="0"/>
              <w:rPr>
                <w:sz w:val="20"/>
                <w:szCs w:val="20"/>
                <w:color w:val="auto"/>
              </w:rPr>
            </w:pPr>
            <w:r>
              <w:rPr>
                <w:rFonts w:ascii="Arial" w:cs="Arial" w:eastAsia="Arial" w:hAnsi="Arial"/>
                <w:sz w:val="18"/>
                <w:szCs w:val="18"/>
                <w:color w:val="auto"/>
                <w:w w:val="92"/>
              </w:rPr>
              <w:t>(State or other jurisdiction of</w:t>
            </w:r>
          </w:p>
        </w:tc>
        <w:tc>
          <w:tcPr>
            <w:tcW w:w="1780" w:type="dxa"/>
            <w:vAlign w:val="bottom"/>
          </w:tcPr>
          <w:p>
            <w:pPr>
              <w:jc w:val="center"/>
              <w:ind w:left="370"/>
              <w:spacing w:after="0"/>
              <w:rPr>
                <w:sz w:val="20"/>
                <w:szCs w:val="20"/>
                <w:color w:val="auto"/>
              </w:rPr>
            </w:pPr>
            <w:r>
              <w:rPr>
                <w:rFonts w:ascii="Arial" w:cs="Arial" w:eastAsia="Arial" w:hAnsi="Arial"/>
                <w:sz w:val="18"/>
                <w:szCs w:val="18"/>
                <w:color w:val="auto"/>
                <w:w w:val="92"/>
              </w:rPr>
              <w:t>(IRS Employer</w:t>
            </w:r>
          </w:p>
        </w:tc>
      </w:tr>
      <w:tr>
        <w:trPr>
          <w:trHeight w:val="230"/>
        </w:trPr>
        <w:tc>
          <w:tcPr>
            <w:tcW w:w="3320" w:type="dxa"/>
            <w:vAlign w:val="bottom"/>
          </w:tcPr>
          <w:p>
            <w:pPr>
              <w:jc w:val="center"/>
              <w:ind w:right="350"/>
              <w:spacing w:after="0"/>
              <w:rPr>
                <w:sz w:val="20"/>
                <w:szCs w:val="20"/>
                <w:color w:val="auto"/>
              </w:rPr>
            </w:pPr>
            <w:r>
              <w:rPr>
                <w:rFonts w:ascii="Arial" w:cs="Arial" w:eastAsia="Arial" w:hAnsi="Arial"/>
                <w:sz w:val="18"/>
                <w:szCs w:val="18"/>
                <w:color w:val="auto"/>
                <w:w w:val="92"/>
              </w:rPr>
              <w:t>incorporation or organization)</w:t>
            </w:r>
          </w:p>
        </w:tc>
        <w:tc>
          <w:tcPr>
            <w:tcW w:w="1780" w:type="dxa"/>
            <w:vAlign w:val="bottom"/>
          </w:tcPr>
          <w:p>
            <w:pPr>
              <w:jc w:val="center"/>
              <w:ind w:left="370"/>
              <w:spacing w:after="0"/>
              <w:rPr>
                <w:sz w:val="20"/>
                <w:szCs w:val="20"/>
                <w:color w:val="auto"/>
              </w:rPr>
            </w:pPr>
            <w:r>
              <w:rPr>
                <w:rFonts w:ascii="Arial" w:cs="Arial" w:eastAsia="Arial" w:hAnsi="Arial"/>
                <w:sz w:val="18"/>
                <w:szCs w:val="18"/>
                <w:color w:val="auto"/>
                <w:w w:val="94"/>
              </w:rPr>
              <w:t>Identification No.)</w:t>
            </w:r>
          </w:p>
        </w:tc>
      </w:tr>
      <w:tr>
        <w:trPr>
          <w:trHeight w:val="242"/>
        </w:trPr>
        <w:tc>
          <w:tcPr>
            <w:tcW w:w="3320" w:type="dxa"/>
            <w:vAlign w:val="bottom"/>
          </w:tcPr>
          <w:p>
            <w:pPr>
              <w:jc w:val="center"/>
              <w:ind w:right="370"/>
              <w:spacing w:after="0"/>
              <w:rPr>
                <w:sz w:val="20"/>
                <w:szCs w:val="20"/>
                <w:color w:val="auto"/>
              </w:rPr>
            </w:pPr>
            <w:r>
              <w:rPr>
                <w:rFonts w:ascii="Arial" w:cs="Arial" w:eastAsia="Arial" w:hAnsi="Arial"/>
                <w:sz w:val="18"/>
                <w:szCs w:val="18"/>
                <w:b w:val="1"/>
                <w:bCs w:val="1"/>
                <w:color w:val="auto"/>
                <w:w w:val="90"/>
              </w:rPr>
              <w:t>8000 S. Federal Way, Boise, Idaho</w:t>
            </w:r>
          </w:p>
        </w:tc>
        <w:tc>
          <w:tcPr>
            <w:tcW w:w="178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332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 offices)</w:t>
            </w:r>
          </w:p>
        </w:tc>
        <w:tc>
          <w:tcPr>
            <w:tcW w:w="1780" w:type="dxa"/>
            <w:vAlign w:val="bottom"/>
          </w:tcPr>
          <w:p>
            <w:pPr>
              <w:jc w:val="center"/>
              <w:ind w:left="370"/>
              <w:spacing w:after="0"/>
              <w:rPr>
                <w:sz w:val="20"/>
                <w:szCs w:val="20"/>
                <w:color w:val="auto"/>
              </w:rPr>
            </w:pPr>
            <w:r>
              <w:rPr>
                <w:rFonts w:ascii="Arial" w:cs="Arial" w:eastAsia="Arial" w:hAnsi="Arial"/>
                <w:sz w:val="18"/>
                <w:szCs w:val="18"/>
                <w:color w:val="auto"/>
                <w:w w:val="94"/>
              </w:rPr>
              <w:t>(Zip Code)</w:t>
            </w:r>
          </w:p>
        </w:tc>
      </w:tr>
    </w:tbl>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(208) 368-4000</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700" w:type="dxa"/>
        <w:tblCellMar>
          <w:top w:w="0" w:type="dxa"/>
          <w:left w:w="0" w:type="dxa"/>
          <w:bottom w:w="0" w:type="dxa"/>
          <w:right w:w="0" w:type="dxa"/>
        </w:tblCellMar>
      </w:tblPr>
      <w:tr>
        <w:trPr>
          <w:trHeight w:val="162"/>
        </w:trPr>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 per share</w:t>
            </w:r>
          </w:p>
        </w:tc>
        <w:tc>
          <w:tcPr>
            <w:tcW w:w="120" w:type="dxa"/>
            <w:vAlign w:val="bottom"/>
          </w:tcPr>
          <w:p>
            <w:pPr>
              <w:spacing w:after="0"/>
              <w:rPr>
                <w:sz w:val="19"/>
                <w:szCs w:val="19"/>
                <w:color w:val="auto"/>
              </w:rPr>
            </w:pPr>
          </w:p>
        </w:tc>
        <w:tc>
          <w:tcPr>
            <w:tcW w:w="2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143" w:lineRule="exact"/>
        <w:rPr>
          <w:sz w:val="24"/>
          <w:szCs w:val="24"/>
          <w:color w:val="auto"/>
        </w:rPr>
      </w:pPr>
    </w:p>
    <w:p>
      <w:pPr>
        <w:ind w:right="100" w:firstLine="360"/>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 w:lineRule="exact"/>
        <w:rPr>
          <w:sz w:val="24"/>
          <w:szCs w:val="24"/>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6" w:lineRule="exact"/>
        <w:rPr>
          <w:sz w:val="24"/>
          <w:szCs w:val="24"/>
          <w:color w:val="auto"/>
        </w:rPr>
      </w:pPr>
    </w:p>
    <w:p>
      <w:pPr>
        <w:ind w:left="360" w:right="1760"/>
        <w:spacing w:after="0" w:line="325" w:lineRule="auto"/>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 Yes x No o Indicate by check mark whether the registrant is a shell company (as defined in Rule 12b-2 of the Exchange Act). Yes o No x</w:t>
      </w:r>
    </w:p>
    <w:p>
      <w:pPr>
        <w:spacing w:after="0" w:line="1" w:lineRule="exact"/>
        <w:rPr>
          <w:sz w:val="24"/>
          <w:szCs w:val="24"/>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The aggregate market value of the voting stock held by non-affiliates of the registrant, based upon the closing price of such stock on March 3, 2005, as reported by the New York Stock Exchange, was approximately $3.2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outstanding shares of the registrant’s common stock as of October 27, 2005, was 617,991,363.</w:t>
      </w:r>
    </w:p>
    <w:p>
      <w:pPr>
        <w:spacing w:after="0" w:line="32"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4" w:lineRule="exact"/>
        <w:rPr>
          <w:sz w:val="24"/>
          <w:szCs w:val="24"/>
          <w:color w:val="auto"/>
        </w:rPr>
      </w:pPr>
    </w:p>
    <w:p>
      <w:pPr>
        <w:ind w:right="280" w:firstLine="360"/>
        <w:spacing w:after="0" w:line="277" w:lineRule="auto"/>
        <w:rPr>
          <w:sz w:val="20"/>
          <w:szCs w:val="20"/>
          <w:color w:val="auto"/>
        </w:rPr>
      </w:pPr>
      <w:r>
        <w:rPr>
          <w:rFonts w:ascii="Arial" w:cs="Arial" w:eastAsia="Arial" w:hAnsi="Arial"/>
          <w:sz w:val="18"/>
          <w:szCs w:val="18"/>
          <w:color w:val="auto"/>
        </w:rPr>
        <w:t>Portions of the Proxy Statement for registrant’s 2005 Annual Meeting of Shareholders to be held on December 6, 2005,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278130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4"/>
          <w:szCs w:val="24"/>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the Company’s expectation regarding sales of DDR2 products in 2006, growth in sales of the Company’s PSRAM and Mobile SDRAM products in 2006, significant growth in the markets for NAND Flash memory in future periods, and CMOS image sensors and the introduction of new NAND Flash and CMOS image sensor products in 2006; and in “Manufacturing” regarding the Company’s expectation to transition to 95nm and lower line-width process technology in 2006. The Company’s actual results could differ materially from the Company’s historical results and those discussed in the forward-looking statements. Factors that could cause actual results to differ materially include, but are not limited to, those identified in “Item 7. Management’s Discussion and Analysis of Financial Condition and Results of Operations – Certain Factors.” All period references are to the Company’s fiscal periods unless otherwise indicated.</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4"/>
          <w:szCs w:val="24"/>
          <w:color w:val="auto"/>
        </w:rPr>
      </w:pPr>
    </w:p>
    <w:p>
      <w:pPr>
        <w:ind w:right="100" w:firstLine="324"/>
        <w:spacing w:after="0" w:line="302" w:lineRule="auto"/>
        <w:rPr>
          <w:sz w:val="20"/>
          <w:szCs w:val="20"/>
          <w:color w:val="auto"/>
        </w:rPr>
      </w:pPr>
      <w:r>
        <w:rPr>
          <w:rFonts w:ascii="Arial" w:cs="Arial" w:eastAsia="Arial" w:hAnsi="Arial"/>
          <w:sz w:val="16"/>
          <w:szCs w:val="16"/>
          <w:color w:val="auto"/>
        </w:rPr>
        <w:t>Micron Technology, Inc., and its subsidiaries are hereinafter referred to collectively as the “Company.” Micron Technology, Inc.,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w:t>
      </w:r>
    </w:p>
    <w:p>
      <w:pPr>
        <w:sectPr>
          <w:pgSz w:w="11900" w:h="16931" w:orient="portrait"/>
          <w:cols w:equalWidth="0" w:num="1">
            <w:col w:w="11400"/>
          </w:cols>
          <w:pgMar w:left="240" w:top="328" w:right="259" w:bottom="0" w:gutter="0" w:footer="0" w:header="0"/>
        </w:sectPr>
      </w:pPr>
    </w:p>
    <w:bookmarkStart w:id="1" w:name="page2"/>
    <w:bookmarkEnd w:id="1"/>
    <w:p>
      <w:pPr>
        <w:ind w:right="120"/>
        <w:spacing w:after="0" w:line="255" w:lineRule="auto"/>
        <w:rPr>
          <w:sz w:val="20"/>
          <w:szCs w:val="20"/>
          <w:color w:val="auto"/>
        </w:rPr>
      </w:pPr>
      <w:r>
        <w:rPr>
          <w:rFonts w:ascii="Arial" w:cs="Arial" w:eastAsia="Arial" w:hAnsi="Arial"/>
          <w:sz w:val="18"/>
          <w:szCs w:val="18"/>
          <w:color w:val="auto"/>
        </w:rPr>
        <w:t>Company’s website as soon as reasonably practicable after they are electronically filed or furnished with the Securities and Exchange Commission. The Company’s Corporate Governance Guidelines, Governance and Compensation Committee Charter, Audit Committee Charter and Code of Business Conduct and Ethics are also available on the Company’s website. Any amendments or waivers of the Company’s Code of Business Conduct and Ethics will also be posted on the Company’s website at www.micron.com within four business days of the amendment or waiver. Copies of these documents are available to shareholders upon request. Information contained or referenced on the Company’s website is not incorporated by reference and does not form a part of this Annual Report on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 is an industry leading, global manufacturer and marketer of semiconductor devices, principally DRAM and NAND Flash memory, and CMOS image sensors. Our products are key components used in a broad array of electronic applications including personal computers, workstations, network servers, mobile phones, flash memory cards, USB storage devices, digital still cameras, MP3 players and other consumer electronics products. The Company’s customers are original equipment manufacturers located around the world.</w:t>
      </w:r>
    </w:p>
    <w:p>
      <w:pPr>
        <w:spacing w:after="0" w:line="187"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The Company’s products are offered in a wide variety of package and configuration options, architectures, and performance characteristics tailored to meet application and customer needs. Individual devices take advantage of the Company’s advanced silicon processing technology and manufacturing expertise. The Company continually introduces new generations of products that offer lower costs per unit and improved performance characteristics.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b w:val="1"/>
          <w:bCs w:val="1"/>
          <w:i w:val="1"/>
          <w:iCs w:val="1"/>
          <w:color w:val="auto"/>
        </w:rPr>
        <w:t xml:space="preserve">Dynamic Random Access Memory (“DRAM”): </w:t>
      </w:r>
      <w:r>
        <w:rPr>
          <w:rFonts w:ascii="Arial" w:cs="Arial" w:eastAsia="Arial" w:hAnsi="Arial"/>
          <w:sz w:val="16"/>
          <w:szCs w:val="16"/>
          <w:color w:val="auto"/>
        </w:rPr>
        <w:t>DRAM products are high-density, low-cost-per-bit, random access memory devices that provide high-speed data storage and retrieval. DRAM products were 87%, 92% and 96% of the Company’s net sales in 2005, 2004 and 2003, respectively. The Company offers DRAM products with a variety of performance, pricing and other characteristics. Historically, most of the Company’s DRAM sales have been from standardized, high-density, high-volume products sold for use as main memory in computers. With the development, introduction and acceptance of new memory architectures, computer main memory has transitioned in recent years from synchronous DRAM (“SDRAM”) to Double Data Rate Synchronous DRAM (“DDR”) and DDR2. In 2005, the majority of the Company’s DRAM revenue came from sales of DDR and DDR2 products for use in computer main memory. In 2005, the Company experienced a significant increase in revenue from sales of specialty memory products (such as pseudo-static RAM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(“PSRAM”) and Mobile SDRAM) that are generally targeted to applications with specific performance characteristics such as low power, low latency, and high mobility. The Company expects sales of these products to continue to increase in 2006.</w:t>
      </w:r>
    </w:p>
    <w:p>
      <w:pPr>
        <w:spacing w:after="0" w:line="166" w:lineRule="exact"/>
        <w:rPr>
          <w:sz w:val="20"/>
          <w:szCs w:val="20"/>
          <w:color w:val="auto"/>
        </w:rPr>
      </w:pPr>
    </w:p>
    <w:p>
      <w:pPr>
        <w:ind w:left="660" w:right="100" w:firstLine="324"/>
        <w:spacing w:after="0" w:line="258" w:lineRule="auto"/>
        <w:rPr>
          <w:sz w:val="20"/>
          <w:szCs w:val="20"/>
          <w:color w:val="auto"/>
        </w:rPr>
      </w:pPr>
      <w:r>
        <w:rPr>
          <w:rFonts w:ascii="Arial" w:cs="Arial" w:eastAsia="Arial" w:hAnsi="Arial"/>
          <w:sz w:val="18"/>
          <w:szCs w:val="18"/>
          <w:b w:val="1"/>
          <w:bCs w:val="1"/>
          <w:color w:val="auto"/>
        </w:rPr>
        <w:t xml:space="preserve">DDR and DDR2: </w:t>
      </w:r>
      <w:r>
        <w:rPr>
          <w:rFonts w:ascii="Arial" w:cs="Arial" w:eastAsia="Arial" w:hAnsi="Arial"/>
          <w:sz w:val="18"/>
          <w:szCs w:val="18"/>
          <w:color w:val="auto"/>
        </w:rPr>
        <w:t>DDR and DDR2 are standardized, high-volume, DRAM products that are sold primarily for use as main system memory in</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computers. DDR and DDR2 products offer high speed and high bandwidth at a relatively low cost compared to other semiconductor memory products. DDR products were 44%, 57% and 57% of the Company’s net sales in 2005, 2004 and 2003, respectively. DDR2 products were 14% the Company’s net sales in 2005 and were 20% of net sales in the fourth quarter of 2005. DDR2 products are expected to become the Company’s primary DRAM product in 2006.</w:t>
      </w:r>
    </w:p>
    <w:p>
      <w:pPr>
        <w:spacing w:after="0" w:line="188" w:lineRule="exact"/>
        <w:rPr>
          <w:sz w:val="20"/>
          <w:szCs w:val="20"/>
          <w:color w:val="auto"/>
        </w:rPr>
      </w:pPr>
    </w:p>
    <w:p>
      <w:pPr>
        <w:jc w:val="both"/>
        <w:ind w:left="660" w:right="100" w:firstLine="324"/>
        <w:spacing w:after="0" w:line="286" w:lineRule="auto"/>
        <w:rPr>
          <w:sz w:val="20"/>
          <w:szCs w:val="20"/>
          <w:color w:val="auto"/>
        </w:rPr>
      </w:pPr>
      <w:r>
        <w:rPr>
          <w:rFonts w:ascii="Arial" w:cs="Arial" w:eastAsia="Arial" w:hAnsi="Arial"/>
          <w:sz w:val="16"/>
          <w:szCs w:val="16"/>
          <w:color w:val="auto"/>
        </w:rPr>
        <w:t>In response to changes in the DRAM market, the Company has broadened its DDR and DDR2 product offerings in recent years. The Company offers DDR products in 128 Meg, 256 Meg, 512 Meg and 1 Gig densities. The Company also offers 256 Meg, 512 Meg and 1 Gig DDR2 products and has begun sampling 2 Gig DDR2. The Company expects that these densities will be necessary to meet customers’ demand in the future. In the fourth quarter of 2005, 512 Meg devices replaced 256 Meg density devices as the Company’s predominant density for DDR and DDR2 products.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offers its DDR and DDR2 products in multiple configurations, speeds and package types.</w:t>
      </w:r>
    </w:p>
    <w:p>
      <w:pPr>
        <w:spacing w:after="0" w:line="207" w:lineRule="exact"/>
        <w:rPr>
          <w:sz w:val="20"/>
          <w:szCs w:val="20"/>
          <w:color w:val="auto"/>
        </w:rPr>
      </w:pPr>
    </w:p>
    <w:p>
      <w:pPr>
        <w:ind w:left="660" w:right="20" w:firstLine="324"/>
        <w:spacing w:after="0" w:line="258" w:lineRule="auto"/>
        <w:rPr>
          <w:sz w:val="20"/>
          <w:szCs w:val="20"/>
          <w:color w:val="auto"/>
        </w:rPr>
      </w:pPr>
      <w:r>
        <w:rPr>
          <w:rFonts w:ascii="Arial" w:cs="Arial" w:eastAsia="Arial" w:hAnsi="Arial"/>
          <w:sz w:val="18"/>
          <w:szCs w:val="18"/>
          <w:b w:val="1"/>
          <w:bCs w:val="1"/>
          <w:color w:val="auto"/>
        </w:rPr>
        <w:t xml:space="preserve">SDRAM: </w:t>
      </w:r>
      <w:r>
        <w:rPr>
          <w:rFonts w:ascii="Arial" w:cs="Arial" w:eastAsia="Arial" w:hAnsi="Arial"/>
          <w:sz w:val="18"/>
          <w:szCs w:val="18"/>
          <w:color w:val="auto"/>
        </w:rPr>
        <w:t>In 2005, SDRAM was primarily used in networking devices, servers, consumer electronics, communications equipment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 peripherals as well as upgrades to legacy computers. Sales of SDRAM products were 20%, 31% and 37% of the Company’s net sales in 2005, 2004 and 2003, respectively. SDRAM sales have declined as personal computer manufacturers have transitioned to DDR and DDR2 products, the decline has been partially offset by increased usage of SDRAM products in other applications. The Company offers 64 Meg, 128 Meg, 256 Meg and 512 Meg SDRAM products.</w:t>
      </w:r>
    </w:p>
    <w:p>
      <w:pPr>
        <w:spacing w:after="0" w:line="184" w:lineRule="exact"/>
        <w:rPr>
          <w:sz w:val="20"/>
          <w:szCs w:val="20"/>
          <w:color w:val="auto"/>
        </w:rPr>
      </w:pPr>
    </w:p>
    <w:p>
      <w:pPr>
        <w:ind w:left="660" w:right="220" w:firstLine="324"/>
        <w:spacing w:after="0" w:line="303" w:lineRule="auto"/>
        <w:rPr>
          <w:sz w:val="20"/>
          <w:szCs w:val="20"/>
          <w:color w:val="auto"/>
        </w:rPr>
      </w:pPr>
      <w:r>
        <w:rPr>
          <w:rFonts w:ascii="Arial" w:cs="Arial" w:eastAsia="Arial" w:hAnsi="Arial"/>
          <w:sz w:val="16"/>
          <w:szCs w:val="16"/>
          <w:b w:val="1"/>
          <w:bCs w:val="1"/>
          <w:color w:val="auto"/>
        </w:rPr>
        <w:t xml:space="preserve">PSRAM: </w:t>
      </w:r>
      <w:r>
        <w:rPr>
          <w:rFonts w:ascii="Arial" w:cs="Arial" w:eastAsia="Arial" w:hAnsi="Arial"/>
          <w:sz w:val="16"/>
          <w:szCs w:val="16"/>
          <w:color w:val="auto"/>
        </w:rPr>
        <w:t>PSRAM products, marketed by the Company under the proprietary brand name CellularRAM™, are DRAM products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SRAM-like interface. PSRAM combines the minimal power consumption of SRAM with a much lower cost-per-bit to provide an economical alternative to SRAM. PSRAM products are used primarily in cellular phone applications. The Company offers PSRAM products in 16 Meg, 32 Meg, 64 Meg and 128 Meg densities. Sales of PSRAM products increased significantly in 2005 and were 7% of the Company’s net sales in 2005.</w:t>
      </w:r>
    </w:p>
    <w:p>
      <w:pPr>
        <w:spacing w:after="0" w:line="151" w:lineRule="exact"/>
        <w:rPr>
          <w:sz w:val="20"/>
          <w:szCs w:val="20"/>
          <w:color w:val="auto"/>
        </w:rPr>
      </w:pPr>
    </w:p>
    <w:p>
      <w:pPr>
        <w:ind w:left="660" w:firstLine="324"/>
        <w:spacing w:after="0" w:line="256" w:lineRule="auto"/>
        <w:rPr>
          <w:sz w:val="20"/>
          <w:szCs w:val="20"/>
          <w:color w:val="auto"/>
        </w:rPr>
      </w:pPr>
      <w:r>
        <w:rPr>
          <w:rFonts w:ascii="Arial" w:cs="Arial" w:eastAsia="Arial" w:hAnsi="Arial"/>
          <w:sz w:val="18"/>
          <w:szCs w:val="18"/>
          <w:b w:val="1"/>
          <w:bCs w:val="1"/>
          <w:color w:val="auto"/>
        </w:rPr>
        <w:t xml:space="preserve">Mobile DRAM: </w:t>
      </w:r>
      <w:r>
        <w:rPr>
          <w:rFonts w:ascii="Arial" w:cs="Arial" w:eastAsia="Arial" w:hAnsi="Arial"/>
          <w:sz w:val="18"/>
          <w:szCs w:val="18"/>
          <w:color w:val="auto"/>
        </w:rPr>
        <w:t>Mobile DRAM products are specialty DRAM memory devices designed for applications that demand minimal power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such as personal digital assistants (PDAs), smart phones, GPS devices, digital still cameras and other handheld electronic devices. Sales of Mobile DRAM products grew significantly to 2% of net sales in 2005 and are expected to continue to grow in 2006. The Company sells SDRAM and DDR Mobile memory products in 64 Meg, 128 Meg, 256 Meg and 512 Meg densities. The Company’s mobile DRAM products feature its proprietary Endur-IC™ technology, which the Company believes provides distinct advantages to its customers in terms of low power, high quality, high reliability, and overall robustness.</w:t>
      </w:r>
    </w:p>
    <w:p>
      <w:pPr>
        <w:spacing w:after="0" w:line="188" w:lineRule="exact"/>
        <w:rPr>
          <w:sz w:val="20"/>
          <w:szCs w:val="20"/>
          <w:color w:val="auto"/>
        </w:rPr>
      </w:pPr>
    </w:p>
    <w:p>
      <w:pPr>
        <w:ind w:left="660" w:right="440" w:firstLine="324"/>
        <w:spacing w:after="0" w:line="282" w:lineRule="auto"/>
        <w:rPr>
          <w:sz w:val="20"/>
          <w:szCs w:val="20"/>
          <w:color w:val="auto"/>
        </w:rPr>
      </w:pPr>
      <w:r>
        <w:rPr>
          <w:rFonts w:ascii="Arial" w:cs="Arial" w:eastAsia="Arial" w:hAnsi="Arial"/>
          <w:sz w:val="18"/>
          <w:szCs w:val="18"/>
          <w:b w:val="1"/>
          <w:bCs w:val="1"/>
          <w:color w:val="auto"/>
        </w:rPr>
        <w:t xml:space="preserve">Reduced Latency DRAM (“RLDRAM”): </w:t>
      </w:r>
      <w:r>
        <w:rPr>
          <w:rFonts w:ascii="Arial" w:cs="Arial" w:eastAsia="Arial" w:hAnsi="Arial"/>
          <w:sz w:val="18"/>
          <w:szCs w:val="18"/>
          <w:color w:val="auto"/>
        </w:rPr>
        <w:t>RLDRAM products are low-latency DRAM memory devices with high clock rates targeted at</w:t>
      </w:r>
      <w:r>
        <w:rPr>
          <w:rFonts w:ascii="Arial" w:cs="Arial" w:eastAsia="Arial" w:hAnsi="Arial"/>
          <w:sz w:val="18"/>
          <w:szCs w:val="18"/>
          <w:b w:val="1"/>
          <w:bCs w:val="1"/>
          <w:color w:val="auto"/>
        </w:rPr>
        <w:t xml:space="preserve"> </w:t>
      </w:r>
      <w:r>
        <w:rPr>
          <w:rFonts w:ascii="Arial" w:cs="Arial" w:eastAsia="Arial" w:hAnsi="Arial"/>
          <w:sz w:val="18"/>
          <w:szCs w:val="18"/>
          <w:color w:val="auto"/>
        </w:rPr>
        <w:t>network applications. The Company began shipping commercial volumes of RLDRAM products in 2005.</w:t>
      </w:r>
    </w:p>
    <w:p>
      <w:pPr>
        <w:spacing w:after="0" w:line="16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 xml:space="preserve">NAND Flash Memory: </w:t>
      </w:r>
      <w:r>
        <w:rPr>
          <w:rFonts w:ascii="Arial" w:cs="Arial" w:eastAsia="Arial" w:hAnsi="Arial"/>
          <w:sz w:val="17"/>
          <w:szCs w:val="17"/>
          <w:color w:val="auto"/>
        </w:rPr>
        <w:t>Flash memory products are electrically re-writeable, non-volatile semiconductor devices that retain memory content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is turned off. The Company’s Flash efforts are concentrated on NAND Flash (“NAND”) devices which use semiconductor technology similar to DRAM. NAND offers faster erase and write times, higher density, and lower cost per bit than NOR Flash, which is the primary competing Flash architecture. In addition, NAND has significantly longer cycle endurance making it ideal for mass-storage devices. The market for NAND products has grown rapidly and the Company expects it to continue to grow due to demand for removable and embedded storage devices. Removable storage devices such as USB and Flash memory cards are used with applications such as personal computers, digital still cameras, MP3 players and mobile phones. Embedded NAND-based storage devices are also beginning to be utilized in mobile phones and other personal and consumer applications.</w:t>
      </w:r>
    </w:p>
    <w:p>
      <w:pPr>
        <w:sectPr>
          <w:pgSz w:w="11900" w:h="16838" w:orient="portrait"/>
          <w:cols w:equalWidth="0" w:num="1">
            <w:col w:w="11420"/>
          </w:cols>
          <w:pgMar w:left="240" w:top="125" w:right="239" w:bottom="0" w:gutter="0" w:footer="0" w:header="0"/>
        </w:sectPr>
      </w:pPr>
    </w:p>
    <w:bookmarkStart w:id="2" w:name="page3"/>
    <w:bookmarkEnd w:id="2"/>
    <w:p>
      <w:pPr>
        <w:jc w:val="both"/>
        <w:ind w:right="100" w:firstLine="324"/>
        <w:spacing w:after="0" w:line="302" w:lineRule="auto"/>
        <w:rPr>
          <w:sz w:val="20"/>
          <w:szCs w:val="20"/>
          <w:color w:val="auto"/>
        </w:rPr>
      </w:pPr>
      <w:r>
        <w:rPr>
          <w:rFonts w:ascii="Arial" w:cs="Arial" w:eastAsia="Arial" w:hAnsi="Arial"/>
          <w:sz w:val="16"/>
          <w:szCs w:val="16"/>
          <w:color w:val="auto"/>
        </w:rPr>
        <w:t>NAND and DRAM share common manufacturing processes, enabling the Company to leverage its product and process technologies and manufacturing infrastructure across product lines. The Company’s NAND designs feature a small cell structure that allows for higher densities for demanding applications. In the second quarter of 2005, the Company began shipping its first NAND product, a 2 Gig device incorporating the Company’s 90nm process technology. NAND sales grew to 6% of the Company’s overall net sales in the fourth quarter of 2005. In 2006, the Company plans to introduce 1 Gig and 4 Gig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NAND products and begin manufacturing NAND products using 72nm process technology. The Company expects sales of NAND to continue to increase in 2006 as the Company allocates additional manufacturing resources to NAND production.</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Complementary Metal-Oxide Semiconductor (“CMOS”) Image Sensors: </w:t>
      </w:r>
      <w:r>
        <w:rPr>
          <w:rFonts w:ascii="Arial" w:cs="Arial" w:eastAsia="Arial" w:hAnsi="Arial"/>
          <w:sz w:val="16"/>
          <w:szCs w:val="16"/>
          <w:color w:val="auto"/>
        </w:rPr>
        <w:t>CMOS image sensors are semiconductor devices that capture and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images into pictures or video for a variety of consumer and industrial applications. The Company’s CMOS image sensors are used in products such as cellular phone cameras, digital still cameras, pill cameras for medical use, automotive and other emerging applications. The Company offers image sensors in a range of pixel resolutions from its VGA (video graphics array) products to its higher resolution 3.1 megapixel products. In September 2005, the Company introduced a 5 megapixel sensor designed for use in digital still cameras and cameral phones and a 3.1 megapixel designed specifically for camera phones. These products feature a leading-edge pixel size of 2.2 square microns, enabling a smaller form factor for the sensor. The Company expects to begin shipping commercial volumes of these products in 2006. Image sensors are sold either as individual components or combined with integrated circuitry to create complete camera system-on-a-chip (“SOC”) solutions. In 2005, the Company’s image sensors were primarily used in mobile applications.</w:t>
      </w:r>
    </w:p>
    <w:p>
      <w:pPr>
        <w:spacing w:after="0" w:line="16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Company’s CMOS image sensors incorporating its DigitalClarity™ technology have many advantages over other CMOS image sensors and charge-coupled device (“CCD”) sensors. The Company’s DigitalClarity™ technology features “active pixels” enabling better sensor performance that produces higher-quality images at faster frame rates. Unlike CCD sensors, which rely on specialized fabrication requiring dedicated, and costly manufacturing processes, CMOS image sensors can be manufactured using standardized semiconductor processes resulting in substantially lower costs. The Company’s low-leakage DRAM processes are particularly well-suited for the manufacture of CMOS image sensors. The Company’s CMOS image sensors consume substantially less power than CCD devices, a critical advantage in the battery-dependent portable device applications where most image sensors are used. By combining all camera functions on a single chip, from the capture of photons to the output of digital bits, CMOS image sensors reduce the part-count of a digital camera system, which in turn increases reliability, eases miniaturization, and enables on-chip programming of frame size, windowing, exposure, and other camera parameters. The Company’s CMOS image sensors are also capable of producing high-quality images in low-light conditions. The Company’s CMOS image sensors’ active-pixel design architecture enables them to achieve performance comparable to high-end CCD sensors and higher than competitor’s CMOS image sensors.</w:t>
      </w:r>
    </w:p>
    <w:p>
      <w:pPr>
        <w:spacing w:after="0" w:line="18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Company’s sales of CMOS image sensors for 2005 increased over 200% from 2004. In the fourth quarter of 2005, sales of CMOS image sensors were 9% of the Company’s net sales. The Company expects its sales of CMOS image sensors to continue to grow rapidly in 2006 due to strong demand and increases in the allocation of manufacturing capacity. The overall market for image sensors is expected to increase significantly over the next several years due to the growth forecasted for applications such as phone cameras and digital still cameras. Additionally, CMOS image sensors are expected to capture an increasing percentage of the overall image sensor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manufacturing facilities are located in the United States, Italy, Japan, Puerto Rico, Scotland and Singapore. The Company’s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18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Company’s process for manufacturing semiconductor products is complex, involving a number of precise steps, including wafer fabrication, assembly, burn-in and final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production processes, reducing die sizes and transitioning to higher density products. In 2005, the Company manufactured most of its products using its 110 nanometer (“nm”) line-width process technology and began transferring its manufacturing operations to 95nm line-width process technology. The Company expects to continue to transfer more of its manufacturing operation to 95nm and lower line-width process technology in 2006. In 2005 most of the Company’s DRAM products incorporated its 6F² Hypershrink™ array architecture technology, a design rule that incorporates a memory cell in 6 design features rather and the industry standard 8 design features, which enables production of approximately 20% more die per wafer.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defects which can lead to wafers being scrapped and individual circuits being nonfunctional. Success of the 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After fabrication, silicon wafers are separated into individual die. Functional die are sorted, connected to external leads and encapsulated in plastic packages. The Company assembles products in a variety of packages, including TSOP (thin small outline package), TQFP (thin quad flat package) and FBGA (fine pitch ball grid array). Each completed package is then inspected and tested. The Company also sells semiconductor products in an unpackaged or die form. 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ectPr>
          <w:pgSz w:w="11900" w:h="16838" w:orient="portrait"/>
          <w:cols w:equalWidth="0" w:num="1">
            <w:col w:w="11400"/>
          </w:cols>
          <w:pgMar w:left="240" w:top="125" w:right="259" w:bottom="0" w:gutter="0" w:footer="0" w:header="0"/>
        </w:sectPr>
      </w:pPr>
    </w:p>
    <w:bookmarkStart w:id="3" w:name="page4"/>
    <w:bookmarkEnd w:id="3"/>
    <w:p>
      <w:pPr>
        <w:jc w:val="both"/>
        <w:ind w:right="360" w:firstLine="324"/>
        <w:spacing w:after="0" w:line="259" w:lineRule="auto"/>
        <w:rPr>
          <w:sz w:val="20"/>
          <w:szCs w:val="20"/>
          <w:color w:val="auto"/>
        </w:rPr>
      </w:pPr>
      <w:r>
        <w:rPr>
          <w:rFonts w:ascii="Arial" w:cs="Arial" w:eastAsia="Arial" w:hAnsi="Arial"/>
          <w:sz w:val="18"/>
          <w:szCs w:val="18"/>
          <w:color w:val="auto"/>
        </w:rPr>
        <w:t>A significant portion of the Company’s memory products are assembled into memory modules for sale to customers. Memory modules consist of an array of memory components attached to printed circuit boards (“PCBs”) that insert directly into computer systems or other electronic devices. Memory components are attached to PCBs in a soldering process performed by screen printing machines and high speed automated pick-and-place machines. Completed modules are tested by custom equipment and visually inspected.</w:t>
      </w:r>
    </w:p>
    <w:p>
      <w:pPr>
        <w:spacing w:after="0" w:line="187"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2005, the Company significantly increased its 300mm wafer production. The Company manufactured 256 Meg and 512 Meg DDR devices on the Company’s 110nm process technology on 300mm wafers, and manufactured the industry’s first memory devices in production to utilize copper interconnects. In 2006, the Company plans to continue increasing its 300mm wafer manufacturing capacity.</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recent years the Company has produced an increasingly broad portfolio of products, which enhances the Company’s ability to allocate resources to its most profitable products but increases the complexity of the manufacturing process. Although new product lines such as NAND Flash, CMOS image sensors and specialty memory can be manufactured using processes that are very similar to the processes for the Company’s predominant DRAM products, frequent conversions to new products and the allocation of manufacturing capacity to more complex, smaller-volume parts can affect the Company’s cost efficiency. However, the Company’s ability to competitively manufacture many of these products on existing 200mm lines significantly extends the useful life of this equipment.</w:t>
      </w:r>
    </w:p>
    <w:p>
      <w:pPr>
        <w:spacing w:after="0" w:line="19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TECH Semiconductor Singapore Pte. Ltd. (“TECH”): </w:t>
      </w:r>
      <w:r>
        <w:rPr>
          <w:rFonts w:ascii="Arial" w:cs="Arial" w:eastAsia="Arial" w:hAnsi="Arial"/>
          <w:sz w:val="17"/>
          <w:szCs w:val="17"/>
          <w:color w:val="auto"/>
        </w:rPr>
        <w:t>TECH is a memory manufacturing joint venture in Singapore among Micron Technology,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TECH supplied approximately 25%, 30% and 30% of the total megabits of memory produced by the Company in 2005, 2004 and 2003, respectively. The Company generally purchases semiconductor memory products from TECH at prices determined quarterly, based on a discount from average selling prices realized by the Company for the preceding fiscal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29"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Company’s production processes require raw materials that meet exacting standards, including several that are customized for, or unique to, the Company.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molding compound 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products are sold into computing and consumer, networking and telecommunications, and imaging markets. Approximately 70% of the Company’s net sales for 2005 were to the computing market, including desktop PCs, notebooks, servers and workstations. Sales to both Dell Computer Corporation and Hewlett-Packard Company exceeded 10% of the Company’s net sales in 2005, 2004 and 2003, and aggregated 23%, 27% and 28% of the Company’s net sales in 2005, 2004 and 2003, respectively.</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markets its semiconductor products primarily through its own direct sales force. The Company maintains inventory at locations in close proximity to certain key customers to facilitate rapid delivery of product shipments. The Company’s products are also offered through independent sales representatives, distributors and Crucial Technology, the Company’s web-based customer direct sales division. The Company’s products are offered under the Micron, SpecTek and Crucial brand names, and under other private labels. The Company maintains sales offices in all of its primary markets around the world.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Segmentation of the memory market continues, with diverse memory needs being driven by the different requirements of personal computers, servers, mobile devices, and communications, consumer and other applications that demand specific memory solutions. Many of the Company’s customers require a thorough review or qualification of semiconductor products, which may take several months. As the Company further diversifies its product lines and reduces the die sizes of existing memory products, more products become subject to qualification which may delay volume introduction of specific devices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Volatile industry conditions make customers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w:t>
      </w:r>
    </w:p>
    <w:p>
      <w:pPr>
        <w:sectPr>
          <w:pgSz w:w="11900" w:h="16838" w:orient="portrait"/>
          <w:cols w:equalWidth="0" w:num="1">
            <w:col w:w="11420"/>
          </w:cols>
          <w:pgMar w:left="240" w:top="341" w:right="239" w:bottom="0" w:gutter="0" w:footer="0" w:header="0"/>
        </w:sectPr>
      </w:pPr>
    </w:p>
    <w:bookmarkStart w:id="4" w:name="page5"/>
    <w:bookmarkEnd w:id="4"/>
    <w:p>
      <w:pPr>
        <w:ind w:right="500"/>
        <w:spacing w:after="0" w:line="277" w:lineRule="auto"/>
        <w:rPr>
          <w:sz w:val="20"/>
          <w:szCs w:val="20"/>
          <w:color w:val="auto"/>
        </w:rPr>
      </w:pPr>
      <w:r>
        <w:rPr>
          <w:rFonts w:ascii="Arial" w:cs="Arial" w:eastAsia="Arial" w:hAnsi="Arial"/>
          <w:sz w:val="18"/>
          <w:szCs w:val="18"/>
          <w:color w:val="auto"/>
        </w:rPr>
        <w:t>limited warranty coverage and general legal principles may impose more extensive liability than that provided under the Company’s general terms and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faces intense competition in the semiconductor memory markets from a number of companies, including Elpida Memory, Inc., Hynix Semiconductor Inc., Infineon Technologies AG and Samsung Electronics Co., Ltd, SanDisk Corporation and Toshiba Corporation. Additionally, the Company faces competition from emerging companies in Taiwan and China who have announced plans to significantly expand the scale of their operations. The Company faces competition in the image sensor market from a number of suppliers of CMOS image sensors as well a large number of suppliers of CCD image sensors.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minimize mask levels in their product designs. These factors have significantly increased worldwide supply and put downward pressure on prices.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solutions. The Company has several product design centers around the world, the largest located at its corporate headquarters in Boise, Idaho. In addition, the Company has a facility at its Boise site to develop leading edge photolithography mask technology.</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the Company’s products, the Company typically begins to process wafers before completion of performance and reliability testing. The Company deems development of a product complete once the product has been thoroughly reviewed and tested for performance and reliability and is internally qualified for sale to customers. R&amp;D expenses can vary significantly depending on the timing of product qualification. Product development costs are recorded as R&amp;D expense. The Company’s R&amp;D expenses were $603.7 million, $754.9 million and $656.4 million in 2005, 2004 and 2003, respectively.</w:t>
      </w:r>
    </w:p>
    <w:p>
      <w:pPr>
        <w:spacing w:after="0" w:line="17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Company’s process technology R&amp;D efforts are focused primarily on development of 95nm, 78nm, 65nm and smaller DRAM and 90nm, 72nm and 50nm and smaller NAND Flash line-width process technologies, which are designed to facilitate the Company’s transition to next generation products. Additional R&amp;D efforts include process development to support the Company’s 300mm wafer manufacturing, NAND Flash memory, CMOS image sensors, specialty memory products (including PSRAM, mobile SDRAM and RLDRAM) and new memory manufacturing materials. Efforts toward the design and development of new products are concentrated on the Company’s 1 Gig and 2 Gig DDR, DDR2 and DDR3 DRAM products as well as high density and mobile NAND Flash memory, CMOS image sensors and specialty memory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Sales to customers outside the United States totaled $3.2 billion for 2005 and included $906.3 million in sales to Europe, $775.0 million in sales to China, $380.0 million in sales to Japan and $899.9 million in sales to the rest of the Asia Pacific region, excluding China and Japan. International sales totaled $2.6 billion for 2004 and $1.7 billion for 2003. As of September 1, 2005 the Company had net property, plant and equipment of $3.7 billion in the United States, $378.9 million in Japan, $358.6 million in Italy, $261.1 million in Singapore and $8.1 million in other countries.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September 1, 2005, the Company owned approximately 13,000 U.S. patents and 1,300 foreign patents. In addition, the Company has numerous U.S. and foreign patent applications pending. The Company’s patents have terms expiring through 2024.</w:t>
      </w:r>
    </w:p>
    <w:p>
      <w:pPr>
        <w:spacing w:after="0" w:line="170"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September 1, 2005, the Company had approximately 18,800 employees, including approximately 12,400 in the United States, 2,800 in Singapore, 1,800 in Italy, 1,200 in Japan and 300 in the United Kingdom.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Government regulations impose various environmental controls on raw materials and discharges, emissions and solid wastes from the Company’s manufacturing processes. In 2005, the Company’s wafer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w:t>
      </w:r>
    </w:p>
    <w:p>
      <w:pPr>
        <w:sectPr>
          <w:pgSz w:w="11900" w:h="16838" w:orient="portrait"/>
          <w:cols w:equalWidth="0" w:num="1">
            <w:col w:w="11360"/>
          </w:cols>
          <w:pgMar w:left="240" w:top="125" w:right="299" w:bottom="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t>Company has not experienced any materially adverse effects on its operations from environmental regulations, changes in the regulations could necessitate additional capital expenditures, modification of operations or other compliance 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the Registrant</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6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September 1, 2005, the following executive officers and directors of the Company were subject to the reporting requirements of Section 16(a) of the Securities Exchange Act of 1934, as amended.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40" w:type="dxa"/>
            <w:vAlign w:val="bottom"/>
          </w:tcPr>
          <w:p>
            <w:pPr>
              <w:spacing w:after="0"/>
              <w:rPr>
                <w:sz w:val="14"/>
                <w:szCs w:val="14"/>
                <w:color w:val="auto"/>
              </w:rPr>
            </w:pPr>
          </w:p>
        </w:tc>
        <w:tc>
          <w:tcPr>
            <w:tcW w:w="7580" w:type="dxa"/>
            <w:vAlign w:val="bottom"/>
            <w:gridSpan w:val="2"/>
          </w:tcPr>
          <w:p>
            <w:pPr>
              <w:ind w:left="34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40" w:type="dxa"/>
            <w:vAlign w:val="bottom"/>
            <w:tcBorders>
              <w:top w:val="single" w:sz="8" w:color="CCEEFF"/>
            </w:tcBorders>
            <w:shd w:val="clear" w:color="auto" w:fill="CCEEFF"/>
          </w:tcPr>
          <w:p>
            <w:pPr>
              <w:spacing w:after="0"/>
              <w:rPr>
                <w:sz w:val="18"/>
                <w:szCs w:val="18"/>
                <w:color w:val="auto"/>
              </w:rPr>
            </w:pPr>
          </w:p>
        </w:tc>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Chief Executive Officer and President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Kipp A. Bedard</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Vice President of Investor Relations</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M. Donnelly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Vice President of Systems Memory Group</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Jan du Preez</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Vice President of Mobile Memory Group</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Mark Durcan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Chief Technical Officer and Vice President of Research and Development</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Robert J. Gove</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Vice President of Imaging Group</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Jay L. Hawkins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Vice President of Operations</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Roderic W. Lewis</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Vice President of Legal Affairs, General Counsel and Corporate Secretary</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Sadler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Vice President of Worldwide Sales</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Wilbur G. Stover, Jr.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Vice President of Finance and Chief Financial Officer</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Mercedes Johnson</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Lothrop</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Lawrence N. Mondry</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Gordon C. Smith</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76</w:t>
            </w: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William P. Weber</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the Company in February 1983 and has served in various capacities with the Company and its subsidiaries. Mr. Appleton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 the Board of Directors of the Company. Mr. Appleton is a member of the Board of Directors of National Semiconductor Corporation. Mr. Appleton holds a BA in Business Management from Boise State University.</w:t>
      </w:r>
    </w:p>
    <w:p>
      <w:pPr>
        <w:spacing w:after="0" w:line="173"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i w:val="1"/>
          <w:iCs w:val="1"/>
          <w:color w:val="auto"/>
        </w:rPr>
        <w:t xml:space="preserve">Kipp A. Bedard </w:t>
      </w:r>
      <w:r>
        <w:rPr>
          <w:rFonts w:ascii="Arial" w:cs="Arial" w:eastAsia="Arial" w:hAnsi="Arial"/>
          <w:sz w:val="17"/>
          <w:szCs w:val="17"/>
          <w:color w:val="auto"/>
        </w:rPr>
        <w:t>joined the Company in November 1983 and has served in various capacities with the Company and its subsidiaries. Mr. Bedard first</w:t>
      </w:r>
      <w:r>
        <w:rPr>
          <w:rFonts w:ascii="Arial" w:cs="Arial" w:eastAsia="Arial" w:hAnsi="Arial"/>
          <w:sz w:val="17"/>
          <w:szCs w:val="17"/>
          <w:i w:val="1"/>
          <w:iCs w:val="1"/>
          <w:color w:val="auto"/>
        </w:rPr>
        <w:t xml:space="preserve"> </w:t>
      </w:r>
      <w:r>
        <w:rPr>
          <w:rFonts w:ascii="Arial" w:cs="Arial" w:eastAsia="Arial" w:hAnsi="Arial"/>
          <w:sz w:val="17"/>
          <w:szCs w:val="17"/>
          <w:color w:val="auto"/>
        </w:rPr>
        <w:t>became an officer of the Company in April 1990 and has served in various officer positions since that time. Since January 1994, Mr. Bedard has served as Vice President of Investor Relations for the Company. Mr. Bedard holds a BBA in Accounting from Boise State University.</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Robert M. Donnelly </w:t>
      </w:r>
      <w:r>
        <w:rPr>
          <w:rFonts w:ascii="Arial" w:cs="Arial" w:eastAsia="Arial" w:hAnsi="Arial"/>
          <w:sz w:val="17"/>
          <w:szCs w:val="17"/>
          <w:color w:val="auto"/>
        </w:rPr>
        <w:t>joined the Company in September 1988 and has served in various technical positions with the Company and its subsidiaries.</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Donnelly first became an officer of the Company in August 1989 and has served in various officer positions since that time. Mr. Donnelly holds a BS in Electrical Engineering from the University of Louisville.</w:t>
      </w:r>
    </w:p>
    <w:p>
      <w:pPr>
        <w:spacing w:after="0" w:line="184" w:lineRule="exact"/>
        <w:rPr>
          <w:sz w:val="20"/>
          <w:szCs w:val="20"/>
          <w:color w:val="auto"/>
        </w:rPr>
      </w:pPr>
    </w:p>
    <w:p>
      <w:pPr>
        <w:ind w:right="880" w:firstLine="324"/>
        <w:spacing w:after="0" w:line="277" w:lineRule="auto"/>
        <w:rPr>
          <w:sz w:val="20"/>
          <w:szCs w:val="20"/>
          <w:color w:val="auto"/>
        </w:rPr>
      </w:pPr>
      <w:r>
        <w:rPr>
          <w:rFonts w:ascii="Arial" w:cs="Arial" w:eastAsia="Arial" w:hAnsi="Arial"/>
          <w:sz w:val="18"/>
          <w:szCs w:val="18"/>
          <w:i w:val="1"/>
          <w:iCs w:val="1"/>
          <w:color w:val="auto"/>
        </w:rPr>
        <w:t xml:space="preserve">Jan du Preez </w:t>
      </w:r>
      <w:r>
        <w:rPr>
          <w:rFonts w:ascii="Arial" w:cs="Arial" w:eastAsia="Arial" w:hAnsi="Arial"/>
          <w:sz w:val="18"/>
          <w:szCs w:val="18"/>
          <w:color w:val="auto"/>
        </w:rPr>
        <w:t>joined the Company in June 2002 as Vice President of Mobile Memory Group. Mr. du Preez served as the President of Infineon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North America Corporation from August 2000 until he joined the Company in June 2002.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From October 1996 through July 2000, Mr. du Preez served as the Vice President of Memory Products Group for Infineon Technologies North America Corporation (formerly Siemens Semiconductors). Mr. du Preez holds Bachelors Degrees in Public Administration and Business Economics from the University of Pretoria and a Masters Degree in Commerce from Rand University.</w:t>
      </w:r>
    </w:p>
    <w:p>
      <w:pPr>
        <w:spacing w:after="0" w:line="181"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the Company in June 1984 and has served in various technical positions with the Company and its subsidiaries since that time.</w:t>
      </w:r>
      <w:r>
        <w:rPr>
          <w:rFonts w:ascii="Arial" w:cs="Arial" w:eastAsia="Arial" w:hAnsi="Arial"/>
          <w:sz w:val="16"/>
          <w:szCs w:val="16"/>
          <w:i w:val="1"/>
          <w:iCs w:val="1"/>
          <w:color w:val="auto"/>
        </w:rPr>
        <w:t xml:space="preserve"> </w:t>
      </w:r>
      <w:r>
        <w:rPr>
          <w:rFonts w:ascii="Arial" w:cs="Arial" w:eastAsia="Arial" w:hAnsi="Arial"/>
          <w:sz w:val="16"/>
          <w:szCs w:val="16"/>
          <w:color w:val="auto"/>
        </w:rPr>
        <w:t>Mr. Durcan served as Vice President, Process Research and Development from June 1996 through June 1997, at which time he became Chief Technical Officer and Vice President of Research and Development. Mr. Durcan holds a BS and MChE in Chemical Engineering from Rice University.</w:t>
      </w:r>
    </w:p>
    <w:p>
      <w:pPr>
        <w:spacing w:after="0" w:line="147"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i w:val="1"/>
          <w:iCs w:val="1"/>
          <w:color w:val="auto"/>
        </w:rPr>
        <w:t xml:space="preserve">Robert J. Gove </w:t>
      </w:r>
      <w:r>
        <w:rPr>
          <w:rFonts w:ascii="Arial" w:cs="Arial" w:eastAsia="Arial" w:hAnsi="Arial"/>
          <w:sz w:val="18"/>
          <w:szCs w:val="18"/>
          <w:color w:val="auto"/>
        </w:rPr>
        <w:t>joined the Company in March 1999 as Senior Director of Engineering and has served in various positions with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2002, he was appointed Vice President of Imaging. Prior to joining the Company, Dr. Gove served as Vice President, Engineering, of Equator Technologies, Inc. Dr. Gove holds a BS in Electrical Engineering from the University of Washington and an MS in Electrical Engineering and Ph.D. in Electrical Engineering from Southern Methodist University.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Jay L. Hawkins </w:t>
      </w:r>
      <w:r>
        <w:rPr>
          <w:rFonts w:ascii="Arial" w:cs="Arial" w:eastAsia="Arial" w:hAnsi="Arial"/>
          <w:sz w:val="17"/>
          <w:szCs w:val="17"/>
          <w:color w:val="auto"/>
        </w:rPr>
        <w:t>joined the Company in March 1984 and has served in various manufacturing positions for the Company and its subsidiaries.</w:t>
      </w:r>
    </w:p>
    <w:p>
      <w:pPr>
        <w:spacing w:after="0" w:line="3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Mr. Hawkins served as Vice President, Manufacturing Administration from February 1996 through June 1997, at which time he became Vice President of Operations. Mr. Hawkins holds a BBA in Marketing from Boise State University.</w:t>
      </w:r>
    </w:p>
    <w:p>
      <w:pPr>
        <w:spacing w:after="0" w:line="18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Roderic W. Lewis </w:t>
      </w:r>
      <w:r>
        <w:rPr>
          <w:rFonts w:ascii="Arial" w:cs="Arial" w:eastAsia="Arial" w:hAnsi="Arial"/>
          <w:sz w:val="18"/>
          <w:szCs w:val="18"/>
          <w:color w:val="auto"/>
        </w:rPr>
        <w:t>joined the Company in August 1991 and has served in various capacities with the Company and its subsidiaries. Mr. Lewis has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Vice President of Legal Affairs, General Counsel and Corporate Secretary since July 1996. Mr. Lewis holds a BA in Economics and Asian Studies from Brigham Young University and a JD from Columbia University School of Law.</w:t>
      </w:r>
    </w:p>
    <w:p>
      <w:pPr>
        <w:spacing w:after="0" w:line="181"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i w:val="1"/>
          <w:iCs w:val="1"/>
          <w:color w:val="auto"/>
        </w:rPr>
        <w:t xml:space="preserve">Michael W. Sadler </w:t>
      </w:r>
      <w:r>
        <w:rPr>
          <w:rFonts w:ascii="Arial" w:cs="Arial" w:eastAsia="Arial" w:hAnsi="Arial"/>
          <w:sz w:val="18"/>
          <w:szCs w:val="18"/>
          <w:color w:val="auto"/>
        </w:rPr>
        <w:t>joined the Company in September 1992 as a Regional Sales Manager and has held various sales and marketing positions since that</w:t>
      </w:r>
      <w:r>
        <w:rPr>
          <w:rFonts w:ascii="Arial" w:cs="Arial" w:eastAsia="Arial" w:hAnsi="Arial"/>
          <w:sz w:val="18"/>
          <w:szCs w:val="18"/>
          <w:i w:val="1"/>
          <w:iCs w:val="1"/>
          <w:color w:val="auto"/>
        </w:rPr>
        <w:t xml:space="preserve"> </w:t>
      </w:r>
      <w:r>
        <w:rPr>
          <w:rFonts w:ascii="Arial" w:cs="Arial" w:eastAsia="Arial" w:hAnsi="Arial"/>
          <w:sz w:val="18"/>
          <w:szCs w:val="18"/>
          <w:color w:val="auto"/>
        </w:rPr>
        <w:t>time. Mr. Sadler became an officer of the Company in July 1997 and has served as Vice President of Worldwide Sales since November 2001. Mr. Sadler holds a BS in Information Systems and an MBA from the University of Santa Clara.</w:t>
      </w:r>
    </w:p>
    <w:p>
      <w:pPr>
        <w:sectPr>
          <w:pgSz w:w="11900" w:h="16838" w:orient="portrait"/>
          <w:cols w:equalWidth="0" w:num="1">
            <w:col w:w="11420"/>
          </w:cols>
          <w:pgMar w:left="240" w:top="125" w:right="239" w:bottom="0" w:gutter="0" w:footer="0" w:header="0"/>
        </w:sectPr>
      </w:pPr>
    </w:p>
    <w:bookmarkStart w:id="6" w:name="page7"/>
    <w:bookmarkEnd w:id="6"/>
    <w:p>
      <w:pPr>
        <w:ind w:right="600" w:firstLine="324"/>
        <w:spacing w:after="0" w:line="264" w:lineRule="auto"/>
        <w:rPr>
          <w:sz w:val="20"/>
          <w:szCs w:val="20"/>
          <w:color w:val="auto"/>
        </w:rPr>
      </w:pPr>
      <w:r>
        <w:rPr>
          <w:rFonts w:ascii="Arial" w:cs="Arial" w:eastAsia="Arial" w:hAnsi="Arial"/>
          <w:sz w:val="18"/>
          <w:szCs w:val="18"/>
          <w:i w:val="1"/>
          <w:iCs w:val="1"/>
          <w:color w:val="auto"/>
        </w:rPr>
        <w:t xml:space="preserve">Wilbur G. Stover, Jr. </w:t>
      </w:r>
      <w:r>
        <w:rPr>
          <w:rFonts w:ascii="Arial" w:cs="Arial" w:eastAsia="Arial" w:hAnsi="Arial"/>
          <w:sz w:val="18"/>
          <w:szCs w:val="18"/>
          <w:color w:val="auto"/>
        </w:rPr>
        <w:t>joined the Company in June 1989 and has served in various financial positions with the Company and its subsidiaries.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1994, Mr. Stover has served as the Company’s Vice President of Finance and Chief Financial Officer. Mr. Stover holds a BA in Business Administration from Washington State University.</w:t>
      </w:r>
    </w:p>
    <w:p>
      <w:pPr>
        <w:spacing w:after="0" w:line="181"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i w:val="1"/>
          <w:iCs w:val="1"/>
          <w:color w:val="auto"/>
        </w:rPr>
        <w:t xml:space="preserve">James W. Bagley </w:t>
      </w:r>
      <w:r>
        <w:rPr>
          <w:rFonts w:ascii="Arial" w:cs="Arial" w:eastAsia="Arial" w:hAnsi="Arial"/>
          <w:sz w:val="16"/>
          <w:szCs w:val="16"/>
          <w:color w:val="auto"/>
        </w:rPr>
        <w:t>became the Executive Chairman of Lam Research Corporation (“Lam”), a supplier of semiconductor manufacturing equipment,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2005. From August 1997 through May 2005, Mr. Bagley served as the Chairman and Chief Executive Officer of Lam. Mr. Bagley is a member of the Board of Directors of Teradyne, Inc. He has served on the Company’s Board of Directors since June 1997. Mr. Bagley holds a BS and MS in Electrical Engineering from Mississippi State University. Mr. Bagley serves as the presiding director of executive sessions of the Company’s Board of Directors.</w:t>
      </w:r>
    </w:p>
    <w:p>
      <w:pPr>
        <w:spacing w:after="0" w:line="154" w:lineRule="exact"/>
        <w:rPr>
          <w:sz w:val="20"/>
          <w:szCs w:val="20"/>
          <w:color w:val="auto"/>
        </w:rPr>
      </w:pPr>
    </w:p>
    <w:p>
      <w:pPr>
        <w:ind w:right="380" w:firstLine="324"/>
        <w:spacing w:after="0" w:line="288"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joined the Board of Directors in June 2005. Ms. Johnson served as the Senior Vice President, Finance, of Lam from June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2005 and as Lam’s Chief Financial Officer from May 1997 to May 2004. Prior to joining Lam, Ms. Johnson spent 10 years with Applied Materials, Inc., where she served in various senior financial management positions, including vice president and worldwide operations controller.</w:t>
      </w:r>
    </w:p>
    <w:p>
      <w:pPr>
        <w:spacing w:after="0"/>
        <w:rPr>
          <w:sz w:val="20"/>
          <w:szCs w:val="20"/>
          <w:color w:val="auto"/>
        </w:rPr>
      </w:pPr>
      <w:r>
        <w:rPr>
          <w:rFonts w:ascii="Arial" w:cs="Arial" w:eastAsia="Arial" w:hAnsi="Arial"/>
          <w:sz w:val="17"/>
          <w:szCs w:val="17"/>
          <w:color w:val="auto"/>
        </w:rPr>
        <w:t>Ms. Johnson holds a degree in accounting from the University of Buenos Aires and currently serves on the board of directors for Intersil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Ms. Johnson serves on the Board’s Audit Committee.</w:t>
      </w:r>
    </w:p>
    <w:p>
      <w:pPr>
        <w:spacing w:after="0" w:line="21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1991. From August 1986 until July 1992 and since May 1994, Mr. Lothrop has served on the Board of Directors of the Company. Mr. Lothrop holds a BS in Engineering from the University of Idaho. Mr. Lothrop serves on the Board’s Audit Committee and the Governance and Compensation Committee.</w:t>
      </w:r>
    </w:p>
    <w:p>
      <w:pPr>
        <w:spacing w:after="0" w:line="14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joined the Board of Directors in April 2005. Mr. Mondry serves as the Chief Executive Officer of CompUSA Inc., a position he</w:t>
      </w:r>
      <w:r>
        <w:rPr>
          <w:rFonts w:ascii="Arial" w:cs="Arial" w:eastAsia="Arial" w:hAnsi="Arial"/>
          <w:sz w:val="17"/>
          <w:szCs w:val="17"/>
          <w:i w:val="1"/>
          <w:iCs w:val="1"/>
          <w:color w:val="auto"/>
        </w:rPr>
        <w:t xml:space="preserve"> </w:t>
      </w:r>
      <w:r>
        <w:rPr>
          <w:rFonts w:ascii="Arial" w:cs="Arial" w:eastAsia="Arial" w:hAnsi="Arial"/>
          <w:sz w:val="17"/>
          <w:szCs w:val="17"/>
          <w:color w:val="auto"/>
        </w:rPr>
        <w:t>has held since 2003. Mr. Mondry joined CompUSA in 1990 as Senior Vice President and General Merchandise Manager. He was promoted to Executive Vice President-Merchandising in 1993, and President and Chief Operating Officer of CompUSA Stores in 2000. Mr. Mondry currently serves on the board of directors for Golfsmith, Inc. Mr. Mondry serves on the Board’s Governance and Compensation Committee.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the Chairman and Chief Executive Officer of SFG LLC, a holding company for agriculture operations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since January 2005. Mr. Smith has also served as Chairman and Chief Executive Officer of G.C. Smith LLC since May 2000. From July 1980 to March 1994, Mr. Smith served in various management positions with J.R. Simplot Company, including four years as President and Chief Executive Officer, and seven years as Chief Financial Officer. From February 1982 until February 1984 and since September 1990, he has served on the Company’s Board of Directors. Mr. Smith holds a BS in Accounting from Idaho State University. Mr. Smith is the Chairman of the Board’s Audit Committee.</w:t>
      </w:r>
    </w:p>
    <w:p>
      <w:pPr>
        <w:spacing w:after="0" w:line="15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William P. Weber </w:t>
      </w:r>
      <w:r>
        <w:rPr>
          <w:rFonts w:ascii="Arial" w:cs="Arial" w:eastAsia="Arial" w:hAnsi="Arial"/>
          <w:sz w:val="17"/>
          <w:szCs w:val="17"/>
          <w:color w:val="auto"/>
        </w:rPr>
        <w:t>served in various capacities with Texas Instruments Incorporated, a semiconductor manufacturing company, and its subsidiaries from</w:t>
      </w:r>
      <w:r>
        <w:rPr>
          <w:rFonts w:ascii="Arial" w:cs="Arial" w:eastAsia="Arial" w:hAnsi="Arial"/>
          <w:sz w:val="17"/>
          <w:szCs w:val="17"/>
          <w:i w:val="1"/>
          <w:iCs w:val="1"/>
          <w:color w:val="auto"/>
        </w:rPr>
        <w:t xml:space="preserve"> </w:t>
      </w:r>
      <w:r>
        <w:rPr>
          <w:rFonts w:ascii="Arial" w:cs="Arial" w:eastAsia="Arial" w:hAnsi="Arial"/>
          <w:sz w:val="17"/>
          <w:szCs w:val="17"/>
          <w:color w:val="auto"/>
        </w:rPr>
        <w:t>1962 until 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 Mr. Weber is the Chairman of the Board’s Governance and Compensation Committee.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Company’s corporate headquarters are located in Boise, Idaho. The Company’s has significant operations and facilities at a number of locations including a wafer fabrication, test, assembly and research and development facility in Boise; a wafer fabrication facility in Manassas, Virginia; a wafer fabrication facility in Avezzano, Italy; a wafer fabrication facility in Nishiwaki-City, Japan; a wafer fabrication, test and assembly facility in Lehi, Utah; an assembly and test facility on leased property in Singapore; a test facility in Nampa, Idaho; a module assembly and test facility in East Kilbride, Scotland; and a module assembly and test facility leased in Aguadilla, Puerto Rico. The Company also owns and leases a number of other facilities in locations throughout the world that are used for design, research and development, and sales and marketing activities.</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Company’s existing facilities are suitable and adequate for its present purposes. The Company’s manufacturing facilities in Utah are only partially utilized. A portion of the Utah facility is being used for component test operations. Increased utilization of these facilities is dependent upon market conditions, including, but not limited to, worldwide market supply of, and demand for, semiconductor products and the Company’s operations, cash flows and alternative capacity utilization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right="220" w:firstLine="324"/>
        <w:spacing w:after="0" w:line="286"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w:t>
      </w:r>
    </w:p>
    <w:p>
      <w:pPr>
        <w:spacing w:after="0" w:line="2" w:lineRule="exact"/>
        <w:rPr>
          <w:sz w:val="20"/>
          <w:szCs w:val="20"/>
          <w:color w:val="auto"/>
        </w:rPr>
      </w:pPr>
    </w:p>
    <w:p>
      <w:pPr>
        <w:ind w:firstLine="8"/>
        <w:spacing w:after="0" w:line="267"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the Company and Reptronic (a distributor of the Company’s products) in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w:t>
      </w:r>
    </w:p>
    <w:p>
      <w:pPr>
        <w:sectPr>
          <w:pgSz w:w="11900" w:h="16838" w:orient="portrait"/>
          <w:cols w:equalWidth="0" w:num="1">
            <w:col w:w="11420"/>
          </w:cols>
          <w:pgMar w:left="240" w:top="125"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Company, Rambus is seeking monetary damages and injunctive relief. Subsequent to the filing of the various European suits, the European Patent Office declared Rambus’ 525 068 and 1 004 956 European patents invalid and revoked the patents.</w:t>
      </w:r>
    </w:p>
    <w:p>
      <w:pPr>
        <w:spacing w:after="0" w:line="17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On March 1, 2005, Tessera, Inc. (“Tessera”) filed suit against the Company in the U.S. District Court for the Eastern District of Texas alleging infringement of five Tessera patents. On June 22, 2005, the Company filed an answer and counterclaim denying Tessera’s claims and alleging infringement of eight Company patents.</w:t>
      </w:r>
    </w:p>
    <w:p>
      <w:pPr>
        <w:spacing w:after="0" w:line="18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On June 2, 2005, Tadahiro Ohmi (“Ohmi”) filed suit against the Company in the U.S. District Court for the Eastern District of Texas (amended on August 31, 2005) alleging infringement of a single Ohmi patent.</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and DDR2 SDRAM products, which account for a significant portion of the Company’s net sales. The Company is unable to predict the outcome of these suits.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173"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the Company and other DRAM suppliers. Eighteen cases have been filed in various federal district courts (one of which has been voluntarily dismissed) asserting claims on behalf of a purported class of individuals and entities that purchased DRAM directly from the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sixty-one cases have been filed in various state courts (three of which have been voluntarily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1999 through the filing date of the various complaints.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the Company’s analysis of the claims made and the nature of the DRAM industry, the Company believes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 New Jersey, New Mexico, New York, Ohio, Oklahoma, Oregon, Pennsylvania, South Carolina, Texas, Utah, Vermont, Virginia, Washington, West Virginia and Wisconsin have indicated that they are investigating potential state and federal civil claims against the Company and other DRAM suppliers on behalf of state and governmental entities that were direct or indirect purchasers of DRAM and potentially on behalf of other indirect purchasers of DRAM. The Company is unable to predict the outcome of these lawsuits and investigations. The final resolution of these alleged violations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antitrust laws could result in significant liability and could have a material adverse effect on the Company’s business, results of operations or financial condition.</w:t>
      </w:r>
    </w:p>
    <w:p>
      <w:pPr>
        <w:spacing w:after="0" w:line="1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 — Certain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matters submitted to a vote of security holders during the fourth quarter of 2005.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00"/>
          </w:cols>
          <w:pgMar w:left="240" w:top="125" w:right="259" w:bottom="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Company’s common stock is listed on the New York Stock Exchange and is traded under the symbol “MU.” The following table represents the high and low closing sales prices for the Company’s common stock for each quarter of 2005 and 2004, as reported by Bloomberg L.P.</w:t>
      </w:r>
    </w:p>
    <w:p>
      <w:pPr>
        <w:spacing w:after="0" w:line="138"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2005:</w:t>
            </w: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4th quarter</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3rd quarter</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11.07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2nd quarter</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12.35</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1st quarter</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12.76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4th quarter</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15.31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3rd quarter</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17.96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2nd quarter</w:t>
            </w:r>
          </w:p>
        </w:tc>
        <w:tc>
          <w:tcPr>
            <w:tcW w:w="7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16.42</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1st quarter</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15.13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27, 2005, there were 3,745 shareholders of record of the Company’s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Company has not declared or paid cash dividends since 1996 and does not intend to pay cash dividends on its common stock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information required by this item is incorporated by reference to the information set forth in Item 12 of this Annual Report on Form 10-K.</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2005</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2004</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2003</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2002</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50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w w:val="94"/>
              </w:rPr>
              <w:t>(amounts in millions except per share amounts)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4,880.2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4,404.2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3,091.3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2,589.0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1,145.8</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1,314.7</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(110.6)</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217.5</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249.7</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198.6</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(1,273.2)</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(907.0)</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Loss from discontinued PC Operations, net of taxes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minority interest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188.0</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(1,273.2)</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(907.0)</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0.24</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1,290.4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1,231.0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921.8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985.7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2,925.6</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2,638.7</w:t>
            </w:r>
          </w:p>
        </w:tc>
        <w:tc>
          <w:tcPr>
            <w:tcW w:w="34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2,037.0</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2,118.8</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4,683.8</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4,712.7</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4,510.5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4,699.5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8,006.4</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7,760.0</w:t>
            </w:r>
          </w:p>
        </w:tc>
        <w:tc>
          <w:tcPr>
            <w:tcW w:w="34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7,158.2</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7,555.4</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978.6</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972.1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993.0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752.7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1,020.2</w:t>
            </w:r>
          </w:p>
        </w:tc>
        <w:tc>
          <w:tcPr>
            <w:tcW w:w="3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1,027.9</w:t>
            </w:r>
          </w:p>
        </w:tc>
        <w:tc>
          <w:tcPr>
            <w:tcW w:w="34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997.1</w:t>
            </w:r>
          </w:p>
        </w:tc>
        <w:tc>
          <w:tcPr>
            <w:tcW w:w="300" w:type="dxa"/>
            <w:vAlign w:val="bottom"/>
          </w:tcPr>
          <w:p>
            <w:pPr>
              <w:spacing w:after="0"/>
              <w:rPr>
                <w:sz w:val="18"/>
                <w:szCs w:val="18"/>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360.8</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66.5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5,846.8</w:t>
            </w:r>
          </w:p>
        </w:tc>
        <w:tc>
          <w:tcPr>
            <w:tcW w:w="3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5,614.8</w:t>
            </w:r>
          </w:p>
        </w:tc>
        <w:tc>
          <w:tcPr>
            <w:tcW w:w="34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4,971.0</w:t>
            </w:r>
          </w:p>
        </w:tc>
        <w:tc>
          <w:tcPr>
            <w:tcW w:w="300" w:type="dxa"/>
            <w:vAlign w:val="bottom"/>
          </w:tcPr>
          <w:p>
            <w:pPr>
              <w:spacing w:after="0"/>
              <w:rPr>
                <w:sz w:val="20"/>
                <w:szCs w:val="20"/>
                <w:color w:val="auto"/>
              </w:rPr>
            </w:pPr>
          </w:p>
        </w:tc>
        <w:tc>
          <w:tcPr>
            <w:tcW w:w="940" w:type="dxa"/>
            <w:vAlign w:val="bottom"/>
          </w:tcPr>
          <w:p>
            <w:pPr>
              <w:jc w:val="right"/>
              <w:ind w:right="51"/>
              <w:spacing w:after="0"/>
              <w:rPr>
                <w:sz w:val="20"/>
                <w:szCs w:val="20"/>
                <w:color w:val="auto"/>
              </w:rPr>
            </w:pPr>
            <w:r>
              <w:rPr>
                <w:rFonts w:ascii="Arial" w:cs="Arial" w:eastAsia="Arial" w:hAnsi="Arial"/>
                <w:sz w:val="18"/>
                <w:szCs w:val="18"/>
                <w:color w:val="auto"/>
              </w:rPr>
              <w:t>6,306.4</w:t>
            </w:r>
          </w:p>
        </w:tc>
        <w:tc>
          <w:tcPr>
            <w:tcW w:w="3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7,134.8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2001, the Company disposed of its PC business. The selected financial data above presents the net effect of discontinued PC operations separate from the results of the Company’s continuing operations.</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Certain Factors” and “Item 8. Financial Statements and Supplementary Data – Notes to Consolidated Financial Statements.”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ectPr>
          <w:pgSz w:w="11900" w:h="16838" w:orient="portrait"/>
          <w:cols w:equalWidth="0" w:num="1">
            <w:col w:w="11380"/>
          </w:cols>
          <w:pgMar w:left="240" w:top="337" w:right="279" w:bottom="0" w:gutter="0" w:footer="0" w:header="0"/>
        </w:sectPr>
      </w:pPr>
    </w:p>
    <w:bookmarkStart w:id="9" w:name="page10"/>
    <w:bookmarkEnd w:id="9"/>
    <w:p>
      <w:pPr>
        <w:spacing w:after="0" w:line="8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 of wafer starts to products other than Core DRAM; “Net Sales” regarding future megabit production growth, 300mm wafer production and increases in revenue from sales of DDR2 products, CMOS image sensors, PSRAM products and Flash memory products; “Gross Margin” regarding manufacturing cost reductions in future periods; in “Income Taxes” regarding future provisions for income taxes and in “Liquidity and Capital Resources” regarding capital spending in 2006.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for the year ended September 1, 2005. All period references are to the Company’s fiscal periods unless otherwise indicated. All per share amounts are presented on a diluted basis. All tabular dollar amounts are in millions. Unless otherwise stated, all production data reflects production of the Company and its TECH joint venture.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is a global manufacturer of semiconductor devices, principally DRAM, NAND Flash, and CMOS image sensors. Its products are used in a broad range of electronic applications including personal computers, workstations, network servers, mobile phones and other consumer applications including flash memory cards, USB storage devices, digital still camera and MP3 players. The Company’s customers are principally original equipment manufacturers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efforts.</w:t>
      </w:r>
    </w:p>
    <w:p>
      <w:pPr>
        <w:spacing w:after="0" w:line="19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standardized DRAM products. The Company leverages its expertise in semiconductor memory manufacturing and product and process technology to provide these products that are differentiated from competitors’ products based on performance characteristics. In the fourth quarter of 2005, specialty memory products, NAND Flash products and CMOS image sensors were over 45% of the Company’s net sales. The Company expects that the markets for these products will grow more rapidly than the overall semiconductor market in the near term. The Company’s products have been well received in these growing customer applications. The Company plans to allocate an increasing portion of its manufacturing capacity to support these products and expand its market position in 2006. The Company believes that the strategic diversification of its product portfolio will strengthen its ability to allocate manufacturing resources to obtain the highest rate of return.</w:t>
      </w:r>
    </w:p>
    <w:p>
      <w:pPr>
        <w:spacing w:after="0" w:line="167"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The Company makes significant ongoing investments to implement its proprietary product and process technology in its manufacturing facilities in the United States, Europe and Asia to provide semiconductor products with increasing functionality and performance at lower costs. The Company introduces new generations of products that offer improved performance characteristics, such as higher data transfer rates, reduced package size, lower power consumption and increased megapixel count. The Company generally reduces the manufacturing cost of each generation of product through its advanced product and process technology such as its leading-edge line width process technology and innovative array architecture.</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order to maximize returns from investments in research and development (“R&amp;D”), the Company develops process technology that effectively reduces production costs and leverages the Company’s capital expenditures. To be successfully incorporated in customers’ end products, the Company must offer qualified semiconductor solutions at a time when customers are developing their design specifications for their end products. This is especially true for specialty memory products and CMOS image sensors which are required to demonstrate advanced functionality and performance well ahead of a planned ramp of production to commercial volumes. In addition, DRAM and NAND Flash products often incorporate highly advanced design and process technologies that are difficult to manufacture. The Company must make significant investments in R&amp;D to expand its product offering and develop its leading-edge product and process technologies.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60" w:type="dxa"/>
            <w:vAlign w:val="bottom"/>
            <w:gridSpan w:val="5"/>
          </w:tcPr>
          <w:p>
            <w:pPr>
              <w:jc w:val="right"/>
              <w:ind w:right="90"/>
              <w:spacing w:after="0" w:line="142" w:lineRule="exact"/>
              <w:rPr>
                <w:sz w:val="20"/>
                <w:szCs w:val="20"/>
                <w:color w:val="auto"/>
              </w:rPr>
            </w:pPr>
            <w:r>
              <w:rPr>
                <w:rFonts w:ascii="Arial" w:cs="Arial" w:eastAsia="Arial" w:hAnsi="Arial"/>
                <w:sz w:val="14"/>
                <w:szCs w:val="14"/>
                <w:b w:val="1"/>
                <w:bCs w:val="1"/>
                <w:color w:val="auto"/>
              </w:rPr>
              <w:t>(amounts in millions and as a percent of net sales)</w:t>
            </w: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4,880.2</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4,404.2</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3,091.3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73"/>
              <w:spacing w:after="0"/>
              <w:rPr>
                <w:sz w:val="20"/>
                <w:szCs w:val="20"/>
                <w:color w:val="auto"/>
              </w:rPr>
            </w:pPr>
            <w:r>
              <w:rPr>
                <w:rFonts w:ascii="Arial" w:cs="Arial" w:eastAsia="Arial" w:hAnsi="Arial"/>
                <w:sz w:val="18"/>
                <w:szCs w:val="18"/>
                <w:color w:val="auto"/>
              </w:rPr>
              <w:t>1,145.8</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1260" w:type="dxa"/>
            <w:vAlign w:val="bottom"/>
          </w:tcPr>
          <w:p>
            <w:pPr>
              <w:jc w:val="right"/>
              <w:ind w:right="473"/>
              <w:spacing w:after="0"/>
              <w:rPr>
                <w:sz w:val="20"/>
                <w:szCs w:val="20"/>
                <w:color w:val="auto"/>
              </w:rPr>
            </w:pPr>
            <w:r>
              <w:rPr>
                <w:rFonts w:ascii="Arial" w:cs="Arial" w:eastAsia="Arial" w:hAnsi="Arial"/>
                <w:sz w:val="18"/>
                <w:szCs w:val="18"/>
                <w:color w:val="auto"/>
              </w:rPr>
              <w:t>1,314.7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(20.7)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348.3</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332.0</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358.2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73"/>
              <w:spacing w:after="0"/>
              <w:rPr>
                <w:sz w:val="20"/>
                <w:szCs w:val="20"/>
                <w:color w:val="auto"/>
              </w:rPr>
            </w:pPr>
            <w:r>
              <w:rPr>
                <w:rFonts w:ascii="Arial" w:cs="Arial" w:eastAsia="Arial" w:hAnsi="Arial"/>
                <w:sz w:val="18"/>
                <w:szCs w:val="18"/>
                <w:color w:val="auto"/>
              </w:rPr>
              <w:t>603.7</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8"/>
                <w:szCs w:val="18"/>
                <w:color w:val="auto"/>
              </w:rPr>
            </w:pPr>
          </w:p>
        </w:tc>
        <w:tc>
          <w:tcPr>
            <w:tcW w:w="1260" w:type="dxa"/>
            <w:vAlign w:val="bottom"/>
          </w:tcPr>
          <w:p>
            <w:pPr>
              <w:jc w:val="right"/>
              <w:ind w:right="473"/>
              <w:spacing w:after="0"/>
              <w:rPr>
                <w:sz w:val="20"/>
                <w:szCs w:val="20"/>
                <w:color w:val="auto"/>
              </w:rPr>
            </w:pPr>
            <w:r>
              <w:rPr>
                <w:rFonts w:ascii="Arial" w:cs="Arial" w:eastAsia="Arial" w:hAnsi="Arial"/>
                <w:sz w:val="18"/>
                <w:szCs w:val="18"/>
                <w:color w:val="auto"/>
              </w:rPr>
              <w:t>754.9</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140" w:type="dxa"/>
            <w:vAlign w:val="bottom"/>
          </w:tcPr>
          <w:p>
            <w:pPr>
              <w:jc w:val="right"/>
              <w:ind w:right="353"/>
              <w:spacing w:after="0"/>
              <w:rPr>
                <w:sz w:val="20"/>
                <w:szCs w:val="20"/>
                <w:color w:val="auto"/>
              </w:rPr>
            </w:pPr>
            <w:r>
              <w:rPr>
                <w:rFonts w:ascii="Arial" w:cs="Arial" w:eastAsia="Arial" w:hAnsi="Arial"/>
                <w:sz w:val="18"/>
                <w:szCs w:val="18"/>
                <w:color w:val="auto"/>
              </w:rPr>
              <w:t>656.4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Restructure and other charges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(22.5)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116.3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73"/>
              <w:spacing w:after="0"/>
              <w:rPr>
                <w:sz w:val="20"/>
                <w:szCs w:val="20"/>
                <w:color w:val="auto"/>
              </w:rPr>
            </w:pPr>
            <w:r>
              <w:rPr>
                <w:rFonts w:ascii="Arial" w:cs="Arial" w:eastAsia="Arial" w:hAnsi="Arial"/>
                <w:sz w:val="18"/>
                <w:szCs w:val="18"/>
                <w:color w:val="auto"/>
              </w:rPr>
              <w:t>217.5</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1260" w:type="dxa"/>
            <w:vAlign w:val="bottom"/>
          </w:tcPr>
          <w:p>
            <w:pPr>
              <w:jc w:val="right"/>
              <w:ind w:right="473"/>
              <w:spacing w:after="0"/>
              <w:rPr>
                <w:sz w:val="20"/>
                <w:szCs w:val="20"/>
                <w:color w:val="auto"/>
              </w:rPr>
            </w:pPr>
            <w:r>
              <w:rPr>
                <w:rFonts w:ascii="Arial" w:cs="Arial" w:eastAsia="Arial" w:hAnsi="Arial"/>
                <w:sz w:val="18"/>
                <w:szCs w:val="18"/>
                <w:color w:val="auto"/>
              </w:rPr>
              <w:t>249.7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(1,186.5)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(38.4)%</w:t>
            </w:r>
          </w:p>
        </w:tc>
      </w:tr>
    </w:tbl>
    <w:p>
      <w:pPr>
        <w:spacing w:after="0" w:line="18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fiscal 2005 and 2003 contained 52 weeks. The Company’s fiscal 2004 contained 53 weeks.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Net sales for 2005 increased by 11% as compared to 2004 primarily due to a 40% increase in megabits of memory sold, partially offset by a 24% decrease in the overall average selling price per megabit for the Company’s memory products. Net sales for 2005 also benefited from an increase of approximately $200 million in sales of CMOS image sensors. The Company’s overall megabit production in 2005 increased by 48% as compared to 2004, principally due to a steep ramp in 300mm wafer production and gains in manufacturing efficiencies realized from improvements in product and process technologies. The Company realized a significant increase in 300mm wafer production in 2005, achieving its initial target of 5,000 wafer outs per week in the fourth quarter. The Company expects that its 300mm wafer production will continue to increase in 2006. The Company’s megabit production exceeded megabit sales in 2005, which resulted in an approximate 170% increase in megabit finished goods inventories, primarily consisting of DDR and DDR2 products. The increase in inventories was largely the result of a slower than previously expected industry-wide transition to DDR2 memory products.</w:t>
      </w:r>
    </w:p>
    <w:p>
      <w:pPr>
        <w:spacing w:after="0" w:line="166"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Most of the increase in sales in 2005 as compared to 2004 resulted from sales of the Company’s emerging specialty memory products, such as pseudo-static RAM (“PSRAM”) and mobile DRAM products, CMOS image sensors and NAND Flash memory. The Company’s combined revenue from these products was $811.9 million in 2005 and quadrupled from 2004 due to large increases in production and strong demand for the Company’s offerings in these</w:t>
      </w:r>
    </w:p>
    <w:p>
      <w:pPr>
        <w:sectPr>
          <w:pgSz w:w="11900" w:h="16925" w:orient="portrait"/>
          <w:cols w:equalWidth="0" w:num="1">
            <w:col w:w="11400"/>
          </w:cols>
          <w:pgMar w:left="240" w:top="125" w:right="259" w:bottom="0" w:gutter="0" w:footer="0" w:header="0"/>
        </w:sectPr>
      </w:pPr>
    </w:p>
    <w:bookmarkStart w:id="10" w:name="page11"/>
    <w:bookmarkEnd w:id="10"/>
    <w:p>
      <w:pPr>
        <w:ind w:right="20"/>
        <w:spacing w:after="0" w:line="302" w:lineRule="auto"/>
        <w:rPr>
          <w:sz w:val="20"/>
          <w:szCs w:val="20"/>
          <w:color w:val="auto"/>
        </w:rPr>
      </w:pPr>
      <w:r>
        <w:rPr>
          <w:rFonts w:ascii="Arial" w:cs="Arial" w:eastAsia="Arial" w:hAnsi="Arial"/>
          <w:sz w:val="16"/>
          <w:szCs w:val="16"/>
          <w:color w:val="auto"/>
        </w:rPr>
        <w:t>product groups. The Company expects that its revenue from these products will continue to grow rapidly in 2006 as it allocates increasing manufacturing resources to these product groups. DDR and DDR2 product sales in 2005 increased 12% from 2004 and were 59% of the Company’s net sales in 2005. Sales of DDR2 products increased to 14% of the Company’s net sales in 2005 from 1% of net sales in 2004. The Company expects that sales of DDR2 products will continue to increase in 2006 as market demand continues to shift from DDR products to more advanced DDR2 products.</w:t>
      </w:r>
    </w:p>
    <w:p>
      <w:pPr>
        <w:spacing w:after="0" w:line="154"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Net sales for 2004 increased by 42% as compared to 2003 primarily due to a 20% increase in megabits sold and a 16% increase in average per megabit selling prices for the Company’s memory products as a result of generally improved market conditions. During 2004, the Company increased its allocation of manufacturing capacity to specialty memory products and CMOS image sensors. The shift in product mix contributed to the increase in average per megabit selling prices for 2004 as specialty memory products on average had higher selling prices per megabit than the Company’s DDR and DDR2 products. The Company’s overall megabit production for 2004 increased approximately 23% from 2003 primarily due to manufacturing efficiencies. The growth rate in megabit production for 2004 was partially mitigated by the allocation of wafers to CMOS image sensors and specialty memory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Company’s gross margin percentage for 2005 declined to 24% as compared to 30% for 2004. This decline in gross margin was primarily due to the 24% decrease in the Company’s overall average selling price per megabit of memory and, to a lesser extent, a shift in product mix from DDR to DDR2 products which had lower margins in 2005. Partially offsetting this decline in gross margin from 2005 to 2004 was a reduction in cost of goods sold per megabit and the increase in sales of CMOS image sensors, specialty memory and NAND Flash products, which had significantly higher margins than DDR and DDR2 products.</w:t>
      </w:r>
    </w:p>
    <w:p>
      <w:pPr>
        <w:spacing w:after="0" w:line="188"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Company’s overall cost of goods sold per megabit in 2005 declined from 2004 primarily due to manufacturing improvements. The Company reduced product costs through manufacturing efficiencies achieved from improved product yield and increase in production utilizing the Company’s 110nm process technology and 6F² technology. The cost per megabit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products manufactured on 300mm wafers decreased significantly in 2005 compared to 2004 as the Company continued to increase 300mm wafer production, reaching its initial target of 5,000 wafer outs per week. Manufacturing costs per megabit for DDR2 products were higher than the Company’s DDR products in 2005 because of DDR2’s relatively larger die size. The Company expects that per megabit cost reductions in 2006 will continue to be mitigated by shifts in product mix from DDR to DDR2.</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Company’s gross margin percentage for 2004 improved to 30% from a negative 1% for 2003 primarily due to the 16% increase in average per megabit selling prices and reduced costs per megabit. In addition, compared to 2003, gross margin for 2004 benefited from relatively higher margins on sales of products purchased from the Company’s TECH joint venture. The Company reduced its overall average cost per megabit for 2004 as compared to 2003 through manufacturing efficiencies achieved by improving product yields and continuing its transition to products utilizing 110nm process technology and 6F² technology.</w:t>
      </w:r>
    </w:p>
    <w:p>
      <w:pPr>
        <w:spacing w:after="0" w:line="184" w:lineRule="exact"/>
        <w:rPr>
          <w:sz w:val="20"/>
          <w:szCs w:val="20"/>
          <w:color w:val="auto"/>
        </w:rPr>
      </w:pPr>
    </w:p>
    <w:p>
      <w:pPr>
        <w:ind w:right="20" w:firstLine="324"/>
        <w:spacing w:after="0" w:line="274" w:lineRule="auto"/>
        <w:rPr>
          <w:sz w:val="20"/>
          <w:szCs w:val="20"/>
          <w:color w:val="auto"/>
        </w:rPr>
      </w:pPr>
      <w:r>
        <w:rPr>
          <w:rFonts w:ascii="Arial" w:cs="Arial" w:eastAsia="Arial" w:hAnsi="Arial"/>
          <w:sz w:val="17"/>
          <w:szCs w:val="17"/>
          <w:b w:val="1"/>
          <w:bCs w:val="1"/>
          <w:color w:val="auto"/>
        </w:rPr>
        <w:t xml:space="preserve">Inventory write-downs: </w:t>
      </w:r>
      <w:r>
        <w:rPr>
          <w:rFonts w:ascii="Arial" w:cs="Arial" w:eastAsia="Arial" w:hAnsi="Arial"/>
          <w:sz w:val="17"/>
          <w:szCs w:val="17"/>
          <w:color w:val="auto"/>
        </w:rPr>
        <w:t>In accordance with generally accepted accounting principles, the Company recorded $307.0 million of charges to cost of goods</w:t>
      </w:r>
      <w:r>
        <w:rPr>
          <w:rFonts w:ascii="Arial" w:cs="Arial" w:eastAsia="Arial" w:hAnsi="Arial"/>
          <w:sz w:val="17"/>
          <w:szCs w:val="17"/>
          <w:b w:val="1"/>
          <w:bCs w:val="1"/>
          <w:color w:val="auto"/>
        </w:rPr>
        <w:t xml:space="preserve"> </w:t>
      </w:r>
      <w:r>
        <w:rPr>
          <w:rFonts w:ascii="Arial" w:cs="Arial" w:eastAsia="Arial" w:hAnsi="Arial"/>
          <w:sz w:val="17"/>
          <w:szCs w:val="17"/>
          <w:color w:val="auto"/>
        </w:rPr>
        <w:t>sold in 2003 to write down the carrying values of work in process and finished goods inventories to their estimated market values. As these charges were recorded in advance of when inventory subject to the write-down was sold, gross margins in the period of sale were higher than they would be absent the effect of the previous write-downs. The Company did not record any charges for inventory write-downs in 2005 and 2004. Costs of goods sold in 2004 were $61.0 million lower than they otherwise would have been as a result of write-downs in prior periods. Costs of goods sold in 2003 were $174.9 million lower than they otherwise would have been as a result of write-downs in prior periods net of the write-downs in 2003.</w:t>
      </w:r>
    </w:p>
    <w:p>
      <w:pPr>
        <w:spacing w:after="0" w:line="174" w:lineRule="exact"/>
        <w:rPr>
          <w:sz w:val="20"/>
          <w:szCs w:val="20"/>
          <w:color w:val="auto"/>
        </w:rPr>
      </w:pPr>
    </w:p>
    <w:p>
      <w:pPr>
        <w:ind w:right="40" w:firstLine="324"/>
        <w:spacing w:after="0" w:line="292" w:lineRule="auto"/>
        <w:rPr>
          <w:sz w:val="20"/>
          <w:szCs w:val="20"/>
          <w:color w:val="auto"/>
        </w:rPr>
      </w:pPr>
      <w:r>
        <w:rPr>
          <w:rFonts w:ascii="Arial" w:cs="Arial" w:eastAsia="Arial" w:hAnsi="Arial"/>
          <w:sz w:val="16"/>
          <w:szCs w:val="16"/>
          <w:b w:val="1"/>
          <w:bCs w:val="1"/>
          <w:color w:val="auto"/>
        </w:rPr>
        <w:t xml:space="preserve">TECH Semiconductor Singapore Pte. Ltd. (“TECH”): </w:t>
      </w:r>
      <w:r>
        <w:rPr>
          <w:rFonts w:ascii="Arial" w:cs="Arial" w:eastAsia="Arial" w:hAnsi="Arial"/>
          <w:sz w:val="16"/>
          <w:szCs w:val="16"/>
          <w:color w:val="auto"/>
        </w:rPr>
        <w:t>The Company’s TECH joint venture supplied approximately 25%, 30% and 30% of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megabits of memory produced by the Company in 2005, 2004 and 2003, respectively. The Company generally purchases memory products from TECH at prices determined quarterly, based on a discount from average selling prices realized by the Company for the immediately preceding quarter. Depending on market conditions, the gross margin from the sale of products manufactured by TECH may be higher or lower than the gross margin from the sale of products manufactured by the Company’s wholly-owned operations. In 2005, the Company realized gross margin percentages on sales of TECH products that were approximately the same as for the DDR and DDR2 products manufactured by its wholly-owned operations. In 2004 and 2003, the Company realized higher gross margin percentages on sales of TECH products than for products manufactured by its wholly-owned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Selling, general and administrative (“SG&amp;A”) expenses for 2005 increased 5% from 2004 primarily due to higher compensation costs, partially offset by a decrease in costs associated with legal matters. SG&amp;A expenses for 2004 were 7% lower than for 2003 primarily due to lower costs associated with outstanding legal matters and reduced depreciation costs, partially offset by higher levels of performance-based compensation expense and other personnel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54"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R&amp;D expenses for 2005 decreased 20% from 2004 principally because products were qualified on the 300mm wafer fabrication process in the first quarter of 2005. When products are qualified, the Company includes costs from the production of these products in inventory and costs of goods sold rather than research and development expense. Higher compensation costs partially offset the decreases in R&amp;D expenses for 2005 as compared to 2004. R&amp;D expenses for 2004 increased 15% from 2003 principally due to an increase in development wafers processed during 2004 as the Company increased its product diversification and ramped production at its 300mm wafer fabrication facility, which primarily ran development wafers in 2004. Higher R&amp;D costs in 2004 as compared to 2003 also reflected a higher level of expenses related to CMOS image sensors, Flash memory and specialty memory products.</w:t>
      </w:r>
    </w:p>
    <w:p>
      <w:pPr>
        <w:sectPr>
          <w:pgSz w:w="11900" w:h="16838" w:orient="portrait"/>
          <w:cols w:equalWidth="0" w:num="1">
            <w:col w:w="11420"/>
          </w:cols>
          <w:pgMar w:left="240" w:top="125" w:right="239" w:bottom="93" w:gutter="0" w:footer="0" w:header="0"/>
        </w:sectPr>
      </w:pPr>
    </w:p>
    <w:bookmarkStart w:id="11" w:name="page12"/>
    <w:bookmarkEnd w:id="11"/>
    <w:p>
      <w:pPr>
        <w:spacing w:after="0" w:line="46"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Company’s process technology R&amp;D efforts are focused primarily on development of 95nm, 78nm, 65nm and smaller DRAM and 90nm, 72nm, 50nm and smaller NAND Flash line-width process technologies, which are designed to facilitate the Company’s transition to next generation products. Additional R&amp;D efforts include process development to support the Company’s 300mm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wafer manufacturing, NAND Flash memory, CMOS image sensors, specialty memory products (including PSRAM, mobile SDRAM and reduced latency DRAM) and new manufacturing materials. Efforts toward the design and development of new products are concentrated on the Company’s 1 Gig and 2 Gig DDR, DDR2 and DDR3 products as well as high density and mobile NAND Flash memory, CMOS image sensors and specialty memory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In 2003, the Company recorded restructure charges of $109.2 million and other restructure-related charges of $7.1 million, including $50.7 million of equipment write-downs, $26.3 million of severance and other termination benefits and $18.6 million of intangible asset write downs. The Company recorded net credits to restructure of $1.4 million and $22.5 million in 2005 and 2004, respectively, primarily from sales of equipment associated with the Company’s 200mm production line in Virginia. The Company substantially completed the restructure plan and paid essentially all costs associated with the restructure plan in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In December 2004, the Financial Accounting Standards Board (“FASB”) issued Statement of Financial Accounting Standards (“SFAS”) No. 123(R), “Share-Based Payment.” SFAS No. 123(R) will require the Company to use a fair-value based method of accounting for share-based compensation beginning in 2006. Through 2005 the Company used the intrinsic-value method to account for stock-based compensation and generally no compensation costs were recorded. Accordingly, the Company’s implementation of SFAS No. 123(R) will increase compensation costs reflected in cost of goods sold, SG&amp;A and R&amp;D in the consolidated statement of operations for future periods.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April of 2005, the Company accelerated the vesting of approximately 44.6 million unvested stock options outstanding under the Company’s stock plans to reduce compensation costs that would have been recognized in the Company’s consolidated financial statements after 2005 with the adoption of SFAS 123(R) by approximately $100 million. As of September 1, 2005, 3% of the Company’s then outstanding stock options were unvested and the expense for these unvested stock options to be recorded in 2006 through 2009 is $10.4 million. Because the Company’s near-term, stock-based compensation costs were reduced by the acceleration of vesting, share-based compensation costs could grow significantly in future periods if the Company continues to grant amounts of new share-based compensation awards similar to recent periods.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Other operating income for 2005 includes net gains on write-downs and disposals of semiconductor equipment of $12.7 million and $12.0 million in receipts from the U.S. government in connection with anti-dumping tariffs. Other operating expense for 2004 includes losses of $17.2 million from changes in currency exchange rates. Other operating income for 2004 includes $7.2 million from the Commonwealth of Virginia for meeting investment commitments at the Virginia wafer fabrication facility and net gains of $3.9 million on write-downs and disposals of semiconductor equipment. Other operating expense for 2003 includes net losses on write-downs and disposals of semiconductor equipment of $41.5 million and losses of $10.7 million from changes in currency exchange rates. Other operating expense for 2003 is net of $14.4 million in receipts from the U.S. government in connection with anti-dumping tariffs. The Company estimates that, based on its assets and liabilities denominated in currencies other than U.S. dollar as of September 1, 2005, a 1% change in the exchange rate versus the U.S. dollar would result in foreign currency gains or losses of approximately $1 million for the yen and $1 million for the euro.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Income taxes for 2005, 2004 and 2003 primarily reflect taxes on the Company’s non-U.S. operations. The Company has a valuation allowance for its net deferred tax asset associated with its U.S. operations. The provision for taxes on U.S. operations in 2005 and 2004 was substantially offset by a reduction in the valuation allowance. Until such time as the Company utilizes its U.S. net operating loss carryforwards and unused tax credits, the provision for taxes on the Company’s U.S. operations is expected to be substantially offset by a reduction in the valuation allowance. As of September 1, 2005, the Company had aggregate U.S. tax net operating loss carryforwards of $2.5 billion and unused U.S. tax credit carryforwards of $140.7 million. The Company also has unused state tax net operating loss carryforwards of $1.7 billion and unused state tax credits of $137.5 million. Substantially all of the net operating loss carryforwards expire in 2022 to 2025 and substantially all of the tax credit carryforwards expire in 2013 to 2025.</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semiconductor memory products and the timing of capital expenditures, both of which can vary significantly from period to period. As of September 1, 2005, the Company had cash and marketable investment securities totaling $1,290.4 million compared to $1,231.0 million as of September 2, 2004.</w:t>
      </w:r>
    </w:p>
    <w:p>
      <w:pPr>
        <w:spacing w:after="0" w:line="17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For 2005, net cash provided by operating activities was $1,237.8 million, which principally reflects the Company’s $188.0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of net income adjusted by $1,264.5 million for non-cash depreciation and amortization expense. Cash provided by operations was reduced by a $193.3 million increase in inventories. The increase in inventories was largely the result of a slower than previously expected industry-wide transition to DDR2 memory products.</w:t>
      </w:r>
    </w:p>
    <w:p>
      <w:pPr>
        <w:spacing w:after="0" w:line="180" w:lineRule="exact"/>
        <w:rPr>
          <w:sz w:val="20"/>
          <w:szCs w:val="20"/>
          <w:color w:val="auto"/>
        </w:rPr>
      </w:pPr>
    </w:p>
    <w:p>
      <w:pPr>
        <w:ind w:right="400" w:firstLine="324"/>
        <w:spacing w:after="0" w:line="347" w:lineRule="auto"/>
        <w:rPr>
          <w:sz w:val="20"/>
          <w:szCs w:val="20"/>
          <w:color w:val="auto"/>
        </w:rPr>
      </w:pPr>
      <w:r>
        <w:rPr>
          <w:rFonts w:ascii="Arial" w:cs="Arial" w:eastAsia="Arial" w:hAnsi="Arial"/>
          <w:sz w:val="16"/>
          <w:szCs w:val="16"/>
          <w:b w:val="1"/>
          <w:bCs w:val="1"/>
          <w:color w:val="auto"/>
        </w:rPr>
        <w:t xml:space="preserve">Investing Activities: </w:t>
      </w:r>
      <w:r>
        <w:rPr>
          <w:rFonts w:ascii="Arial" w:cs="Arial" w:eastAsia="Arial" w:hAnsi="Arial"/>
          <w:sz w:val="16"/>
          <w:szCs w:val="16"/>
          <w:color w:val="auto"/>
        </w:rPr>
        <w:t>For 2005, net cash used by investing activities was $1,083.9 million, which included cash expenditures for property, plant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of $1,064.8 million. The Company believes that to develop new product and process technologies, support future growth, achieve operating</w:t>
      </w:r>
    </w:p>
    <w:p>
      <w:pPr>
        <w:sectPr>
          <w:pgSz w:w="11900" w:h="16884" w:orient="portrait"/>
          <w:cols w:equalWidth="0" w:num="1">
            <w:col w:w="11420"/>
          </w:cols>
          <w:pgMar w:left="240" w:top="125" w:right="239" w:bottom="0" w:gutter="0" w:footer="0" w:header="0"/>
        </w:sectPr>
      </w:pPr>
    </w:p>
    <w:bookmarkStart w:id="12" w:name="page13"/>
    <w:bookmarkEnd w:id="12"/>
    <w:p>
      <w:pPr>
        <w:spacing w:after="0" w:line="6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efficiencies and maintain product quality, it must continue to invest in manufacturing technologies, facilities and capital equipment, research and development, and product and process technologies. The Company projects 2006 capital spending of $1.0 billion to $1.5 billion. As of September 1, 2005, the Company had commitments extending into 2007 of approximately $250 million for the acquisition of property, plant and equipment.</w:t>
      </w:r>
    </w:p>
    <w:p>
      <w:pPr>
        <w:spacing w:after="0" w:line="162"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For 2005, net cash used by financing activities was $115.5 million. Payments on debt were $300.0 million for 2005, and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prepayment of the $210.0 million outstanding on the Company’s subordinated notes that were due September 2005. Payments on equipment purchase contracts were $236.0 million for 2005. In the third quarter of 2005, the Company obtained an aggregate of 23.5 billion yen ($221.4 million) from two yen-denominated loan financing arrangements that are payable in semi-annual installments through 2010. In 2005, the Company received $161.3 million in proceeds from sales-leaseback transactions which are payable in periodic installments through January 2009.</w:t>
      </w:r>
    </w:p>
    <w:p>
      <w:pPr>
        <w:spacing w:after="0" w:line="172"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2004, the Company received $450.0 million from Intel in exchange for stock rights exchangeable into approximately 33.9 million shares of the Company’s common stock. Additionally, the Company agreed to achieve operational objectives or be subject to monetary penalties. The Company has achieved operational objectives and does not expect to make any payments to Intel under this agreement.</w:t>
      </w:r>
    </w:p>
    <w:p>
      <w:pPr>
        <w:spacing w:after="0" w:line="1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from time to time, issue registered or unregistered securities to raise capital to fund a portion of its operations.</w:t>
      </w:r>
    </w:p>
    <w:p>
      <w:pPr>
        <w:spacing w:after="0" w:line="170"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As of September 1, 2005, the Company had $632.5 million of 2.5% Convertible Subordinated Notes (the “Notes”) outstanding. Holders of the Notes may convert all or some of their Notes at any time prior to maturity, unless previously redeemed or repurchased, into the Company’s common stock at a conversion rate of 84.8320 shares for each $1,000 principal amount of the Notes. This conversion rate is equivalent to a conversion price of approximately $11.79 per share. The Company may redeem the Notes at any time after February 6, 2006, at declining premiums to par.</w:t>
      </w:r>
    </w:p>
    <w:p>
      <w:pPr>
        <w:spacing w:after="0" w:line="167"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The following table summarizes the Company’s significant contractual obligations at September 1, 2005, and the effect such</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are expected to have on the Company’s liquidity and cash flows in future periods.</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Less than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(amounts in millions)</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728.4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221.4</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99.3</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57.8</w:t>
            </w: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409.7</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1,797.5</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obligations disclosed above do not include contractual obligations recorded on the Company’s balance sheet as current liabilities except for the current portion of long-term debt. The expected timing of payment amounts of the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discussed above is estimated based on current information. Timing and actual amounts paid may differ depending on the timing of receipt of goods or services, market prices or changes to agreed-upon amounts for some obligations.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 obligations include all commitments to purchase goods or services of either a fixed or minimum quantity that meet any of the following criteria:</w:t>
      </w:r>
    </w:p>
    <w:p>
      <w:pPr>
        <w:spacing w:after="0" w:line="46" w:lineRule="exact"/>
        <w:rPr>
          <w:sz w:val="20"/>
          <w:szCs w:val="20"/>
          <w:color w:val="auto"/>
        </w:rPr>
      </w:pPr>
    </w:p>
    <w:p>
      <w:pPr>
        <w:ind w:right="180" w:firstLine="8"/>
        <w:spacing w:after="0" w:line="27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17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has an agreement with its TECH joint venture to purchase all of TECH’s output of semiconductor memory components subject to specific terms and conditions. As the purchase quantities are based on qualified production output, the agreement does not contain a fixed or minimum purchase quantity and therefore the Company did not include the agreement in its purchase obligations. In addition to purchase quantities, the TECH purchase obligation fluctuates based on average selling prices for semiconductor memory components which can change significantly from period to period. In 2005, the net cost of semiconductor components purchased from TECH was $651.9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September 1, 2005, the Company had the following off-balance sheet arrangements: convertible debt, call spread options, stock warrants and its variable interest in the TECH joint venture.</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Liquidity and Capital Resources” for a description of the Company’s convertible debt.</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Concurrent with the issuance of the Notes, the Company purchased call spread options (the “Call Spread Options”) covering 53.7 million shares of the Company’s common stock, which is the number of shares issuable upon conversion of the Notes in full. The Call Spread Options have a lower strike price of $11.79, a higher strike price of $18.19, may be settled at the Company’s option either in cash or net shares and expire on January 29, 2008. Settlement of the Call Spread Options in cash on January 29, 2008, would result in the Company receiving an amount ranging from zero if the market price per share of the Company’s common stock is at or below $11.79 to a maximum of $343.4 million if the market price per share of the Company’s common stock is at or above $18.19.</w:t>
      </w:r>
    </w:p>
    <w:p>
      <w:pPr>
        <w:spacing w:after="0" w:line="193"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w:t>
      </w:r>
    </w:p>
    <w:p>
      <w:pPr>
        <w:sectPr>
          <w:pgSz w:w="11900" w:h="16898" w:orient="portrait"/>
          <w:cols w:equalWidth="0" w:num="1">
            <w:col w:w="11400"/>
          </w:cols>
          <w:pgMar w:left="240" w:top="125" w:right="259" w:bottom="0" w:gutter="0" w:footer="0" w:header="0"/>
        </w:sectPr>
      </w:pPr>
    </w:p>
    <w:bookmarkStart w:id="13" w:name="page14"/>
    <w:bookmarkEnd w:id="13"/>
    <w:p>
      <w:pPr>
        <w:spacing w:after="0" w:line="4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September 1, 2005, there had been no exercises of warrants and all warrants issued remained outstanding.</w:t>
      </w:r>
    </w:p>
    <w:p>
      <w:pPr>
        <w:spacing w:after="0" w:line="16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Joint Venture” for a description of the Company’s arrangement with its TECH joint venture.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May 2005, the FASB issued SFAS No. 154, “Accounting 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is currently assessing the impact of Interpretation No. 47 on its results of operations and financial condition.</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December 2004, the FASB issued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 interaction between SFAS No. 123(R) and certain SEC rules and regulations as well as provides the SEC staff’s views regarding the valuation of share-based payment arrangements for public companies. The Company is required to adopt SFAS No. 123(R) in the beginning of 2006. Upon adoption, the Company will record non-cash stock compensation expense primarily associated with future grants of stock options, which will have an adverse effect on its results of operations.</w:t>
      </w:r>
    </w:p>
    <w:p>
      <w:pPr>
        <w:spacing w:after="0" w:line="18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effect on the Company’s results of operations or financial condition.</w:t>
      </w:r>
    </w:p>
    <w:p>
      <w:pPr>
        <w:spacing w:after="0" w:line="15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the beginning of 2006 and its adoption is not expected to have a significant effect on the Company’s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is required to estimate its provision for income taxes and amounts ultimately payable or recoverable in numerous tax</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188"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average cost or market value. Cost includes labor, material and overhead costs, including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technology costs. Determining market value of inventories involves numerous judgments, including projecting average selling prices and sales volumes for future periods and costs to complete products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w:t>
      </w:r>
    </w:p>
    <w:p>
      <w:pPr>
        <w:sectPr>
          <w:pgSz w:w="11900" w:h="16881" w:orient="portrait"/>
          <w:cols w:equalWidth="0" w:num="1">
            <w:col w:w="11400"/>
          </w:cols>
          <w:pgMar w:left="240" w:top="125" w:right="259" w:bottom="0" w:gutter="0" w:footer="0" w:header="0"/>
        </w:sectPr>
      </w:pPr>
    </w:p>
    <w:bookmarkStart w:id="14" w:name="page15"/>
    <w:bookmarkEnd w:id="14"/>
    <w:p>
      <w:pPr>
        <w:spacing w:after="0" w:line="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8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inventory has been categorized as semiconductor memory products or CMOS image sensors. The major characteristics the Company considers in determining inventory categories are product type and markets.</w:t>
      </w:r>
    </w:p>
    <w:p>
      <w:pPr>
        <w:spacing w:after="0" w:line="143" w:lineRule="exact"/>
        <w:rPr>
          <w:sz w:val="20"/>
          <w:szCs w:val="20"/>
          <w:color w:val="auto"/>
        </w:rPr>
      </w:pPr>
    </w:p>
    <w:p>
      <w:pPr>
        <w:ind w:firstLine="324"/>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60" w:firstLine="324"/>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10-K, the following are important factors which could cause actual results or events to differ materially from those contained in any forward- 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Per megabit average selling prices decreased 24% in 2005 as compared to 2004. In recent years, we have also experienced annual decreases in per megabit average selling prices for our semiconductor memory products including: 17% in 2003, 53% in 2002, 60% in 2001, 37% in 1999, 60% in 1998 and 75% in 1997. At times, average selling prices for our semiconductor products have been below our costs. If average selling prices for our memory products decrease faster than we can decrease per megabit costs, our business, results of operations or financial condition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Increased worldwide DRAM production or lack of demand for DRAM could lead to further declines in average selling prices for DRAM.</w:t>
      </w:r>
    </w:p>
    <w:p>
      <w:pPr>
        <w:spacing w:after="0" w:line="241"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transition to smaller line-width process technologies and 300mm wafers in the industry could, depending upon the rate of transition,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 existing facilities. Increases in worldwide supply of DRAM,</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not accompanied with increases in demand, could lead to further declines in average selling prices for our products and could materially adversely affect our business, results of operations or financial condition.</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As the computer industry matures and the growth rate of computers sold or growth rate of the amount of semiconductor memory included in each computer decreases, sales of our semiconductor products could decrease.</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primarily dependent on the computing market as most of the semiconductor products we sell are used in computers, servers or peripheral products. Approximately 70% of our sales of semiconductor products for 2005 were to the computing market. DRAMs are the primary semiconductor memory components in computers. Throughout most of the 1980s and 1990s, industry revenue for the DRAM market grew at a much faster rate than the overall economy, driven by both growth in sales of computers and the amount of memory included in each computer sold. However, as with any maturing market, it is unlikely that historic growth rates for this market will be sustained. In recent years, the DRAM market has grown at a significantly slower rate as the computer industry has continued to mature. The reduction in the growth rate of computers sold or growth rate of the amount of semiconductor memory included in each computer could reduce sales of our semiconductor products and our business, results of operations or financial condition could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Historically, our gross margin has benefited from decreases in per megabit manufacturing costs achieved through improvements in our manufacturing processes, including reducing the die size of our existing products. In future periods, we may be unable to reduce our per megabit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w:t>
      </w:r>
    </w:p>
    <w:p>
      <w:pPr>
        <w:sectPr>
          <w:pgSz w:w="11900" w:h="16854" w:orient="portrait"/>
          <w:cols w:equalWidth="0" w:num="1">
            <w:col w:w="11400"/>
          </w:cols>
          <w:pgMar w:left="240" w:top="125" w:right="259" w:bottom="0" w:gutter="0" w:footer="0" w:header="0"/>
        </w:sectPr>
      </w:pPr>
    </w:p>
    <w:bookmarkStart w:id="15" w:name="page16"/>
    <w:bookmarkEnd w:id="15"/>
    <w:p>
      <w:pPr>
        <w:ind w:right="60"/>
        <w:spacing w:after="0" w:line="312" w:lineRule="auto"/>
        <w:rPr>
          <w:sz w:val="20"/>
          <w:szCs w:val="20"/>
          <w:color w:val="auto"/>
        </w:rPr>
      </w:pPr>
      <w:r>
        <w:rPr>
          <w:rFonts w:ascii="Arial" w:cs="Arial" w:eastAsia="Arial" w:hAnsi="Arial"/>
          <w:sz w:val="16"/>
          <w:szCs w:val="16"/>
          <w:color w:val="auto"/>
        </w:rPr>
        <w:t>significant capital investments in manufacturing technology, facilities and capital equipment, research and development, and product and process technology.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2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Infineon Technologies AG, Samsung Electronics Co., Ltd., SanDisk Corporation and Toshiba Corporation. Additionally, we face competition from emerging companies in Taiwan and China who have announced plans to significantly expand the scale of their operations. We face competition in the image sensor market from a number of suppliers of CMOS image sensors as well a large number of suppliers of CCD image sensors.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yen and euro. In the event that the U.S. dollar weakens significantly compared to the yen or euro, our results of operations or financial condition will be adversely affected. The Company estimates that, based on its assets and liabilities denominated in currencies other than U.S. dollar as of September 1, 2005, a 1% change in the exchange rate versus the U.S. dollar would result in foreign currency gains or losses of approximately $1 million for the yen and $1 million for the euro.</w:t>
      </w:r>
    </w:p>
    <w:p>
      <w:pPr>
        <w:spacing w:after="0" w:line="1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TECH supplied approximately 25% of our total megabits of memory produced in 2005. We have agreements to purchase all of the products manufactured by TECH subject to specific terms and conditions. In some periods, we have realized higher margins on products purchased from TECH than products manufactured by our wholly-owned facilities. Any reduction in supply could materially adversely affect our business, results of operations or financial condition. As of September 1, 2005, we had intangible assets with a net book value of $50.3 million relating to the supply arrangement to purchase product from TECH. In the event that our supply of semiconductor products from TECH is reduced or eliminated, we may be required to write off part or all of these assets and our revenues and results of operations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are developing new products that complement our traditional memory products or leverage their underlying design or process technology. We anticipate expending significant resources for new semiconductor product development over the next several years. In particular, we have made significant investments in NAND Flash and CMOS image sensor product and process technologies.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9"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13, 2000, Rambus filed suit against Micron Europe Limited in the High Court of Justice, Chancery Division in London, England; on September 22, 2000, Rambus filed a complaint against us and Reptronic (a distributor of our products) in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We also are engaged in litigation with Tessera, Inc. (“Tessera”) relating to certain of Tessera’s patents and certain of our patents. On March 1, 2005, Tessera filed suit against us in the U.S. District Court for the Eastern District of Texas alleging infringement of five Tessera patents. On June 22, 2005, we filed an answer and counterclaim denying Tessera’s claims and alleging infringement of eight of our patents. We also are engaged in litigation with Tadahiro Ohmi (“Ohmi”). On June 2, 2005, Ohmi filed suit against the Company in the U.S. District Court for the Eastern District of Texas (amended on August 31, 2005) alleging infringement of a single Ohmi patent.</w:t>
      </w:r>
    </w:p>
    <w:p>
      <w:pPr>
        <w:spacing w:after="0" w:line="395" w:lineRule="exact"/>
        <w:rPr>
          <w:sz w:val="20"/>
          <w:szCs w:val="20"/>
          <w:color w:val="auto"/>
        </w:rPr>
      </w:pPr>
    </w:p>
    <w:p>
      <w:pPr>
        <w:jc w:val="both"/>
        <w:ind w:right="120" w:firstLine="324"/>
        <w:spacing w:after="0" w:line="312" w:lineRule="auto"/>
        <w:rPr>
          <w:sz w:val="20"/>
          <w:szCs w:val="20"/>
          <w:color w:val="auto"/>
        </w:rPr>
      </w:pPr>
      <w:r>
        <w:rPr>
          <w:rFonts w:ascii="Arial" w:cs="Arial" w:eastAsia="Arial" w:hAnsi="Arial"/>
          <w:sz w:val="16"/>
          <w:szCs w:val="16"/>
          <w:color w:val="auto"/>
        </w:rPr>
        <w:t>Among other things, the above lawsuits pertain to certain of our SDRAM, DDRSDRAM, and DDR2 SDRAM products, which account for a significant portion of our net sales. 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w:t>
      </w:r>
    </w:p>
    <w:p>
      <w:pPr>
        <w:sectPr>
          <w:pgSz w:w="11900" w:h="16838" w:orient="portrait"/>
          <w:cols w:equalWidth="0" w:num="1">
            <w:col w:w="11400"/>
          </w:cols>
          <w:pgMar w:left="240" w:top="125" w:right="259" w:bottom="0" w:gutter="0" w:footer="0" w:header="0"/>
        </w:sectPr>
      </w:pPr>
    </w:p>
    <w:bookmarkStart w:id="16" w:name="page17"/>
    <w:bookmarkEnd w:id="16"/>
    <w:p>
      <w:pPr>
        <w:spacing w:after="0" w:line="1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assertions of infringement made against the Company. Any of the foregoing could have a material adverse effect on our business, results of operations or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88" w:lineRule="exact"/>
        <w:rPr>
          <w:sz w:val="20"/>
          <w:szCs w:val="20"/>
          <w:color w:val="auto"/>
        </w:rPr>
      </w:pPr>
    </w:p>
    <w:p>
      <w:pPr>
        <w:ind w:firstLine="324"/>
        <w:spacing w:after="0" w:line="282"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Eighteen cases have been filed in various federal district courts (one of which has been voluntarily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sixty-one cases have been filed in various state and federal courts (three of which have been voluntarily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our analysis of the claims made and the nature of the DRAM industry, we believe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w:t>
      </w:r>
    </w:p>
    <w:p>
      <w:pPr>
        <w:spacing w:after="0" w:line="1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New Jersey, New Mexico, New York, Ohio, Oklahoma, Oregon, Pennsylvania, South Carolina, Texas, Utah, Vermont, Virginia, Washington, West Virginia and Wisconsin have indicated that they are investigating potential state and federal civil claims against us and other DRAM suppliers on behalf of state and governmental entities that were direct or indirect purchasers of DRAM and potentially on behalf of other indirect purchasers of DRAM. 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7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We are unable to predict the outcome of the suit. A court determination against us could result in significant liability and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technology or our inability to effectively market, manufacture or ship our products, our business, results of operations or financial condition could be materially adversely affected.</w:t>
      </w:r>
    </w:p>
    <w:p>
      <w:pPr>
        <w:spacing w:after="0" w:line="166"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to customers outside the United States approximated 66% of our consolidated net sales for 2005. In addition, we have manufacturing operations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Italy, Japan, Puerto Rico, Scotland and Singapore. Our international sales and operations are subject to a variety of risks, including:</w:t>
      </w:r>
    </w:p>
    <w:p>
      <w:pPr>
        <w:spacing w:after="0" w:line="21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5"/>
        </w:numPr>
        <w:rPr>
          <w:rFonts w:ascii="Arial" w:cs="Arial" w:eastAsia="Arial" w:hAnsi="Arial"/>
          <w:sz w:val="22"/>
          <w:szCs w:val="22"/>
          <w:color w:val="auto"/>
        </w:rPr>
      </w:pPr>
      <w:r>
        <w:rPr>
          <w:rFonts w:ascii="Arial" w:cs="Arial" w:eastAsia="Arial" w:hAnsi="Arial"/>
          <w:sz w:val="18"/>
          <w:szCs w:val="18"/>
          <w:color w:val="auto"/>
        </w:rPr>
        <w:t>export and import duties, changes to import and export regulations, and restrictions on the transfer of funds,</w:t>
      </w:r>
    </w:p>
    <w:p>
      <w:pPr>
        <w:sectPr>
          <w:pgSz w:w="11900" w:h="16857" w:orient="portrait"/>
          <w:cols w:equalWidth="0" w:num="1">
            <w:col w:w="11400"/>
          </w:cols>
          <w:pgMar w:left="240" w:top="125" w:right="259" w:bottom="0" w:gutter="0" w:footer="0" w:header="0"/>
        </w:sectPr>
      </w:pPr>
    </w:p>
    <w:bookmarkStart w:id="17" w:name="page18"/>
    <w:bookmarkEnd w:id="17"/>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89" w:lineRule="exact"/>
        <w:rPr>
          <w:sz w:val="20"/>
          <w:szCs w:val="20"/>
          <w:color w:val="auto"/>
        </w:rPr>
      </w:pPr>
    </w:p>
    <w:p>
      <w:pPr>
        <w:ind w:right="16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incompatible products occur after we have shipped such products, we could be adversely affected in several ways, including the following:</w:t>
      </w:r>
    </w:p>
    <w:p>
      <w:pPr>
        <w:spacing w:after="0" w:line="252"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to make future acquisitions where we believe it is advisable to enhance shareholder value. Acquisitions involve numerous risks, including:</w:t>
      </w:r>
    </w:p>
    <w:p>
      <w:pPr>
        <w:spacing w:after="0" w:line="25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products,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ectPr>
          <w:pgSz w:w="11900" w:h="16838" w:orient="portrait"/>
          <w:cols w:equalWidth="0" w:num="1">
            <w:col w:w="11420"/>
          </w:cols>
          <w:pgMar w:left="240" w:top="346" w:right="239" w:bottom="0" w:gutter="0" w:footer="0" w:header="0"/>
        </w:sectPr>
      </w:pPr>
    </w:p>
    <w:bookmarkStart w:id="18" w:name="page19"/>
    <w:bookmarkEnd w:id="18"/>
    <w:p>
      <w:pPr>
        <w:spacing w:after="0" w:line="6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of September 1, 2005, over $1.0 billion of the Company’s $1.2 billion in total debt was at fixed interest rates. As a result, the fair value of the debt fluctuates based on changes in market interest rates. The estimated fair market value of the Company’s debt approximated $1.2 billion as of September 1, 2005 and September 2, 2004. The Company entered into an interest rate swap agreement (the “Swap”) that effectively converted, beginning August 29, 2003, the 2.5% fixed interest rate on the Company’s $632.5 million Convertible Subordinated Notes (the “Notes”) to a variable interest rate based on the 3-month London Interbank Offering Rate (“LIBOR”) less 65 basis points.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does not use derivative financial instruments for trading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information in this section should be read in conjunction with the information related to changes in the exchange rates of foreign currency in “Item 7. Management’s Discussion and Analysis of Financial Condition and Results of Operations – Certain Factors.” Changes in foreign currency exchange rates could materially adversely affect the Company’s results of operations or financial condition.</w:t>
      </w:r>
    </w:p>
    <w:p>
      <w:pPr>
        <w:spacing w:after="0" w:line="181"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The functional currency for substantially all of the Company’s operations is the U.S. dollar. The Company held aggregate cash and other assets in foreign currency valued at U.S. $344.4 million as of September 1, 2005, and U.S. $118.9 million as of September 2, 2004 (including cash and equivalents denominated in yen valued at U.S. $214.9 million as of September 1, 2005, and U.S. $10.9 million as of September 2, 2004 and deferred income tax assets denominated in yen valued at U.S. $50.5 million as of September 1, 2005, and U.S. $52.4 million as of September 2, 2004). The Company also held aggregate foreign currency liabilities valued at U.S. $575.3 million as of September 1, 2005, and U.S. $403.6 million as of September 2,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(including debt denominated in yen valued at U.S. $298.9 million as of September 1, 2005, and U.S. $113.1 million as of September 2, 2004). Foreign currency receivables and payables as of September 1, 2005, were comprised primarily of yen, euros, Singapore dollars and British pounds. The Company estimates that, based on its assets and liabilities denominated in currencies other than U.S. dollar as of September 1, 2005, a 1% change in the exchange rate versus the U.S. dollar would result in foreign currency gains or losses of approximately $1 million for the yen and $1 million for the euro.</w:t>
      </w:r>
    </w:p>
    <w:p>
      <w:pPr>
        <w:spacing w:after="0" w:line="15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the third quarter of 2005, the Company entered into two yen-denominated loans aggregating 23.5 billion yen ($221.4 million) payable in semi-annual installments through 2010. The first, a syndicated loan for 13.5 billion yen, bears interest at the 6-month Tokyo Interbank Offered Rate (“TIBOR”) plus 1.25% (1.35% as of closing). The second, a 10.0 billion yen loan has a fixed rate of 0.95%. The Company invested the proceeds of the loans in yen-denominated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Consolidated Financial Statements as of September 1, 2005, and September 2, 2004, and for the fiscal years ended September 1, 2005, September 2, 2004 and August 28, 2003:</w:t>
      </w:r>
    </w:p>
    <w:p>
      <w:pPr>
        <w:spacing w:after="0" w:line="170" w:lineRule="exact"/>
        <w:rPr>
          <w:sz w:val="20"/>
          <w:szCs w:val="20"/>
          <w:color w:val="auto"/>
        </w:rPr>
      </w:pPr>
    </w:p>
    <w:p>
      <w:pPr>
        <w:ind w:left="3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Consolidated Statements of Operations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Consolidated Balance Sheets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Consolidated Statements of Shareholders’ Equity</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Consolidated Statements of Cash Flows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Notes to Consolidated Financial Statements</w:t>
        </w:r>
      </w:hyperlink>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Report of Independent Registered Public Accounting Firm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w:t>
      </w:r>
    </w:p>
    <w:p>
      <w:pPr>
        <w:spacing w:after="0" w:line="225" w:lineRule="exact"/>
        <w:rPr>
          <w:sz w:val="20"/>
          <w:szCs w:val="20"/>
          <w:color w:val="auto"/>
        </w:rPr>
      </w:pPr>
    </w:p>
    <w:p>
      <w:pPr>
        <w:ind w:left="360"/>
        <w:spacing w:after="0"/>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Schedule II – Valuation and Qualifying Accounts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180" w:type="dxa"/>
            <w:vAlign w:val="bottom"/>
          </w:tcPr>
          <w:p>
            <w:pPr>
              <w:spacing w:after="0"/>
              <w:rPr>
                <w:sz w:val="13"/>
                <w:szCs w:val="13"/>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1,</w:t>
            </w:r>
          </w:p>
        </w:tc>
        <w:tc>
          <w:tcPr>
            <w:tcW w:w="18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w:t>
            </w:r>
          </w:p>
        </w:tc>
        <w:tc>
          <w:tcPr>
            <w:tcW w:w="22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9"/>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9"/>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4,404.2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3,734.4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3,089.5</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3,112.0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20" w:type="dxa"/>
            <w:vAlign w:val="bottom"/>
            <w:tcBorders>
              <w:top w:val="single" w:sz="8" w:color="CCEEFF"/>
            </w:tcBorders>
            <w:gridSpan w:val="2"/>
            <w:shd w:val="clear" w:color="auto" w:fill="CCEEFF"/>
          </w:tcPr>
          <w:p>
            <w:pPr>
              <w:ind w:left="160"/>
              <w:spacing w:after="0" w:line="185" w:lineRule="exact"/>
              <w:rPr>
                <w:sz w:val="20"/>
                <w:szCs w:val="20"/>
                <w:color w:val="auto"/>
              </w:rPr>
            </w:pPr>
            <w:r>
              <w:rPr>
                <w:rFonts w:ascii="Arial" w:cs="Arial" w:eastAsia="Arial" w:hAnsi="Arial"/>
                <w:sz w:val="18"/>
                <w:szCs w:val="18"/>
                <w:color w:val="auto"/>
              </w:rPr>
              <w:t>Gross margin</w:t>
            </w: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1,314.7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348.3</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603.7</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754.9</w:t>
            </w: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4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3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(46.9)</w:t>
            </w:r>
          </w:p>
        </w:tc>
        <w:tc>
          <w:tcPr>
            <w:tcW w:w="4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160"/>
              <w:spacing w:after="0"/>
              <w:rPr>
                <w:sz w:val="20"/>
                <w:szCs w:val="20"/>
                <w:color w:val="auto"/>
              </w:rPr>
            </w:pPr>
            <w:r>
              <w:rPr>
                <w:rFonts w:ascii="Arial" w:cs="Arial" w:eastAsia="Arial" w:hAnsi="Arial"/>
                <w:sz w:val="18"/>
                <w:szCs w:val="18"/>
                <w:color w:val="auto"/>
              </w:rPr>
              <w:t>Income (loss) before taxes</w:t>
            </w: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198.6</w:t>
            </w:r>
          </w:p>
        </w:tc>
        <w:tc>
          <w:tcPr>
            <w:tcW w:w="3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(provision)</w:t>
            </w:r>
          </w:p>
        </w:tc>
        <w:tc>
          <w:tcPr>
            <w:tcW w:w="4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4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0.29</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0.29</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647.7</w:t>
            </w: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641.5</w:t>
            </w:r>
          </w:p>
        </w:tc>
        <w:tc>
          <w:tcPr>
            <w:tcW w:w="4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702.0</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par value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71"/>
        </w:trPr>
        <w:tc>
          <w:tcPr>
            <w:tcW w:w="83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524.5</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794.4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4,683.8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752.5</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1,020.2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$0.10 par value, authorized 3.0 billion shares, issued and outstanding 616.2 million and 611.5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million shares</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4,707.4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40" w:right="239" w:bottom="0" w:gutter="0" w:footer="0" w:header="0"/>
        </w:sectPr>
      </w:pPr>
    </w:p>
    <w:bookmarkStart w:id="20" w:name="page21"/>
    <w:bookmarkEnd w:id="2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8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48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59"/>
              <w:spacing w:after="0" w:line="158"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3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0"/>
                <w:szCs w:val="10"/>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360" w:type="dxa"/>
            <w:vAlign w:val="bottom"/>
            <w:gridSpan w:val="2"/>
          </w:tcPr>
          <w:p>
            <w:pPr>
              <w:jc w:val="center"/>
              <w:ind w:right="279"/>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10"/>
                <w:szCs w:val="10"/>
                <w:color w:val="auto"/>
              </w:rPr>
            </w:pPr>
          </w:p>
        </w:tc>
        <w:tc>
          <w:tcPr>
            <w:tcW w:w="11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36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August 29, 2002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604.4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4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Net loss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(1,273.2)</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(1,273.2)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 (loss):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Net change in unrealized gain (loss) 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ind w:left="520"/>
              <w:spacing w:after="0"/>
              <w:rPr>
                <w:sz w:val="20"/>
                <w:szCs w:val="20"/>
                <w:color w:val="auto"/>
              </w:rPr>
            </w:pPr>
            <w:r>
              <w:rPr>
                <w:rFonts w:ascii="Arial" w:cs="Arial" w:eastAsia="Arial" w:hAnsi="Arial"/>
                <w:sz w:val="16"/>
                <w:szCs w:val="16"/>
                <w:color w:val="auto"/>
              </w:rPr>
              <w:t>investments, net of tax</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Total comprehensive income (loss)</w:t>
            </w:r>
          </w:p>
        </w:tc>
        <w:tc>
          <w:tcPr>
            <w:tcW w:w="1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(1,274.1)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Stock issued under stock plans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Purchase of call spread options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Repurchase and retirement of common stock</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Redeemable common stock accretion</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August 28, 2003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4,176.3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4,971.0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157.2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 (loss):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Net change in unrealized gain (loss) 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ind w:left="520"/>
              <w:spacing w:after="0"/>
              <w:rPr>
                <w:sz w:val="20"/>
                <w:szCs w:val="20"/>
                <w:color w:val="auto"/>
              </w:rPr>
            </w:pPr>
            <w:r>
              <w:rPr>
                <w:rFonts w:ascii="Arial" w:cs="Arial" w:eastAsia="Arial" w:hAnsi="Arial"/>
                <w:sz w:val="16"/>
                <w:szCs w:val="16"/>
                <w:color w:val="auto"/>
              </w:rPr>
              <w:t>investments, net of tax</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99"/>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comprehensive income</w:t>
            </w: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Stock issued under stock plans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Issuance of stock rights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Redemption of common stock</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Redeemable common stock accretion and fair</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value adjustment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2, 2004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tcBorders>
              <w:top w:val="single" w:sz="8" w:color="CCEEFF"/>
              <w:bottom w:val="single" w:sz="8" w:color="CCEEFF"/>
              <w:right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188.0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comprehensive income (loss):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tcPr>
          <w:p>
            <w:pPr>
              <w:ind w:left="340"/>
              <w:spacing w:after="0"/>
              <w:rPr>
                <w:sz w:val="20"/>
                <w:szCs w:val="20"/>
                <w:color w:val="auto"/>
              </w:rPr>
            </w:pPr>
            <w:r>
              <w:rPr>
                <w:rFonts w:ascii="Arial" w:cs="Arial" w:eastAsia="Arial" w:hAnsi="Arial"/>
                <w:sz w:val="16"/>
                <w:szCs w:val="16"/>
                <w:color w:val="auto"/>
              </w:rPr>
              <w:t>Net change in unrealized gain (loss) 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ind w:left="520"/>
              <w:spacing w:after="0"/>
              <w:rPr>
                <w:sz w:val="20"/>
                <w:szCs w:val="20"/>
                <w:color w:val="auto"/>
              </w:rPr>
            </w:pPr>
            <w:r>
              <w:rPr>
                <w:rFonts w:ascii="Arial" w:cs="Arial" w:eastAsia="Arial" w:hAnsi="Arial"/>
                <w:sz w:val="16"/>
                <w:szCs w:val="16"/>
                <w:color w:val="auto"/>
              </w:rPr>
              <w:t>investments, net of tax</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comprehensive income</w:t>
            </w: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Stock issued under stock plans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at September 1, 2005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616.2</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1,078.1</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40" w:type="dxa"/>
            <w:vAlign w:val="bottom"/>
          </w:tcPr>
          <w:p>
            <w:pPr>
              <w:jc w:val="right"/>
              <w:ind w:right="9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5,846.8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20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2,</w:t>
            </w: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28,</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188.0</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restructure and other charges (benefits)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Provision to write down inventories to estimated market values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(gain) from write-down or disposition of equipment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8"/>
                <w:szCs w:val="18"/>
                <w:color w:val="auto"/>
              </w:rPr>
              <w:t>Loss (gain) from write-down or disposition of investments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Increase in receivables</w:t>
            </w: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Increase in inventories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520"/>
              <w:spacing w:after="0"/>
              <w:rPr>
                <w:sz w:val="20"/>
                <w:szCs w:val="20"/>
                <w:color w:val="auto"/>
              </w:rPr>
            </w:pPr>
            <w:r>
              <w:rPr>
                <w:rFonts w:ascii="Arial" w:cs="Arial" w:eastAsia="Arial" w:hAnsi="Arial"/>
                <w:sz w:val="18"/>
                <w:szCs w:val="18"/>
                <w:color w:val="auto"/>
              </w:rPr>
              <w:t>Increase in accounts payable and accrued expenses</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1" w:name="page22"/>
    <w:bookmarkEnd w:id="21"/>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5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4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(1,848.6)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(1,799.4)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(Increase) decrease in restricted cash</w:t>
            </w:r>
          </w:p>
        </w:tc>
        <w:tc>
          <w:tcPr>
            <w:tcW w:w="4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stock rights</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Repayments of debt</w:t>
            </w:r>
          </w:p>
        </w:tc>
        <w:tc>
          <w:tcPr>
            <w:tcW w:w="4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(106.9)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Debt issuance costs</w:t>
            </w:r>
          </w:p>
        </w:tc>
        <w:tc>
          <w:tcPr>
            <w:tcW w:w="4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Redemption of common stock</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Purchase of call spread options</w:t>
            </w: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4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(84.2)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year</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equivalents at end of year</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2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refunded (paid), net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4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4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Micron Technology, Inc. and its subsidiaries (hereinafter referred to collectively as the “Company”) manufacture and market</w:t>
      </w:r>
      <w:r>
        <w:rPr>
          <w:rFonts w:ascii="Arial" w:cs="Arial" w:eastAsia="Arial" w:hAnsi="Arial"/>
          <w:sz w:val="17"/>
          <w:szCs w:val="17"/>
          <w:b w:val="1"/>
          <w:bCs w:val="1"/>
          <w:color w:val="auto"/>
        </w:rPr>
        <w:t xml:space="preserve"> </w:t>
      </w:r>
      <w:r>
        <w:rPr>
          <w:rFonts w:ascii="Arial" w:cs="Arial" w:eastAsia="Arial" w:hAnsi="Arial"/>
          <w:sz w:val="17"/>
          <w:szCs w:val="17"/>
          <w:color w:val="auto"/>
        </w:rPr>
        <w:t>DRAM, NAND Flash memory, CMOS image sensors and other semiconductor components. The accompanying consolidated financial statements have been prepared in accordance with accounting principles generally accepted in the United States of America and include the accounts of the Company and its consolidated subsidiaries. All significant intercompany transactions and balances have been eliminated.</w:t>
      </w:r>
    </w:p>
    <w:p>
      <w:pPr>
        <w:spacing w:after="0" w:line="16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fiscal 2005 and 2003 contained 52 weeks. The Company’s fiscal 2004 contained 53 weeks. All period references are to the Company’s fiscal periods unless otherwise indicated.</w:t>
      </w:r>
    </w:p>
    <w:p>
      <w:pPr>
        <w:spacing w:after="0" w:line="120" w:lineRule="exact"/>
        <w:rPr>
          <w:sz w:val="20"/>
          <w:szCs w:val="20"/>
          <w:color w:val="auto"/>
        </w:rPr>
      </w:pPr>
    </w:p>
    <w:p>
      <w:pPr>
        <w:ind w:right="600" w:firstLine="324"/>
        <w:spacing w:after="0" w:line="282"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none of which affected results of operations, to present the financial statements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w:t>
      </w:r>
    </w:p>
    <w:p>
      <w:pPr>
        <w:spacing w:after="0" w:line="16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and related disclosures in conformity with U.S. generally accepted accounting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16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b w:val="1"/>
          <w:bCs w:val="1"/>
          <w:color w:val="auto"/>
        </w:rPr>
        <w:t xml:space="preserve">Certain concentrations: </w:t>
      </w:r>
      <w:r>
        <w:rPr>
          <w:rFonts w:ascii="Arial" w:cs="Arial" w:eastAsia="Arial" w:hAnsi="Arial"/>
          <w:sz w:val="16"/>
          <w:szCs w:val="16"/>
          <w:color w:val="auto"/>
        </w:rPr>
        <w:t>Approximately 70% of the Company’s net sales for 2005 were to the computing market, including desktop PCs, notebooks,</w:t>
      </w:r>
      <w:r>
        <w:rPr>
          <w:rFonts w:ascii="Arial" w:cs="Arial" w:eastAsia="Arial" w:hAnsi="Arial"/>
          <w:sz w:val="16"/>
          <w:szCs w:val="16"/>
          <w:b w:val="1"/>
          <w:bCs w:val="1"/>
          <w:color w:val="auto"/>
        </w:rPr>
        <w:t xml:space="preserve"> </w:t>
      </w:r>
      <w:r>
        <w:rPr>
          <w:rFonts w:ascii="Arial" w:cs="Arial" w:eastAsia="Arial" w:hAnsi="Arial"/>
          <w:sz w:val="16"/>
          <w:szCs w:val="16"/>
          <w:color w:val="auto"/>
        </w:rPr>
        <w:t>servers and workstations. Sales to one customer were 12.2%, 14.1 % and 14.9% of the Company’s net sales in 2005, 2004 and 2003, respectively. Sales to another customer were 11.3%, 13.2% and 13.2% of the Company’s net sales in 2005, 2004 and 2003, respectively. Sales of DRAM products constituted 87% of the Company's net sales for 2005 and no other product group individually constituted greater than 10% of the Company's net sales. Certain components used by the Company in manufacturing semiconductor products are available from a limited number of suppliers.</w:t>
      </w:r>
    </w:p>
    <w:p>
      <w:pPr>
        <w:spacing w:after="0" w:line="158"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investment securities and trade receivables. The Company invests through high-credit-quality financial institutions and, by policy, limits the concentration of credit exposure by restricting investments with any single obligor. A concentration of credit risk may exist with respect to trade receivables as a substantial portion of the Company’s</w:t>
      </w:r>
    </w:p>
    <w:p>
      <w:pPr>
        <w:sectPr>
          <w:pgSz w:w="11900" w:h="16952" w:orient="portrait"/>
          <w:cols w:equalWidth="0" w:num="1">
            <w:col w:w="11420"/>
          </w:cols>
          <w:pgMar w:left="240" w:top="140" w:right="239" w:bottom="0" w:gutter="0" w:footer="0" w:header="0"/>
        </w:sectPr>
      </w:pPr>
    </w:p>
    <w:bookmarkStart w:id="22" w:name="page23"/>
    <w:bookmarkEnd w:id="22"/>
    <w:p>
      <w:pPr>
        <w:ind w:right="380"/>
        <w:spacing w:after="0" w:line="277" w:lineRule="auto"/>
        <w:rPr>
          <w:sz w:val="20"/>
          <w:szCs w:val="20"/>
          <w:color w:val="auto"/>
        </w:rPr>
      </w:pPr>
      <w:r>
        <w:rPr>
          <w:rFonts w:ascii="Arial" w:cs="Arial" w:eastAsia="Arial" w:hAnsi="Arial"/>
          <w:sz w:val="18"/>
          <w:szCs w:val="18"/>
          <w:color w:val="auto"/>
        </w:rPr>
        <w:t>customers are affiliated with the computing industry. The Company performs ongoing credit evaluations of customers worldwide and generally does not require collateral from its customers. Historically, the Company has not experienced significant losses on receivables.</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7"/>
          <w:szCs w:val="17"/>
          <w:b w:val="1"/>
          <w:bCs w:val="1"/>
          <w:color w:val="auto"/>
        </w:rPr>
        <w:t xml:space="preserve">Product warranty: </w:t>
      </w:r>
      <w:r>
        <w:rPr>
          <w:rFonts w:ascii="Arial" w:cs="Arial" w:eastAsia="Arial" w:hAnsi="Arial"/>
          <w:sz w:val="17"/>
          <w:szCs w:val="17"/>
          <w:color w:val="auto"/>
        </w:rPr>
        <w:t>The Company generally provides a limited warranty that its products are in compliance with Company specifications existing at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impose upon the Company more extensive liability than that provided under the Company’s general terms and conditions. The Company’s warranty obligations are not material.</w:t>
      </w:r>
    </w:p>
    <w:p>
      <w:pPr>
        <w:spacing w:after="0" w:line="168" w:lineRule="exact"/>
        <w:rPr>
          <w:sz w:val="20"/>
          <w:szCs w:val="20"/>
          <w:color w:val="auto"/>
        </w:rPr>
      </w:pPr>
    </w:p>
    <w:p>
      <w:pPr>
        <w:ind w:right="220" w:firstLine="324"/>
        <w:spacing w:after="0" w:line="31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recognizes revenue when persuasive evidence of a sales arrangement exists, delivery has occurred, the price is</w:t>
      </w:r>
      <w:r>
        <w:rPr>
          <w:rFonts w:ascii="Arial" w:cs="Arial" w:eastAsia="Arial" w:hAnsi="Arial"/>
          <w:sz w:val="16"/>
          <w:szCs w:val="16"/>
          <w:b w:val="1"/>
          <w:bCs w:val="1"/>
          <w:color w:val="auto"/>
        </w:rPr>
        <w:t xml:space="preserve"> </w:t>
      </w:r>
      <w:r>
        <w:rPr>
          <w:rFonts w:ascii="Arial" w:cs="Arial" w:eastAsia="Arial" w:hAnsi="Arial"/>
          <w:sz w:val="16"/>
          <w:szCs w:val="16"/>
          <w:color w:val="auto"/>
        </w:rPr>
        <w:t>fixed or determinable and collectibility is reasonably assured. Because of frequent changes in market prices for the Company’s products, sales made under agreements allowing pricing protection or rights of return (other than for product warranty) are deferred until customers have sold the product.</w:t>
      </w:r>
    </w:p>
    <w:p>
      <w:pPr>
        <w:spacing w:after="0" w:line="142"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as 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40" w:firstLine="324"/>
        <w:spacing w:after="0" w:line="313" w:lineRule="auto"/>
        <w:rPr>
          <w:sz w:val="20"/>
          <w:szCs w:val="20"/>
          <w:color w:val="auto"/>
        </w:rPr>
      </w:pPr>
      <w:r>
        <w:rPr>
          <w:rFonts w:ascii="Arial" w:cs="Arial" w:eastAsia="Arial" w:hAnsi="Arial"/>
          <w:sz w:val="17"/>
          <w:szCs w:val="17"/>
          <w:b w:val="1"/>
          <w:bCs w:val="1"/>
          <w:color w:val="auto"/>
        </w:rPr>
        <w:t xml:space="preserve">Segment information: </w:t>
      </w:r>
      <w:r>
        <w:rPr>
          <w:rFonts w:ascii="Arial" w:cs="Arial" w:eastAsia="Arial" w:hAnsi="Arial"/>
          <w:sz w:val="17"/>
          <w:szCs w:val="17"/>
          <w:color w:val="auto"/>
        </w:rPr>
        <w:t>The Company has determined, based on the nature of its operations and products offered to customers, that its only reportable</w:t>
      </w:r>
      <w:r>
        <w:rPr>
          <w:rFonts w:ascii="Arial" w:cs="Arial" w:eastAsia="Arial" w:hAnsi="Arial"/>
          <w:sz w:val="17"/>
          <w:szCs w:val="17"/>
          <w:b w:val="1"/>
          <w:bCs w:val="1"/>
          <w:color w:val="auto"/>
        </w:rPr>
        <w:t xml:space="preserve"> </w:t>
      </w:r>
      <w:r>
        <w:rPr>
          <w:rFonts w:ascii="Arial" w:cs="Arial" w:eastAsia="Arial" w:hAnsi="Arial"/>
          <w:sz w:val="17"/>
          <w:szCs w:val="17"/>
          <w:color w:val="auto"/>
        </w:rPr>
        <w:t>segment is Semiconductor Operations. The Semiconductor Operations segment’s primary product is semiconductor memory.</w:t>
      </w:r>
    </w:p>
    <w:p>
      <w:pPr>
        <w:spacing w:after="0" w:line="13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Through 2005, the Company’s employee stock plans were accounted for using the intrinsic value method prescribed by</w:t>
      </w:r>
      <w:r>
        <w:rPr>
          <w:rFonts w:ascii="Arial" w:cs="Arial" w:eastAsia="Arial" w:hAnsi="Arial"/>
          <w:sz w:val="17"/>
          <w:szCs w:val="17"/>
          <w:b w:val="1"/>
          <w:bCs w:val="1"/>
          <w:color w:val="auto"/>
        </w:rPr>
        <w:t xml:space="preserve"> </w:t>
      </w:r>
      <w:r>
        <w:rPr>
          <w:rFonts w:ascii="Arial" w:cs="Arial" w:eastAsia="Arial" w:hAnsi="Arial"/>
          <w:sz w:val="17"/>
          <w:szCs w:val="17"/>
          <w:color w:val="auto"/>
        </w:rPr>
        <w:t>APB No. 25, “Accounting for Stock Issued to Employees.” The Company utilizes the Black-Scholes option valuation model to value stock options for pro forma presentation of income and per share data as if the fair value based method in Statement of Financial Accounting Standards (“SFAS”) No. 123, “Accounting for Stock-Based Compensation,” had been used to account for stock-based compensation. The following presents pro forma income (loss) and per share data as if a fair value based method had been used to account for stock-based compensation:</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04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188.0</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w:t>
            </w: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188.0</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156.3</w:t>
            </w:r>
          </w:p>
        </w:tc>
        <w:tc>
          <w:tcPr>
            <w:tcW w:w="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02"/>
        </w:trPr>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Stock-based employee compensation expense included in reported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net of tax</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w w:val="90"/>
              </w:rPr>
              <w:t>Less total stock-based employee compensation expense determined under a</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fair value-based method for all awards, net of tax</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(264.7)</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7"/>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income (loss) available to common shareholders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Basic, as reported</w:t>
            </w:r>
          </w:p>
        </w:tc>
        <w:tc>
          <w:tcPr>
            <w:tcW w:w="10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pro forma</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as reported</w:t>
            </w:r>
          </w:p>
        </w:tc>
        <w:tc>
          <w:tcPr>
            <w:tcW w:w="104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5600" w:type="dxa"/>
            <w:vAlign w:val="bottom"/>
          </w:tcPr>
          <w:p>
            <w:pPr>
              <w:ind w:left="180"/>
              <w:spacing w:after="0"/>
              <w:rPr>
                <w:sz w:val="20"/>
                <w:szCs w:val="20"/>
                <w:color w:val="auto"/>
              </w:rPr>
            </w:pPr>
            <w:r>
              <w:rPr>
                <w:rFonts w:ascii="Arial" w:cs="Arial" w:eastAsia="Arial" w:hAnsi="Arial"/>
                <w:sz w:val="18"/>
                <w:szCs w:val="18"/>
                <w:color w:val="auto"/>
              </w:rPr>
              <w:t>Diluted, pro forma</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April 4, 2005, the Company accelerated the vesting of approximately 44.6 million unvested stock options outstanding under the Company’s stock plans with exercise prices per share of $12.00 or higher. The options had a range of exercise prices of $12.00 to $44.90 and a weighted average exercise price of $14.08. The closing price of the Company’s common stock on April 1, 2005, the last trading day before the acceleration, was $10.26. The acceleration was effective as of April 4, 2005. The purpose of the accelerated vesting was to enable the Company to avoid recognizing compensation expense associated with these options upon adoption of SFAS No. 123(R). The aggregate pre-tax expense associated with the accelerated options that would have been reflected in the Company’s consolidated financial statements in future fiscal years was approximately $100 million, which is included in pro forma stock-based employee compensation expense for 2005.</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Functional currency: </w:t>
      </w:r>
      <w:r>
        <w:rPr>
          <w:rFonts w:ascii="Arial" w:cs="Arial" w:eastAsia="Arial" w:hAnsi="Arial"/>
          <w:sz w:val="18"/>
          <w:szCs w:val="18"/>
          <w:color w:val="auto"/>
        </w:rPr>
        <w:t>The U.S. dollar is the Company’s functional currency for substantially all of its operations.</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computed based on the weighted average number of common shares and stock rights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Basic and diluted earnings per share computations reflect the effect of accretion of, and fair value adjustment to, redeemable common stock.</w:t>
      </w:r>
    </w:p>
    <w:p>
      <w:pPr>
        <w:spacing w:after="0" w:line="184"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of three months or less, readily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convertible to known 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w:t>
      </w:r>
    </w:p>
    <w:p>
      <w:pPr>
        <w:sectPr>
          <w:pgSz w:w="11900" w:h="16838" w:orient="portrait"/>
          <w:cols w:equalWidth="0" w:num="1">
            <w:col w:w="11400"/>
          </w:cols>
          <w:pgMar w:left="240" w:top="125" w:right="259" w:bottom="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3" w:name="page24"/>
    <w:bookmarkEnd w:id="23"/>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stated at market value. The carrying value of investment securities sold is determined using the specific identification method.</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amounts reported as cash and equivalents, short-term investments, receivables, other assets, accounts payable and accrued expenses and equipment purchase contracts approximate their fair values. The estimated fair value of the Company’s debt was $1.2 billion as of September 1, 2005 and September 2, 2004.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w:t>
      </w:r>
    </w:p>
    <w:p>
      <w:pPr>
        <w:spacing w:after="0" w:line="154"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process technology costs. Determining market value of inventories involves numerous judgments, including projecting average selling prices and sales volumes for future periods and costs to complete products in work in process inventories. As a result of these analyses, when market values are below the Company’s costs, the Company records a charge to cost of goods sold in advance of when the inventory is actually sold.</w:t>
      </w:r>
    </w:p>
    <w:p>
      <w:pPr>
        <w:spacing w:after="0" w:line="16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Product and process technology: </w:t>
      </w:r>
      <w:r>
        <w:rPr>
          <w:rFonts w:ascii="Arial" w:cs="Arial" w:eastAsia="Arial" w:hAnsi="Arial"/>
          <w:sz w:val="18"/>
          <w:szCs w:val="18"/>
          <w:color w:val="auto"/>
        </w:rPr>
        <w:t>Costs incurred to acquire product and process technology or to patent technology developed by the Company are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costs are removed from product and process technology and accumulated amortization.</w:t>
      </w:r>
    </w:p>
    <w:p>
      <w:pPr>
        <w:spacing w:after="0" w:line="184" w:lineRule="exact"/>
        <w:rPr>
          <w:sz w:val="20"/>
          <w:szCs w:val="20"/>
          <w:color w:val="auto"/>
        </w:rPr>
      </w:pPr>
    </w:p>
    <w:p>
      <w:pPr>
        <w:ind w:right="260" w:firstLine="324"/>
        <w:spacing w:after="0" w:line="303"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and depreciated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5 to 30 years for buildings, 2 to 20 years for equipment and 2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net gain or loss is included in the Company’s results of operations.</w:t>
      </w:r>
    </w:p>
    <w:p>
      <w:pPr>
        <w:spacing w:after="0" w:line="15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$1.8 million, $1.1 million and $3.4 million in 2005, 2004 and 2003, respectively, in connection with various capital projects.</w:t>
      </w:r>
    </w:p>
    <w:p>
      <w:pPr>
        <w:spacing w:after="0" w:line="17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May 2005, the Financial Accounting Standards Board (“FASB”) issued SFAS No. 154,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and Error Corrections.” SFAS No. 154 replaces APB Opinion No. 20, “Accounting Changes”, and SFAS No. 3, “Reporting Accounting Changes in Interim Financial Statements,” and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92" w:lineRule="exact"/>
        <w:rPr>
          <w:sz w:val="20"/>
          <w:szCs w:val="20"/>
          <w:color w:val="auto"/>
        </w:rPr>
      </w:pPr>
    </w:p>
    <w:p>
      <w:pPr>
        <w:ind w:right="400" w:firstLine="324"/>
        <w:spacing w:after="0" w:line="279" w:lineRule="auto"/>
        <w:rPr>
          <w:sz w:val="20"/>
          <w:szCs w:val="20"/>
          <w:color w:val="auto"/>
        </w:rPr>
      </w:pPr>
      <w:r>
        <w:rPr>
          <w:rFonts w:ascii="Arial" w:cs="Arial" w:eastAsia="Arial" w:hAnsi="Arial"/>
          <w:sz w:val="17"/>
          <w:szCs w:val="17"/>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is currently assessing the impact of Interpretation No. 47 on its results of operations and financial condition.</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December 2004, the FASB issued SFAS No. 123(R), “Share-Based Payment.” SFAS No. 123(R) establishes standards for the accounting for transactions in which an entity exchanges its equity instruments for goods or services or incurs liabilities in exchange for goods or services that are based on the fair value of the entity’s equity instruments, focusing primarily on accounting for transactions in which an entity obtains employee services in share-based payment transactions. SFAS No. 123(R) requires public entities to measure the cost of employee services received in exchange for an award of equity instruments based on the grant-date fair value of the award (with limited exceptions) and recognize the cost over the period during which an employee is required to provide service in exchange for the award. In March 2005, the U.S. Securities and Exchange Commission (“SEC”) issued SAB 107 which expresses views of the SEC staff regarding the application of SFAS No. 123(R). Among other things, SAB 107 provides interpretive guidance related to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interaction between SFAS No. 123(R) and certain SEC rules and regulations as well as provides the SEC staff’s views regarding the valuation of share-based payment arrangements for public companies. The Company is required to adopt SFAS No. 123(R) in the beginning of 2006. Upon adoption, the Company will record non-cash stock compensation expense primarily associated with future grants of stock options, which will have an adverse effect on its results of operations.</w:t>
      </w:r>
    </w:p>
    <w:p>
      <w:pPr>
        <w:spacing w:after="0" w:line="18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December 2004, the FASB issued SFAS No. 153, “Exchanges of Nonmonetary Assets – An Amendment of APB Opinion No. 29,” which eliminates the exception for nonmonetary exchanges of similar productive assets and replaces it with a general exception for exchanges of nonmonetary assets that do not have commercial substance. The Company is required to adopt SFAS No. 153 for nonmonetary asset exchanges occurring in the first quarter of 2006 and its adoption is not expected to have a significant effect on the Company’s results of operations or financial condition.</w:t>
      </w:r>
    </w:p>
    <w:p>
      <w:pPr>
        <w:spacing w:after="0" w:line="15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In November 2004, the FASB issued SFAS No. 151, “Inventory Costs – An Amendment of ARB No. 43, Chapter 4,” which clarifies the accounting for abnormal amounts of idle facility expense, freight, handling costs and wasted material (spoilage). The Company is required to adopt SFAS No. 151 in the beginning of 2006 and its adoption is not expected to have a significant effect on the Company’s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Investment Securities</w:t>
            </w:r>
          </w:p>
        </w:tc>
        <w:tc>
          <w:tcPr>
            <w:tcW w:w="300" w:type="dxa"/>
            <w:vAlign w:val="bottom"/>
          </w:tcPr>
          <w:p>
            <w:pPr>
              <w:spacing w:after="0"/>
              <w:rPr>
                <w:sz w:val="14"/>
                <w:szCs w:val="14"/>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484.6</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286.2</w:t>
            </w: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and agencies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w:t>
            </w:r>
          </w:p>
        </w:tc>
      </w:tr>
      <w:tr>
        <w:trPr>
          <w:trHeight w:val="216"/>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Repurchase agreements</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151"/>
        </w:trPr>
        <w:tc>
          <w:tcPr>
            <w:tcW w:w="7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bl>
    <w:p>
      <w:pPr>
        <w:sectPr>
          <w:pgSz w:w="11900" w:h="16900" w:orient="portrait"/>
          <w:cols w:equalWidth="0" w:num="1">
            <w:col w:w="11400"/>
          </w:cols>
          <w:pgMar w:left="240" w:top="584" w:right="25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Certificates of deposit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68.7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r>
      <w:tr>
        <w:trPr>
          <w:trHeight w:val="210"/>
        </w:trPr>
        <w:tc>
          <w:tcPr>
            <w:tcW w:w="7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1,045.3</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Less cash equivalents</w:t>
            </w:r>
          </w:p>
        </w:tc>
        <w:tc>
          <w:tcPr>
            <w:tcW w:w="4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(276.5)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(431.0)</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noncurrent investments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7"/>
        </w:trPr>
        <w:tc>
          <w:tcPr>
            <w:tcW w:w="72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Gross unrealized gains and losses as of the end of the periods shown above were de minimis as were gross realized gains and losses in 2005, 2004 and 2003. Debt securities of $995.2 million held by the Company as of September 1, 2005, have contractual maturities within one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Receivables</w:t>
            </w: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710.4</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Joint venture</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 other than income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7"/>
        </w:trPr>
        <w:tc>
          <w:tcPr>
            <w:tcW w:w="7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65"/>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Inventories</w:t>
            </w:r>
          </w:p>
        </w:tc>
        <w:tc>
          <w:tcPr>
            <w:tcW w:w="300" w:type="dxa"/>
            <w:vAlign w:val="bottom"/>
          </w:tcPr>
          <w:p>
            <w:pPr>
              <w:spacing w:after="0"/>
              <w:rPr>
                <w:sz w:val="24"/>
                <w:szCs w:val="2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271.1</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395.1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337.9</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Raw materials and supplies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Allowance for obsolescence</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r>
      <w:tr>
        <w:trPr>
          <w:trHeight w:val="217"/>
        </w:trPr>
        <w:tc>
          <w:tcPr>
            <w:tcW w:w="7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recognized write-downs aggregating $307.0 million in 2003 to record work in process and finished goods inventories at their estimated market values.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Intangible Assets</w:t>
            </w:r>
          </w:p>
        </w:tc>
        <w:tc>
          <w:tcPr>
            <w:tcW w:w="960" w:type="dxa"/>
            <w:vAlign w:val="bottom"/>
          </w:tcPr>
          <w:p>
            <w:pPr>
              <w:spacing w:after="0"/>
              <w:rPr>
                <w:sz w:val="14"/>
                <w:szCs w:val="14"/>
                <w:color w:val="auto"/>
              </w:rPr>
            </w:pPr>
          </w:p>
        </w:tc>
        <w:tc>
          <w:tcPr>
            <w:tcW w:w="8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2004</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Borders>
              <w:top w:val="single" w:sz="8" w:color="auto"/>
            </w:tcBorders>
          </w:tcPr>
          <w:p>
            <w:pPr>
              <w:jc w:val="right"/>
              <w:ind w:right="28"/>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Gross</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384.6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Joint venture supply arrangement</w:t>
            </w:r>
          </w:p>
        </w:tc>
        <w:tc>
          <w:tcPr>
            <w:tcW w:w="9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105.0</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808"/>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494.9</w:t>
            </w:r>
          </w:p>
        </w:tc>
        <w:tc>
          <w:tcPr>
            <w:tcW w:w="2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(234.7)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474.5</w:t>
            </w:r>
          </w:p>
        </w:tc>
        <w:tc>
          <w:tcPr>
            <w:tcW w:w="2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During 2005, the Company capitalized $34.7 million for product and process technology with a weighted average useful life of ten years. During 2004, the Company capitalized $37.0 million for product and process technology with a weighted average useful life of ten years. As part of a restructure plan announced in the second quarter of 2003, the Company wrote off net carrying values of $16.1 million of product and process technology and $2.5 million of other intangible assets associated with discontinued products, including SRAM and TCAM products. (See “Restructure and Other Charges” note.)</w:t>
      </w:r>
    </w:p>
    <w:p>
      <w:pPr>
        <w:spacing w:after="0" w:line="15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Amortization expense for intangible assets was $50.8 million, $50.3 million and $51.1 million in 2005, 2004 and 2003, respectively. Annual amortization expense for intangible assets held as of September 1, 2005, is estimated to be $51.1 million for 2006, $49.2 million for 2007, $48.5 million for 2008, $37.5 million for 2009 and $29.0 million for 2010.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Property, Plant and Equipment</w:t>
            </w:r>
          </w:p>
        </w:tc>
        <w:tc>
          <w:tcPr>
            <w:tcW w:w="300" w:type="dxa"/>
            <w:vAlign w:val="bottom"/>
          </w:tcPr>
          <w:p>
            <w:pPr>
              <w:spacing w:after="0"/>
              <w:rPr>
                <w:sz w:val="14"/>
                <w:szCs w:val="14"/>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108.5</w:t>
            </w:r>
          </w:p>
        </w:tc>
        <w:tc>
          <w:tcPr>
            <w:tcW w:w="3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2,419.0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2,311.0</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8,045.5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7,339.4</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235.8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Software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r>
      <w:tr>
        <w:trPr>
          <w:trHeight w:val="210"/>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10,223.1</w:t>
            </w:r>
          </w:p>
        </w:tc>
        <w:tc>
          <w:tcPr>
            <w:tcW w:w="10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(5,510.4)</w:t>
            </w:r>
          </w:p>
        </w:tc>
      </w:tr>
      <w:tr>
        <w:trPr>
          <w:trHeight w:val="217"/>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$1,211.4 million, $1,166.3 million and $1,157.8 million for 2005, 2004 and 2003, respectively.</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The Company has a manufacturing facility in Utah that is only partially utilized. The Utah facility had a net book value of $683.7 million as of September 1, 2005. A portion of the Utah facility is being used for component test operations. The Company is depreciating substantially all assets at the Utah facility other than $192.1 million included in construction in progress as of September 1, 2005. Increased utilization of the facility is dependent upon market conditions, including, but not limited to, worldwide market supply of, and demand for, semiconductor products and the Company’s operations, cash flows and alternative capacity utilization opportunities.</w:t>
      </w:r>
    </w:p>
    <w:p>
      <w:pPr>
        <w:spacing w:after="0" w:line="18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As part of a restructure plan announced in the second quarter of 2003, the Company recorded impairment charges of $42.6 million in 2003 to writedown the carrying value of certain assets used in the Company’s 200mm production line in Virginia, which was shut down as part of the restructure plan. (See “Restructure and Other Charges” note.)</w:t>
      </w:r>
    </w:p>
    <w:p>
      <w:pPr>
        <w:sectPr>
          <w:pgSz w:w="11900" w:h="16838" w:orient="portrait"/>
          <w:cols w:equalWidth="0" w:num="1">
            <w:col w:w="11380"/>
          </w:cols>
          <w:pgMar w:left="240" w:top="140" w:right="279" w:bottom="0" w:gutter="0" w:footer="0" w:header="0"/>
        </w:sectPr>
      </w:pPr>
    </w:p>
    <w:bookmarkStart w:id="25" w:name="page26"/>
    <w:bookmarkEnd w:id="25"/>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300" w:type="dxa"/>
            <w:vAlign w:val="bottom"/>
          </w:tcPr>
          <w:p>
            <w:pPr>
              <w:spacing w:after="0"/>
              <w:rPr>
                <w:sz w:val="14"/>
                <w:szCs w:val="14"/>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393.6</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419.7</w:t>
            </w:r>
          </w:p>
        </w:tc>
        <w:tc>
          <w:tcPr>
            <w:tcW w:w="1160" w:type="dxa"/>
            <w:vAlign w:val="bottom"/>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c>
          <w:tcPr>
            <w:tcW w:w="11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Joint venture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1160" w:type="dxa"/>
            <w:vAlign w:val="bottom"/>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Taxes other than income</w:t>
            </w: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16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1160" w:type="dxa"/>
            <w:vAlign w:val="bottom"/>
          </w:tcPr>
          <w:p>
            <w:pPr>
              <w:spacing w:after="0"/>
              <w:rPr>
                <w:sz w:val="18"/>
                <w:szCs w:val="18"/>
                <w:color w:val="auto"/>
              </w:rPr>
            </w:pPr>
          </w:p>
        </w:tc>
      </w:tr>
      <w:tr>
        <w:trPr>
          <w:trHeight w:val="217"/>
        </w:trPr>
        <w:tc>
          <w:tcPr>
            <w:tcW w:w="7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32"/>
        </w:trPr>
        <w:tc>
          <w:tcPr>
            <w:tcW w:w="7000" w:type="dxa"/>
            <w:vAlign w:val="bottom"/>
          </w:tcPr>
          <w:p>
            <w:pPr>
              <w:ind w:left="562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91"/>
        </w:trPr>
        <w:tc>
          <w:tcPr>
            <w:tcW w:w="7260" w:type="dxa"/>
            <w:vAlign w:val="bottom"/>
            <w:tcBorders>
              <w:bottom w:val="single" w:sz="8" w:color="808080"/>
            </w:tcBorders>
            <w:gridSpan w:val="2"/>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r>
      <w:tr>
        <w:trPr>
          <w:trHeight w:val="699"/>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0"/>
        </w:trPr>
        <w:tc>
          <w:tcPr>
            <w:tcW w:w="7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2"/>
        </w:trPr>
        <w:tc>
          <w:tcPr>
            <w:tcW w:w="7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Convertible subordinated notes payable, face amount of $632.5 million, net of fair value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adjustments (as underlying on fair-value hedge) of $10.2 million and $0.4 million, interest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rate of 2.5%, due February 2010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w:t>
            </w:r>
          </w:p>
        </w:tc>
        <w:tc>
          <w:tcPr>
            <w:tcW w:w="1160" w:type="dxa"/>
            <w:vAlign w:val="bottom"/>
          </w:tcPr>
          <w:p>
            <w:pPr>
              <w:spacing w:after="0"/>
              <w:rPr>
                <w:sz w:val="20"/>
                <w:szCs w:val="20"/>
                <w:color w:val="auto"/>
              </w:rPr>
            </w:pPr>
          </w:p>
        </w:tc>
      </w:tr>
      <w:tr>
        <w:trPr>
          <w:trHeight w:val="202"/>
        </w:trPr>
        <w:tc>
          <w:tcPr>
            <w:tcW w:w="72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Subordinated notes payable, face amount of $210.0 million, net of unamortized discount of</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$8.5 million, stated interest rate of 6.5%, effective yield to maturity of 10.7%, due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September 2005</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1160" w:type="dxa"/>
            <w:vAlign w:val="bottom"/>
          </w:tcPr>
          <w:p>
            <w:pPr>
              <w:spacing w:after="0"/>
              <w:rPr>
                <w:sz w:val="20"/>
                <w:szCs w:val="20"/>
                <w:color w:val="auto"/>
              </w:rPr>
            </w:pPr>
          </w:p>
        </w:tc>
      </w:tr>
      <w:tr>
        <w:trPr>
          <w:trHeight w:val="202"/>
        </w:trPr>
        <w:tc>
          <w:tcPr>
            <w:tcW w:w="72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Notes payable in periodic installments through July 2015, weighted average interest rate of</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 and 3.0%</w:t>
            </w: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w:t>
            </w:r>
          </w:p>
        </w:tc>
        <w:tc>
          <w:tcPr>
            <w:tcW w:w="1160" w:type="dxa"/>
            <w:vAlign w:val="bottom"/>
          </w:tcPr>
          <w:p>
            <w:pPr>
              <w:spacing w:after="0"/>
              <w:rPr>
                <w:sz w:val="20"/>
                <w:szCs w:val="20"/>
                <w:color w:val="auto"/>
              </w:rPr>
            </w:pPr>
          </w:p>
        </w:tc>
      </w:tr>
      <w:tr>
        <w:trPr>
          <w:trHeight w:val="202"/>
        </w:trPr>
        <w:tc>
          <w:tcPr>
            <w:tcW w:w="72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Capital lease obligations payable in monthly installments through January 2009, weighted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average imputed interest rate of 6.4% and 6.6%</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1160" w:type="dxa"/>
            <w:vAlign w:val="bottom"/>
          </w:tcPr>
          <w:p>
            <w:pPr>
              <w:spacing w:after="0"/>
              <w:rPr>
                <w:sz w:val="20"/>
                <w:szCs w:val="20"/>
                <w:color w:val="auto"/>
              </w:rPr>
            </w:pPr>
          </w:p>
        </w:tc>
      </w:tr>
      <w:tr>
        <w:trPr>
          <w:trHeight w:val="210"/>
        </w:trPr>
        <w:tc>
          <w:tcPr>
            <w:tcW w:w="7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1160" w:type="dxa"/>
            <w:vAlign w:val="bottom"/>
          </w:tcPr>
          <w:p>
            <w:pPr>
              <w:spacing w:after="0"/>
              <w:rPr>
                <w:sz w:val="18"/>
                <w:szCs w:val="18"/>
                <w:color w:val="auto"/>
              </w:rPr>
            </w:pPr>
          </w:p>
        </w:tc>
      </w:tr>
      <w:tr>
        <w:trPr>
          <w:trHeight w:val="217"/>
        </w:trPr>
        <w:tc>
          <w:tcPr>
            <w:tcW w:w="7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-2421890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-2421890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the third quarter of 2005, the Company entered into two yen-dominated loans aggregating 23.5 billion yen ($221.4 million), payable in semi-annual installments through 2010. The first, a syndicated term loan for 13.5 billion yen bears interest at the 6-month Tokyo Interbank Offered Rate (“TIBOR”) plus 1.25% (1.35% as of September 1, 2005) and requires the Company to maintain a deposit with the lead bank ($14.5 million as of September 1, 2005), which is included in restricted cash in the accompanying consolidated balance sheet. The second loan for 10.0 billion yen bears interest at a fixed rate of 0.95% and is collateralized by certain equipment owned by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2005, notes payable of $298.9 million denominated in Japanese yen were at a weighted average interest rate of 1.2%.</w:t>
      </w:r>
    </w:p>
    <w:p>
      <w:pPr>
        <w:spacing w:after="0" w:line="225" w:lineRule="exact"/>
        <w:rPr>
          <w:sz w:val="20"/>
          <w:szCs w:val="20"/>
          <w:color w:val="auto"/>
        </w:rPr>
      </w:pPr>
    </w:p>
    <w:p>
      <w:pPr>
        <w:ind w:right="900" w:firstLine="324"/>
        <w:spacing w:after="0" w:line="342" w:lineRule="auto"/>
        <w:rPr>
          <w:sz w:val="20"/>
          <w:szCs w:val="20"/>
          <w:color w:val="auto"/>
        </w:rPr>
      </w:pPr>
      <w:r>
        <w:rPr>
          <w:rFonts w:ascii="Arial" w:cs="Arial" w:eastAsia="Arial" w:hAnsi="Arial"/>
          <w:sz w:val="16"/>
          <w:szCs w:val="16"/>
          <w:color w:val="auto"/>
        </w:rPr>
        <w:t>In 2005, the Company received $161.3 million in proceeds from sales-leaseback transactions and as a result recorded capital lease obligations aggregating $157.3 million with a weighted average imputed interest rate of 6.3%, payable in periodic installments through January 2009.</w:t>
      </w:r>
    </w:p>
    <w:p>
      <w:pPr>
        <w:spacing w:after="0" w:line="124"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February 2003, the Company issued $632.5 million of 2.5% Convertible Subordinated Notes due February 1, 2010 (the “Notes”). Holders of the Notes may convert all or some of their Notes at any time prior to maturity, unless previously redeemed or repurchased, into the Company’s common stock at a conversion rate of 84.8320 shares for each $1,000 principal amount of Notes. This conversion rate is equivalent to a conversion price of approximately $11.79 per share. The Company may redeem the notes at any time after February 6, 2006, at declining premiums to par.</w:t>
      </w:r>
    </w:p>
    <w:p>
      <w:pPr>
        <w:spacing w:after="0" w:line="171"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Certain notes payable are collateralized by property, plant and equipment with a carrying value of $302.3 million as of September 1, 2005. Equipment under capital leases and accumulated amortization thereon were $253.8 million and $73.8 million, respectively, as of September 1, 2005, and $108.1 million and $38.0 million, respectively, as of September 2, 2004.</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2005, maturities of notes payable and future minimum lease payments under capital lease obligations were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Notes</w:t>
            </w:r>
          </w:p>
        </w:tc>
        <w:tc>
          <w:tcPr>
            <w:tcW w:w="2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71"/>
        </w:trPr>
        <w:tc>
          <w:tcPr>
            <w:tcW w:w="47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Payable</w:t>
            </w:r>
          </w:p>
        </w:tc>
        <w:tc>
          <w:tcPr>
            <w:tcW w:w="2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Obligations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2011 and thereafter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Fair-value adjustment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 xml:space="preserve">Interest Rate Swap: </w:t>
      </w:r>
      <w:r>
        <w:rPr>
          <w:rFonts w:ascii="Arial" w:cs="Arial" w:eastAsia="Arial" w:hAnsi="Arial"/>
          <w:sz w:val="16"/>
          <w:szCs w:val="16"/>
          <w:color w:val="auto"/>
        </w:rPr>
        <w:t>The Company entered into an interest rate swap agreement (the “Swap”) that effectively converted, beginning August 29, 2003,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interest rate on the Company’s 2.5% Convertible Subordinated Notes (the “Notes”) to a variable interest rate based on the 3-month London Interbank Offering Rate (“LIBOR”) less 65 basis points (average rate of 1.99% for 2005). The Swap qualifies as a fair-value hedge under SFAS No. 133, “Accounting for Derivative Instruments and Hedging Activities,” as amended. The gain or loss from changes in the fair value of the Swap is expected to be highly effective at offsetting the gain or loss from changes in the fair value of the Notes attributable to changes in interest rates. The Company measures the effectiveness of the Swap using regression analysis. The Company recognizes changes in the fair value of the Swap and changes in the fair value of the Notes since inception of the Swap in the accompanying consolidated balance sheets. Through September 1, 2005, the cumulative difference between the change in the fair value of the Swap and the change in the fair value of the Notes was de minimis. As of September 1, 2005, the Company had pledged $34.5 million as</w:t>
      </w:r>
    </w:p>
    <w:p>
      <w:pPr>
        <w:sectPr>
          <w:pgSz w:w="11900" w:h="16879" w:orient="portrait"/>
          <w:cols w:equalWidth="0" w:num="1">
            <w:col w:w="11440"/>
          </w:cols>
          <w:pgMar w:left="240" w:top="118" w:right="219" w:bottom="0" w:gutter="0" w:footer="0" w:header="0"/>
        </w:sectPr>
      </w:pPr>
    </w:p>
    <w:bookmarkStart w:id="26" w:name="page27"/>
    <w:bookmarkEnd w:id="26"/>
    <w:p>
      <w:pPr>
        <w:ind w:right="100"/>
        <w:spacing w:after="0" w:line="342" w:lineRule="auto"/>
        <w:rPr>
          <w:sz w:val="20"/>
          <w:szCs w:val="20"/>
          <w:color w:val="auto"/>
        </w:rPr>
      </w:pPr>
      <w:r>
        <w:rPr>
          <w:rFonts w:ascii="Arial" w:cs="Arial" w:eastAsia="Arial" w:hAnsi="Arial"/>
          <w:sz w:val="16"/>
          <w:szCs w:val="16"/>
          <w:color w:val="auto"/>
        </w:rPr>
        <w:t>collateral for the Swap which is included in restricted cash in the accompanying consolidated balance sheet. The amount of collateral fluctuates based on the fair value of the Swap. The Swap will terminate if the closing price of the Company’s common stock is at or exceeds $14.15 after February 6,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of September 1, 2005, the Company had commitments of approximately $250 million for the acquisition of property, plant and equipment. The Company leases certain facilities, equipment and software under operating leases. Total rental expense on all operating leases was $23.4 million, $21.1 million and $24.6 million for 2005, 2004 and 2003, respectively. Minimum future rental commitments under operating leases aggregated $60.8 million as of September 1, 2005, and are payable as follows: $18.1 million in 2006; $8.3 million in 2007; $5.7 million in 2008; $3.0 million in 2009; $2.5 million in 2010, $23.2 million in 2011 and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United States, Germany, France, the United Kingdom and Italy. The Company also is engaged in litigation with Tessera, Inc. (“Tessera”) relating to certain of Tessera’s patents and certain of the Company’s patents in the U.S. District Court for the Eastern District of Texas. Among other things, the above lawsuits pertain to certain of the Company’s SDRAM, DDR SDRAM, and DDR2 SDRAM products, which account for a significant portion of net sales. 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eighty-three (four of which have been voluntarily dismissed) purported class action lawsuits have been filed against the Company and other DRAM suppliers in various federal and state courts in the United States and in Puerto Rico by direct and indirect purchasers alleging price-fixing in violation of federal antitrust laws, violations of state unfair competition law, and/or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Three purported class action lawsuits also have been filed in Canada, alleging violations of the Canadian Competition Act. The substantive allegations in these cases are similar to those asserted in the cases filed in the United States and Puerto Rico. The Company is unable to predict the outcome of these suits. Based upon the Company’s analysis of the claims made and the nature of the DRAM industry, the Company believes that class treatment of these cases is not appropriate and that any purported injury alleged by plaintiffs in the direct purchaser cases would be more appropriately resolved on a customer-by-customer basis. In addition, the Attorneys General of Arkansas, California, Colorado, Delaware, Florida, Hawaii, Idaho, Illinois, Iowa, Louisiana, Maryland, Mississippi, Nevada, New Jersey, New Mexico, New York, Ohio, Oklahoma, Oregon, Pennsylvania, South Carolina, Texas, Utah, Vermont, Virginia, Washington, West Virginia and Wisconsin have indicated that they are investigating potential state and federal civil claims against the Company and other DRAM suppliers on behalf of state and governmental entities that were direct or indirect purchasers of DRAM and potentially on behalf of other indirect purchasers of DRAM.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38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these suits.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pacing w:after="0" w:line="22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In connection with the Company’s acquisition on April 22, 2002, of substantially all of the assets of Toshiba Corporation’s (“Toshiba”) DRAM business as conducted by Dominion Semiconductor L.L.C., the Company issued Toshiba 1.5 million shares of common stock and granted Toshiba an option to require the Company to repurchase the shares for $67.5 million in cash. During the first quarter of 2004, Toshiba exercised its option and the Company redeemed the 1.5 million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70" w:gutter="0" w:footer="0" w:header="0"/>
        </w:sectPr>
      </w:pPr>
    </w:p>
    <w:bookmarkStart w:id="27" w:name="page28"/>
    <w:bookmarkEnd w:id="27"/>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29"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b w:val="1"/>
          <w:bCs w:val="1"/>
          <w:i w:val="1"/>
          <w:iCs w:val="1"/>
          <w:color w:val="auto"/>
        </w:rPr>
        <w:t xml:space="preserve">Stock Rights: </w:t>
      </w:r>
      <w:r>
        <w:rPr>
          <w:rFonts w:ascii="Arial" w:cs="Arial" w:eastAsia="Arial" w:hAnsi="Arial"/>
          <w:sz w:val="16"/>
          <w:szCs w:val="16"/>
          <w:color w:val="auto"/>
        </w:rPr>
        <w:t>On September 24, 2003, the Company received $450.0 million, which is included in additional capital in the accompanying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 sheet, from Intel Corporation (“Intel”) in exchange for the issuance of stock rights exchangeable into approximately 33.9 million shares of the Company’s common stock. In conjunction with the issuance of the stock rights, the Company agreed to achieve operational objectives through May 2005, including certain levels of DDR2 production and 300mm wafer processing capacity, or be subject to monetary penalties. The Company has achieved the DDR2 production and 300mm wafer processing milestones and, consequently, does not expect to make any payments to Intel under this agreement. The shares issuable pursuant to the stock rights are included in weighted average common shares outstanding in the computations of earnings per share.</w:t>
      </w:r>
    </w:p>
    <w:p>
      <w:pPr>
        <w:spacing w:after="0" w:line="16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b w:val="1"/>
          <w:bCs w:val="1"/>
          <w:i w:val="1"/>
          <w:iCs w:val="1"/>
          <w:color w:val="auto"/>
        </w:rPr>
        <w:t xml:space="preserve">Common Stock Warrants: </w:t>
      </w:r>
      <w:r>
        <w:rPr>
          <w:rFonts w:ascii="Arial" w:cs="Arial" w:eastAsia="Arial" w:hAnsi="Arial"/>
          <w:sz w:val="16"/>
          <w:szCs w:val="16"/>
          <w:color w:val="auto"/>
        </w:rPr>
        <w:t>During the fourth quarter of 2001, the Company received $480.2 million from the issuance of warrants to purchase 29.1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September 1, 2005, there have been no exercises of warrants and all warrants issued remain outstanding.</w:t>
      </w:r>
    </w:p>
    <w:p>
      <w:pPr>
        <w:spacing w:after="0" w:line="16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Accumulated Other Comprehensive Income (Loss): </w:t>
      </w:r>
      <w:r>
        <w:rPr>
          <w:rFonts w:ascii="Arial" w:cs="Arial" w:eastAsia="Arial" w:hAnsi="Arial"/>
          <w:sz w:val="18"/>
          <w:szCs w:val="18"/>
          <w:color w:val="auto"/>
        </w:rPr>
        <w:t>Accumulated other comprehensive income (loss), net of tax, consists of the following as of the 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periods shown below:</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r>
      <w:tr>
        <w:trPr>
          <w:trHeight w:val="210"/>
        </w:trPr>
        <w:tc>
          <w:tcPr>
            <w:tcW w:w="7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7"/>
        </w:trPr>
        <w:tc>
          <w:tcPr>
            <w:tcW w:w="7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and Director Stock Plans</w:t>
      </w:r>
    </w:p>
    <w:p>
      <w:pPr>
        <w:spacing w:after="0" w:line="22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As of September 1, 2005, the Company had an aggregate of 159.8 million shares of its common stock reserved for issuance under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stock plans, of which 119.1 million shares are subject to outstanding options and 40.7 million shares are available for future grants. Options are subject to terms and conditions as determined by the Company’s Board of Directors.</w:t>
      </w:r>
    </w:p>
    <w:p>
      <w:pPr>
        <w:spacing w:after="0" w:line="181"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Stock options granted after June 16, 1999, are generally exercisable in increments of 25% during each year of employment beginning one year from the date of grant. Stock options granted prior to June 16, 1999, are generally exercisable in increments of 20% during each year of employment beginning one year from the date of grant. Stock options issued prior to January 19, 1998, expire six years from the date of grant; stock options issued from January 19, 1998 to September 22, 2004, expire ten years from the date of grant; stock options granted after September 22, 2004, expire six years from the date of grant.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under the Company’s stock option plans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9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2003</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0"/>
                <w:szCs w:val="10"/>
                <w:color w:val="auto"/>
              </w:rPr>
            </w:pPr>
          </w:p>
        </w:tc>
        <w:tc>
          <w:tcPr>
            <w:tcW w:w="98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0"/>
                <w:szCs w:val="10"/>
                <w:color w:val="auto"/>
              </w:rPr>
            </w:pPr>
          </w:p>
        </w:tc>
        <w:tc>
          <w:tcPr>
            <w:tcW w:w="940" w:type="dxa"/>
            <w:vAlign w:val="bottom"/>
          </w:tcPr>
          <w:p>
            <w:pPr>
              <w:jc w:val="center"/>
              <w:ind w:right="118"/>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of 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exercise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of shares</w:t>
            </w: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exercise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of shares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 millions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price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 millions</w:t>
            </w: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price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 millions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Cancelled or 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19.88</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options outstanding as of September 1,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tcBorders>
              <w:bottom w:val="single" w:sz="8" w:color="auto"/>
            </w:tcBorders>
            <w:gridSpan w:val="5"/>
          </w:tcPr>
          <w:p>
            <w:pPr>
              <w:jc w:val="right"/>
              <w:ind w:right="597"/>
              <w:spacing w:after="0"/>
              <w:rPr>
                <w:sz w:val="20"/>
                <w:szCs w:val="20"/>
                <w:color w:val="auto"/>
              </w:rPr>
            </w:pPr>
            <w:r>
              <w:rPr>
                <w:rFonts w:ascii="Arial" w:cs="Arial" w:eastAsia="Arial" w:hAnsi="Arial"/>
                <w:sz w:val="14"/>
                <w:szCs w:val="14"/>
                <w:b w:val="1"/>
                <w:bCs w:val="1"/>
                <w:color w:val="auto"/>
              </w:rPr>
              <w:t>Exercisable options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shares</w:t>
            </w:r>
          </w:p>
        </w:tc>
        <w:tc>
          <w:tcPr>
            <w:tcW w:w="120" w:type="dxa"/>
            <w:vAlign w:val="bottom"/>
          </w:tcPr>
          <w:p>
            <w:pPr>
              <w:spacing w:after="0"/>
              <w:rPr>
                <w:sz w:val="12"/>
                <w:szCs w:val="12"/>
                <w:color w:val="auto"/>
              </w:rPr>
            </w:pPr>
          </w:p>
        </w:tc>
        <w:tc>
          <w:tcPr>
            <w:tcW w:w="13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contractual life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exercise</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shares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71"/>
        </w:trPr>
        <w:tc>
          <w:tcPr>
            <w:tcW w:w="3880" w:type="dxa"/>
            <w:vAlign w:val="bottom"/>
            <w:gridSpan w:val="4"/>
            <w:vMerge w:val="continue"/>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in millions</w:t>
            </w:r>
          </w:p>
        </w:tc>
        <w:tc>
          <w:tcPr>
            <w:tcW w:w="12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price</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in millions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jc w:val="right"/>
              <w:ind w:right="2510"/>
              <w:spacing w:after="0"/>
              <w:rPr>
                <w:sz w:val="20"/>
                <w:szCs w:val="20"/>
                <w:color w:val="auto"/>
              </w:rPr>
            </w:pPr>
            <w:r>
              <w:rPr>
                <w:rFonts w:ascii="Arial" w:cs="Arial" w:eastAsia="Arial" w:hAnsi="Arial"/>
                <w:sz w:val="18"/>
                <w:szCs w:val="18"/>
                <w:color w:val="auto"/>
                <w:w w:val="87"/>
              </w:rPr>
              <w:t>$0.75 - $14.02</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130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7"/>
              </w:rPr>
              <w:t>6.3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6"/>
              </w:rPr>
              <w:t>14.03 -</w:t>
            </w:r>
          </w:p>
        </w:tc>
        <w:tc>
          <w:tcPr>
            <w:tcW w:w="3080" w:type="dxa"/>
            <w:vAlign w:val="bottom"/>
          </w:tcPr>
          <w:p>
            <w:pPr>
              <w:jc w:val="right"/>
              <w:ind w:right="2510"/>
              <w:spacing w:after="0"/>
              <w:rPr>
                <w:sz w:val="20"/>
                <w:szCs w:val="20"/>
                <w:color w:val="auto"/>
              </w:rPr>
            </w:pPr>
            <w:r>
              <w:rPr>
                <w:rFonts w:ascii="Arial" w:cs="Arial" w:eastAsia="Arial" w:hAnsi="Arial"/>
                <w:sz w:val="18"/>
                <w:szCs w:val="18"/>
                <w:color w:val="auto"/>
              </w:rPr>
              <w:t>22.83</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1300" w:type="dxa"/>
            <w:vAlign w:val="bottom"/>
            <w:gridSpan w:val="2"/>
          </w:tcPr>
          <w:p>
            <w:pPr>
              <w:jc w:val="center"/>
              <w:ind w:left="33"/>
              <w:spacing w:after="0"/>
              <w:rPr>
                <w:sz w:val="20"/>
                <w:szCs w:val="20"/>
                <w:color w:val="auto"/>
              </w:rPr>
            </w:pPr>
            <w:r>
              <w:rPr>
                <w:rFonts w:ascii="Arial" w:cs="Arial" w:eastAsia="Arial" w:hAnsi="Arial"/>
                <w:sz w:val="18"/>
                <w:szCs w:val="18"/>
                <w:color w:val="auto"/>
                <w:w w:val="87"/>
              </w:rPr>
              <w:t>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19.36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6"/>
              </w:rPr>
              <w:t>23.25 -</w:t>
            </w:r>
          </w:p>
        </w:tc>
        <w:tc>
          <w:tcPr>
            <w:tcW w:w="308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rPr>
              <w:t>34.06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30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7"/>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6"/>
              </w:rPr>
              <w:t>34.09 -</w:t>
            </w:r>
          </w:p>
        </w:tc>
        <w:tc>
          <w:tcPr>
            <w:tcW w:w="3080" w:type="dxa"/>
            <w:vAlign w:val="bottom"/>
          </w:tcPr>
          <w:p>
            <w:pPr>
              <w:jc w:val="right"/>
              <w:ind w:right="2510"/>
              <w:spacing w:after="0"/>
              <w:rPr>
                <w:sz w:val="20"/>
                <w:szCs w:val="20"/>
                <w:color w:val="auto"/>
              </w:rPr>
            </w:pPr>
            <w:r>
              <w:rPr>
                <w:rFonts w:ascii="Arial" w:cs="Arial" w:eastAsia="Arial" w:hAnsi="Arial"/>
                <w:sz w:val="18"/>
                <w:szCs w:val="18"/>
                <w:color w:val="auto"/>
              </w:rPr>
              <w:t>40.06</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center"/>
              <w:ind w:left="33"/>
              <w:spacing w:after="0"/>
              <w:rPr>
                <w:sz w:val="20"/>
                <w:szCs w:val="20"/>
                <w:color w:val="auto"/>
              </w:rPr>
            </w:pPr>
            <w:r>
              <w:rPr>
                <w:rFonts w:ascii="Arial" w:cs="Arial" w:eastAsia="Arial" w:hAnsi="Arial"/>
                <w:sz w:val="18"/>
                <w:szCs w:val="18"/>
                <w:color w:val="auto"/>
                <w:w w:val="87"/>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36.84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6"/>
              </w:rPr>
              <w:t>40.51 -</w:t>
            </w:r>
          </w:p>
        </w:tc>
        <w:tc>
          <w:tcPr>
            <w:tcW w:w="3080" w:type="dxa"/>
            <w:vAlign w:val="bottom"/>
            <w:shd w:val="clear" w:color="auto" w:fill="CCEEFF"/>
          </w:tcPr>
          <w:p>
            <w:pPr>
              <w:jc w:val="right"/>
              <w:ind w:right="2510"/>
              <w:spacing w:after="0"/>
              <w:rPr>
                <w:sz w:val="20"/>
                <w:szCs w:val="20"/>
                <w:color w:val="auto"/>
              </w:rPr>
            </w:pPr>
            <w:r>
              <w:rPr>
                <w:rFonts w:ascii="Arial" w:cs="Arial" w:eastAsia="Arial" w:hAnsi="Arial"/>
                <w:sz w:val="18"/>
                <w:szCs w:val="18"/>
                <w:color w:val="auto"/>
              </w:rPr>
              <w:t>96.56</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30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87"/>
              </w:rPr>
              <w:t>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8"/>
                <w:szCs w:val="18"/>
                <w:color w:val="auto"/>
              </w:rPr>
            </w:pPr>
          </w:p>
        </w:tc>
        <w:tc>
          <w:tcPr>
            <w:tcW w:w="1300" w:type="dxa"/>
            <w:vAlign w:val="bottom"/>
            <w:gridSpan w:val="2"/>
          </w:tcPr>
          <w:p>
            <w:pPr>
              <w:jc w:val="center"/>
              <w:ind w:left="33"/>
              <w:spacing w:after="0"/>
              <w:rPr>
                <w:sz w:val="20"/>
                <w:szCs w:val="20"/>
                <w:color w:val="auto"/>
              </w:rPr>
            </w:pPr>
            <w:r>
              <w:rPr>
                <w:rFonts w:ascii="Arial" w:cs="Arial" w:eastAsia="Arial" w:hAnsi="Arial"/>
                <w:sz w:val="18"/>
                <w:szCs w:val="18"/>
                <w:color w:val="auto"/>
                <w:w w:val="87"/>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As of September 1, 2005, there were 305,000 shares of restricted stock awards outstanding. The fair value for the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all of which were granted during 2005, was $12.17 at grant date. The restrictions lapse in one-third increments during each year of employment after the grant date.</w:t>
      </w:r>
    </w:p>
    <w:p>
      <w:pPr>
        <w:spacing w:after="0" w:line="181"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b w:val="1"/>
          <w:bCs w:val="1"/>
          <w:i w:val="1"/>
          <w:iCs w:val="1"/>
          <w:color w:val="auto"/>
        </w:rPr>
        <w:t xml:space="preserve">Stock Purchase Plan: </w:t>
      </w:r>
      <w:r>
        <w:rPr>
          <w:rFonts w:ascii="Arial" w:cs="Arial" w:eastAsia="Arial" w:hAnsi="Arial"/>
          <w:sz w:val="16"/>
          <w:szCs w:val="16"/>
          <w:color w:val="auto"/>
        </w:rPr>
        <w:t>The Company’s 1989 Employee Stock Purchase Plan (“ESPP”) allows eligible employees to purchase shares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through payroll deductions. Prior to July 1, 2005, shares could be purchased at 85% of the lower of the beginning or ending closing stock prices of each quarterly offering period. After July 1, 2005, shares can be purchased at 95% of the ending closing stock price of each offering quarterly</w:t>
      </w:r>
    </w:p>
    <w:p>
      <w:pPr>
        <w:sectPr>
          <w:pgSz w:w="11900" w:h="16858" w:orient="portrait"/>
          <w:cols w:equalWidth="0" w:num="1">
            <w:col w:w="11440"/>
          </w:cols>
          <w:pgMar w:left="240" w:top="121" w:right="219" w:bottom="0" w:gutter="0" w:footer="0" w:header="0"/>
        </w:sectPr>
      </w:pPr>
    </w:p>
    <w:bookmarkStart w:id="28" w:name="page29"/>
    <w:bookmarkEnd w:id="28"/>
    <w:p>
      <w:pPr>
        <w:ind w:right="100"/>
        <w:spacing w:after="0" w:line="342" w:lineRule="auto"/>
        <w:rPr>
          <w:sz w:val="20"/>
          <w:szCs w:val="20"/>
          <w:color w:val="auto"/>
        </w:rPr>
      </w:pPr>
      <w:r>
        <w:rPr>
          <w:rFonts w:ascii="Arial" w:cs="Arial" w:eastAsia="Arial" w:hAnsi="Arial"/>
          <w:sz w:val="16"/>
          <w:szCs w:val="16"/>
          <w:color w:val="auto"/>
        </w:rPr>
        <w:t>period. Shares can be resold when purchased. Purchases are limited to 20% of an employee’s eligible compensation. As of September 1, 2005, 26.3 million shares of the Company’s common stock had been issued under the ESPP and 3.2 million shares were available for future issuance under the plan.</w:t>
      </w:r>
    </w:p>
    <w:p>
      <w:pPr>
        <w:spacing w:after="0" w:line="12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b w:val="1"/>
          <w:bCs w:val="1"/>
          <w:i w:val="1"/>
          <w:iCs w:val="1"/>
          <w:color w:val="auto"/>
        </w:rPr>
        <w:t xml:space="preserve">Non-Employee Director Stock Incentive Plan: </w:t>
      </w:r>
      <w:r>
        <w:rPr>
          <w:rFonts w:ascii="Arial" w:cs="Arial" w:eastAsia="Arial" w:hAnsi="Arial"/>
          <w:sz w:val="18"/>
          <w:szCs w:val="18"/>
          <w:color w:val="auto"/>
        </w:rPr>
        <w:t>As of September 1, 2005, 39,957 shares of the Company’s common stock had been issued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1998 Non-Employee Director Stock Incentive Plan (“DSIP Plan”) and 460,043 shares were reserved for future issuance under the plan. Shares are issued under the DSIP plan as compensation to non-employee directors of the Company.</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Assumptions used in the Black-Scholes option valuation model to estimate the value of the Company’s options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 forma amounts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Stock option</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Employee stock</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plan shares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purchase plan shares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0.25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Risk-free interest rate (zero coupon U.S. Treasury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Weighted average fair value per share at date of</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grant: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equal to market price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Exercise price less than market price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2.41</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greater than market price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Weighted average exercise price per share: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equal to market price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Exercise price less than market price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9.73</w:t>
            </w:r>
          </w:p>
        </w:tc>
        <w:tc>
          <w:tcPr>
            <w:tcW w:w="260" w:type="dxa"/>
            <w:vAlign w:val="bottom"/>
            <w:gridSpan w:val="2"/>
          </w:tcPr>
          <w:p>
            <w:pPr>
              <w:jc w:val="right"/>
              <w:ind w:right="68"/>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12.97</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price greater than market price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pacing w:after="0" w:line="229"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has a 401(k) retirement plan (“RAM Plan”) under which U.S. employees may contribute up to 45% of their eligible pay (subject to IRS annual contribution limits) to various savings alternatives, none of which include direct investment in the Company’s common stock. Under the plan, the Company matches in cash eligible contributions from employees up to 3% of the employee’s annual eligible earnings, or $1,500, whichever is greater. The Company may provide additional contributions based on its financial performance. Contribution expense for the Company’s RAM Plan was $17.6 million, $13.7 million and $12.5 million in 2005, 2004 and 2003,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 and Other Charges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2003, the Company announced a series of cost-reduction initiatives. The restructure plan included the shutdown of the Company’s 200mm production line in Virginia; the discontinuance of certain memory products, including SRAM and TCAM; and an approximate 10% reduction in the Company’s worldwide workforce. In 2003, the Company recorded restructure charges of $109.2 million and other restructure-related charges of $7.1 million, including $50.7 million of equipment write-downs, $26.3 million of severance and other termination benefits and $18.6 million of intangible asset write downs. The Company recorded net credits to restructure of $1.4 million and $22.5 million in 2005 and 2004, respectively, primarily from sales of equipment associated with the Company’s 200mm production line in Virginia. The Company substantially completed the restructure plan and paid essentially all costs associated with the restructure plan in 2004 and 2003.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Other operating income for 2005 includes net gains on write-downs and disposals of semiconductor equipment of $12.7 million and $12.0 million in receipts from the U.S. government in connection with anti-dumping tariffs. Other operating expense for 2004 includes losses of $17.2 million from changes in currency exchange rates. Other operating income for 2004 includes $7.2 million from the Commonwealth of Virginia for meeting investment commitments at the Virginia wafer fabrication facility and net gains of $3.9 million on write-downs and disposals of semiconductor equipment. Other operating expense for 2003 includes net losses on write-downs and disposals of semiconductor equipment of $41.5 million and losses of $10.7 million from changes in currency exchange rates. Other operating expense for 2003 is net of $14.4 million in receipts from the U.S. government in connection with anti-dumping tariffs.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before taxes and the income tax (provision) benefit consisted of the following:</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U.S.</w:t>
            </w:r>
          </w:p>
        </w:tc>
        <w:tc>
          <w:tcPr>
            <w:tcW w:w="29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107.7</w:t>
            </w:r>
          </w:p>
        </w:tc>
        <w:tc>
          <w:tcPr>
            <w:tcW w:w="11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0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9" w:name="page30"/>
    <w:bookmarkEnd w:id="29"/>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198.6</w:t>
            </w:r>
          </w:p>
        </w:tc>
        <w:tc>
          <w:tcPr>
            <w:tcW w:w="160" w:type="dxa"/>
            <w:vAlign w:val="bottom"/>
          </w:tcPr>
          <w:p>
            <w:pPr>
              <w:spacing w:after="0"/>
              <w:rPr>
                <w:sz w:val="20"/>
                <w:szCs w:val="20"/>
                <w:color w:val="auto"/>
              </w:rPr>
            </w:pPr>
          </w:p>
        </w:tc>
        <w:tc>
          <w:tcPr>
            <w:tcW w:w="6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232.0</w:t>
            </w:r>
          </w:p>
        </w:tc>
        <w:tc>
          <w:tcPr>
            <w:tcW w:w="280" w:type="dxa"/>
            <w:vAlign w:val="bottom"/>
          </w:tcPr>
          <w:p>
            <w:pPr>
              <w:spacing w:after="0"/>
              <w:rPr>
                <w:sz w:val="20"/>
                <w:szCs w:val="20"/>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24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Foreign</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4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U.S. federal</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Foreign</w:t>
            </w: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4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520"/>
              <w:spacing w:after="0"/>
              <w:rPr>
                <w:sz w:val="20"/>
                <w:szCs w:val="20"/>
                <w:color w:val="auto"/>
              </w:rPr>
            </w:pPr>
            <w:r>
              <w:rPr>
                <w:rFonts w:ascii="Arial" w:cs="Arial" w:eastAsia="Arial" w:hAnsi="Arial"/>
                <w:sz w:val="18"/>
                <w:szCs w:val="18"/>
                <w:color w:val="auto"/>
              </w:rPr>
              <w:t>Income tax (provision)</w:t>
            </w:r>
          </w:p>
        </w:tc>
        <w:tc>
          <w:tcPr>
            <w:tcW w:w="186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between income tax (provision) computed using the U.S. federal statutory rate and the Company’s income tax (provision) is as follows:</w:t>
      </w:r>
    </w:p>
    <w:p>
      <w:pPr>
        <w:spacing w:after="0" w:line="240"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2"/>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(provision) benefit at statutory rate</w:t>
            </w:r>
          </w:p>
        </w:tc>
        <w:tc>
          <w:tcPr>
            <w:tcW w:w="180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104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Export sales benefit</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Resolution of tax matters</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8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State taxes reflect investment tax credits of $13.7 million, $9.1 million and $16.8 million for 2005, 2004 and 2003, respectively.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basis of assets and liabilities for financial reporting and income tax purposes. The Company’s deferred tax assets and liabilities consist of the following as of the end of the periods shown below:</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Net operating loss and credit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1,202.0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1,237.7</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product and process technology</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88.5</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(1,028.9)</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(1,004.3)</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Excess tax over book depreciation</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(315.0)</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Unremitted earnings on certain subsidiaries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Product and process technology</w:t>
            </w: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380"/>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(419.4)</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7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Reported as: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deferred tax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Long-term deferred tax assets</w:t>
            </w:r>
          </w:p>
        </w:tc>
        <w:tc>
          <w:tcPr>
            <w:tcW w:w="3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3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deferred tax liabilities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currently records a valuation allowance against substantially all of its U.S. net deferred tax assets. As of September 1, 2005, the Company had aggregate U.S. tax net operating loss carryforwards of $2.5 billion and unused U.S. tax credit carryforwards of $140.7 million. The Company also has unused state tax net operating loss carryforwards of $1.7 billion and unused state tax credits of $137.5 million. Substantially all of the net operating loss carryforwards expire in 2022 to 2025 and substantially all of the tax credit carryforwards expire in 2013 to 2025.</w:t>
      </w:r>
    </w:p>
    <w:p>
      <w:pPr>
        <w:sectPr>
          <w:pgSz w:w="11900" w:h="16838" w:orient="portrait"/>
          <w:cols w:equalWidth="0" w:num="1">
            <w:col w:w="11380"/>
          </w:cols>
          <w:pgMar w:left="240" w:top="125" w:right="279" w:bottom="140" w:gutter="0" w:footer="0" w:header="0"/>
        </w:sectPr>
      </w:pPr>
    </w:p>
    <w:bookmarkStart w:id="30" w:name="page31"/>
    <w:bookmarkEnd w:id="30"/>
    <w:p>
      <w:pPr>
        <w:ind w:right="20" w:firstLine="324"/>
        <w:spacing w:after="0" w:line="264" w:lineRule="auto"/>
        <w:rPr>
          <w:sz w:val="20"/>
          <w:szCs w:val="20"/>
          <w:color w:val="auto"/>
        </w:rPr>
      </w:pPr>
      <w:r>
        <w:rPr>
          <w:rFonts w:ascii="Arial" w:cs="Arial" w:eastAsia="Arial" w:hAnsi="Arial"/>
          <w:sz w:val="18"/>
          <w:szCs w:val="18"/>
          <w:color w:val="auto"/>
        </w:rPr>
        <w:t>The changes in valuation allowance of $24.6 million and $11.2 million in 2005 and 2004, respectively, are primarily due to uncertainties of realizing certain U.S. net operating losses and certain tax credit carryforwards. The change in the valuation allowance in 2005 and 2004 includes $1.7 million and $2.3 million, respectively, for stock plan deductions, which will be credited to additional capital if realized.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Remaining undistributed earnings of $657.2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74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188.0</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 fair value adjustment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spacing w:after="0"/>
              <w:rPr>
                <w:sz w:val="20"/>
                <w:szCs w:val="20"/>
                <w:color w:val="auto"/>
              </w:rPr>
            </w:pPr>
            <w:r>
              <w:rPr>
                <w:rFonts w:ascii="Arial" w:cs="Arial" w:eastAsia="Arial" w:hAnsi="Arial"/>
                <w:sz w:val="18"/>
                <w:szCs w:val="18"/>
                <w:color w:val="auto"/>
              </w:rPr>
              <w:t>Net income (loss) available to common shareholders – Basic</w:t>
            </w:r>
          </w:p>
        </w:tc>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effect of assumed conversion of debt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available to common shareholders – Diluted</w:t>
            </w:r>
          </w:p>
        </w:tc>
        <w:tc>
          <w:tcPr>
            <w:tcW w:w="10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202.5</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647.7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702.0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740" w:type="dxa"/>
            <w:vAlign w:val="bottom"/>
            <w:gridSpan w:val="2"/>
            <w:shd w:val="clear" w:color="auto" w:fill="CCEEFF"/>
          </w:tcPr>
          <w:p>
            <w:pPr>
              <w:jc w:val="right"/>
              <w:ind w:right="52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On September 24, 2003, the Company issued stock rights to Intel which are exchangeable into approximately 33.9 million shares of the Company’s common stock. The shares issuable pursuant to the stock rights are considered outstanding common shares in the computations of basic and diluted earnings per share. (See “Shareholders’ Equity – Stock Rights” note.)</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7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62.8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Convertible subordinated notes payable</w:t>
            </w:r>
          </w:p>
        </w:tc>
        <w:tc>
          <w:tcPr>
            <w:tcW w:w="1400" w:type="dxa"/>
            <w:vAlign w:val="bottom"/>
            <w:gridSpan w:val="3"/>
          </w:tcPr>
          <w:p>
            <w:pPr>
              <w:jc w:val="right"/>
              <w:ind w:right="10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53.7</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29.1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Since 1998, the Company has participated in TECH Semiconductor Singapore Pte. Ltd. (“TECH”), a semiconductor memory manufacturing joint venture in Singapore among the Company, the Singapore Economic Development Board, Canon Inc. and Hewlett-Packard Company. As of September 1, 2005, the Company had a 39.12% ownership interest in TECH. Significant financing, investment and operating decisions for TECH typically require approval from TECH’s Board of Directors. The shareholders’ agreement for the TECH joint venture expires in 2011. Under FASB Interpretation No. 46(R), “Consolidation of Variable Interest Entities,” TECH does not qualify for consolidation.</w:t>
      </w:r>
    </w:p>
    <w:p>
      <w:pPr>
        <w:spacing w:after="0" w:line="18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 The net cost of products purchased from TECH amounted to $651.9 million, $453.8 million and $318.2 million for 2005, 2004 and 2003, respectively. Amortization expense resulting from the TECH supply arrangement, included in the cost of products purchased from TECH, was $11.7 million, $11.8 million and $9.6 million for 2005, 2004 and 2003, respectively. Receivables from TECH were $24.0 million and payables to TECH were $51.4 million as of September 1, 2005. Receivables from TECH were $23.8 million and payables to TECH were $56.8 million as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September 2, 2004. TECH supplied approximately 25% of the total megabits of memory produced by the Company in 2005. As of September 1, 2005, the Company had intangible assets with a net book value of $50.3 million relating to the supply arrangement to purchase product from TECH.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Geographic net sales based on customer location were as follows:</w:t>
      </w:r>
    </w:p>
    <w:p>
      <w:pPr>
        <w:spacing w:after="0" w:line="217" w:lineRule="exact"/>
        <w:rPr>
          <w:sz w:val="20"/>
          <w:szCs w:val="20"/>
          <w:color w:val="auto"/>
        </w:rPr>
      </w:pPr>
    </w:p>
    <w:p>
      <w:pPr>
        <w:ind w:left="6820"/>
        <w:spacing w:after="0"/>
        <w:tabs>
          <w:tab w:leader="none" w:pos="8300" w:val="left"/>
          <w:tab w:leader="none" w:pos="976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r>
        <w:rPr>
          <w:sz w:val="20"/>
          <w:szCs w:val="20"/>
          <w:color w:val="auto"/>
        </w:rPr>
        <w:tab/>
      </w:r>
      <w:r>
        <w:rPr>
          <w:rFonts w:ascii="Arial" w:cs="Arial" w:eastAsia="Arial" w:hAnsi="Arial"/>
          <w:sz w:val="12"/>
          <w:szCs w:val="12"/>
          <w:b w:val="1"/>
          <w:bCs w:val="1"/>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152400</wp:posOffset>
            </wp:positionV>
            <wp:extent cx="6663690" cy="1047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663690" cy="104775"/>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6350</wp:posOffset>
            </wp:positionV>
            <wp:extent cx="2667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31" w:name="page32"/>
    <w:bookmarkEnd w:id="31"/>
    <w:p>
      <w:pPr>
        <w:spacing w:after="0" w:line="29"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8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w:t>
            </w:r>
          </w:p>
        </w:tc>
        <w:tc>
          <w:tcPr>
            <w:tcW w:w="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1,789.2</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Europe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China</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4,404.2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700" w:type="dxa"/>
            <w:vAlign w:val="bottom"/>
          </w:tcPr>
          <w:p>
            <w:pPr>
              <w:ind w:left="180"/>
              <w:spacing w:after="0"/>
              <w:rPr>
                <w:sz w:val="20"/>
                <w:szCs w:val="20"/>
                <w:color w:val="auto"/>
              </w:rPr>
            </w:pPr>
            <w:r>
              <w:rPr>
                <w:rFonts w:ascii="Arial" w:cs="Arial" w:eastAsia="Arial" w:hAnsi="Arial"/>
                <w:sz w:val="18"/>
                <w:szCs w:val="18"/>
                <w:color w:val="auto"/>
                <w:w w:val="98"/>
              </w:rPr>
              <w:t>Net property, plant and equipment by geographic area was as follows:</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3,677.1</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Japan</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Singapore</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(Amounts in millions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354.0</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117.9</w:t>
            </w: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(127.9)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Second</w:t>
            </w:r>
          </w:p>
        </w:tc>
        <w:tc>
          <w:tcPr>
            <w:tcW w:w="280" w:type="dxa"/>
            <w:vAlign w:val="bottom"/>
          </w:tcPr>
          <w:p>
            <w:pPr>
              <w:spacing w:after="0"/>
              <w:rPr>
                <w:sz w:val="24"/>
                <w:szCs w:val="2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248.2</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387.9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65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Micron Technology, Inc.</w:t>
      </w:r>
    </w:p>
    <w:p>
      <w:pPr>
        <w:spacing w:after="0" w:line="21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have completed an integrated audit of Micron Technology, Inc.’s 2005 consolidated financial statements and of its internal control over financial reporting as of September 1, 2005 and audits of its 2004 and 2003 consolidated financial statements in accordance with the standards of the Public Company Accounting Oversight Board (United States). Our opinions, based on our audits, are presented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and financial statement schedule</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In our opinion, the consolidated financial statements listed in the index on page 27 present fairly, in all material respects, the financial position of Micron Technology, Inc. and its subsidiaries at September 1, 2005 and 2004, and the results of their operations and their cash flows for each of the three years in the period ended September 1, 2005 in conformity with accounting principles generally accepted in the United States of America. In addition, in our opinion, the financial statement schedule listed in the index appearing on page 27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9A, that the Company maintained effective internal control over financial reporting as of September 1, 2005 based on criteria established in </w:t>
      </w:r>
      <w:r>
        <w:rPr>
          <w:rFonts w:ascii="Arial" w:cs="Arial" w:eastAsia="Arial" w:hAnsi="Arial"/>
          <w:sz w:val="16"/>
          <w:szCs w:val="16"/>
          <w:i w:val="1"/>
          <w:iCs w:val="1"/>
          <w:color w:val="auto"/>
        </w:rPr>
        <w:t>Internal Control -</w:t>
      </w:r>
    </w:p>
    <w:p>
      <w:pPr>
        <w:sectPr>
          <w:pgSz w:w="11900" w:h="16867" w:orient="portrait"/>
          <w:cols w:equalWidth="0" w:num="1">
            <w:col w:w="11440"/>
          </w:cols>
          <w:pgMar w:left="240" w:top="140" w:right="219" w:bottom="0" w:gutter="0" w:footer="0" w:header="0"/>
        </w:sectPr>
      </w:pPr>
    </w:p>
    <w:bookmarkStart w:id="32" w:name="page33"/>
    <w:bookmarkEnd w:id="32"/>
    <w:p>
      <w:pPr>
        <w:ind w:right="20"/>
        <w:spacing w:after="0" w:line="269" w:lineRule="auto"/>
        <w:rPr>
          <w:sz w:val="20"/>
          <w:szCs w:val="20"/>
          <w:color w:val="auto"/>
        </w:rPr>
      </w:pP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(COSO), is fairly stated, in all material respects,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those criteria. Furthermore, in our opinion, the Company maintained, in all material respects, effective internal control over financial reporting as of September 1, 2005,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8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3, 2005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right="120" w:firstLine="324"/>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 i) pertain to the maintenance of records that in reasonable detail accurately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97"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Internal control over financial reporting cannot provide absolute assurance regarding the prevention or detection of misstatements because of inherent limitations. These inherent limitations are known by management and considered in the design of the Company’s internal control over financial reporting which reduce, though not eliminate, this risk.</w:t>
      </w:r>
    </w:p>
    <w:p>
      <w:pPr>
        <w:spacing w:after="0" w:line="181"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 xml:space="preserve">Management conducted an evaluation of the effectiveness of the Company’s internal control over financial reporting based on the framework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Based on this evaluation,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concluded that the Company’s internal control over financial reporting was effective as of September 1, 2005. Management’s assessment of the effectiveness of the Company’s internal control over financial reporting as of September 1, 2005, has been audited by PricewaterhouseCoopers LLP, an independent registered public accounting firm, as stated in their report, which is included in part II, Item 8 of this Form 10-K.</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ectPr>
          <w:pgSz w:w="11900" w:h="16838" w:orient="portrait"/>
          <w:cols w:equalWidth="0" w:num="1">
            <w:col w:w="11400"/>
          </w:cols>
          <w:pgMar w:left="240" w:top="125" w:right="259" w:bottom="0" w:gutter="0" w:footer="0" w:header="0"/>
        </w:sectPr>
      </w:pPr>
    </w:p>
    <w:bookmarkStart w:id="33" w:name="page34"/>
    <w:bookmarkEnd w:id="33"/>
    <w:p>
      <w:pPr>
        <w:spacing w:after="0" w:line="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Certain information concerning the registrant’s executive officers is included under the caption, “Directors and Executive Officers of the Registrant,” in Part I, Item 1 of this report. Other information required by Items 10, 11, 12, 13 and 14 will be contained in the registrant’s Proxy Statement which will be filed with the Securities and Exchange Commission within 120 days after September 1, 2005, and is incorporated herein by reference.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under Item 8.</w:t>
      </w:r>
    </w:p>
    <w:p>
      <w:pPr>
        <w:spacing w:after="0" w:line="23" w:lineRule="exact"/>
        <w:rPr>
          <w:rFonts w:ascii="Arial" w:cs="Arial" w:eastAsia="Arial" w:hAnsi="Arial"/>
          <w:sz w:val="18"/>
          <w:szCs w:val="18"/>
          <w:color w:val="auto"/>
        </w:rPr>
      </w:pPr>
    </w:p>
    <w:p>
      <w:pPr>
        <w:ind w:left="1000" w:hanging="344"/>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Financial Statements Schedules have been omitted since they are either not required, not applicable or the information is otherwise included.</w:t>
      </w:r>
    </w:p>
    <w:p>
      <w:pPr>
        <w:spacing w:after="0" w:line="32" w:lineRule="exact"/>
        <w:rPr>
          <w:rFonts w:ascii="Arial" w:cs="Arial" w:eastAsia="Arial" w:hAnsi="Arial"/>
          <w:sz w:val="16"/>
          <w:szCs w:val="16"/>
          <w:color w:val="auto"/>
        </w:rPr>
      </w:pPr>
    </w:p>
    <w:p>
      <w:pPr>
        <w:ind w:left="1000" w:hanging="344"/>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9740" w:type="dxa"/>
            <w:vAlign w:val="bottom"/>
          </w:tcPr>
          <w:p>
            <w:pPr>
              <w:ind w:left="43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358"/>
        </w:trPr>
        <w:tc>
          <w:tcPr>
            <w:tcW w:w="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Restated Certificate of Incorporation of the Registrant (1)</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Bylaws of the Registrant, as amended (2)</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Global Warrant representing Warrants to purchase Common Stock expiring May 15, 2008 (the “Warrants”) (3)</w:t>
            </w:r>
          </w:p>
        </w:tc>
        <w:tc>
          <w:tcPr>
            <w:tcW w:w="40" w:type="dxa"/>
            <w:vAlign w:val="bottom"/>
          </w:tcPr>
          <w:p>
            <w:pPr>
              <w:spacing w:after="0"/>
              <w:rPr>
                <w:sz w:val="24"/>
                <w:szCs w:val="24"/>
                <w:color w:val="auto"/>
              </w:rPr>
            </w:pPr>
          </w:p>
        </w:tc>
      </w:tr>
      <w:tr>
        <w:trPr>
          <w:trHeight w:val="418"/>
        </w:trPr>
        <w:tc>
          <w:tcPr>
            <w:tcW w:w="960" w:type="dxa"/>
            <w:vAlign w:val="bottom"/>
          </w:tcPr>
          <w:p>
            <w:pPr>
              <w:ind w:left="100"/>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0"/>
              </w:rPr>
              <w:t>Indenture dated February 4, 2003, between the Registrant and Wells Fargo Bank for 2.5% Convertible Subordinated Notes Due February 1,</w:t>
            </w:r>
          </w:p>
        </w:tc>
        <w:tc>
          <w:tcPr>
            <w:tcW w:w="40" w:type="dxa"/>
            <w:vAlign w:val="bottom"/>
          </w:tcPr>
          <w:p>
            <w:pPr>
              <w:spacing w:after="0"/>
              <w:rPr>
                <w:sz w:val="24"/>
                <w:szCs w:val="24"/>
                <w:color w:val="auto"/>
              </w:rPr>
            </w:pPr>
          </w:p>
        </w:tc>
      </w:tr>
      <w:tr>
        <w:trPr>
          <w:trHeight w:val="230"/>
        </w:trPr>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9740" w:type="dxa"/>
            <w:vAlign w:val="bottom"/>
          </w:tcPr>
          <w:p>
            <w:pPr>
              <w:ind w:left="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Securities Purchase Agreement, dated September 24, 2003, between the Registrant and Intel Capital Corporation (5)</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4.14</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Stock Rights Agreement, dated September 24, 2003, between the Registrant and Intel Capital Corporation (5)</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10.82</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Indemnification Agreement between the Registrant and its officers and directors (6)</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10.91</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Board Resolution regarding stock and bonus plan vesting schedules in the event of change in control of the Registrant (7)</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10.110</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1994</w:t>
            </w:r>
          </w:p>
        </w:tc>
        <w:tc>
          <w:tcPr>
            <w:tcW w:w="9740" w:type="dxa"/>
            <w:vAlign w:val="bottom"/>
          </w:tcPr>
          <w:p>
            <w:pPr>
              <w:ind w:left="20"/>
              <w:spacing w:after="0"/>
              <w:rPr>
                <w:sz w:val="20"/>
                <w:szCs w:val="20"/>
                <w:color w:val="auto"/>
              </w:rPr>
            </w:pPr>
            <w:r>
              <w:rPr>
                <w:rFonts w:ascii="Arial" w:cs="Arial" w:eastAsia="Arial" w:hAnsi="Arial"/>
                <w:sz w:val="18"/>
                <w:szCs w:val="18"/>
                <w:color w:val="auto"/>
              </w:rPr>
              <w:t>Stock Option Plan (8)</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10.111</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Executive Bonus Plan (9)</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10.112</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Severance Agreement between the Company and its officers (10)</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10.120</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Form of Agreement and Amendment to Severance Agreement between the Company and its officers (11)</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10.128</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Nonstatutory Stock Option Plan (12)</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10.129</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1997</w:t>
            </w:r>
          </w:p>
        </w:tc>
        <w:tc>
          <w:tcPr>
            <w:tcW w:w="9740" w:type="dxa"/>
            <w:vAlign w:val="bottom"/>
          </w:tcPr>
          <w:p>
            <w:pPr>
              <w:ind w:left="20"/>
              <w:spacing w:after="0"/>
              <w:rPr>
                <w:sz w:val="20"/>
                <w:szCs w:val="20"/>
                <w:color w:val="auto"/>
              </w:rPr>
            </w:pPr>
            <w:r>
              <w:rPr>
                <w:rFonts w:ascii="Arial" w:cs="Arial" w:eastAsia="Arial" w:hAnsi="Arial"/>
                <w:sz w:val="18"/>
                <w:szCs w:val="18"/>
                <w:color w:val="auto"/>
              </w:rPr>
              <w:t>Nonstatutory Stock Option Plan (13)</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10.130</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Micron Quantum Devices, Inc. 1996 Stock Option Plan (8)</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10.131</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Sample Stock Option Assumption Letter for Micron Quantum Devices, Inc. 1996 Stock Option Plan (8)</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10.132</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1998</w:t>
            </w:r>
          </w:p>
        </w:tc>
        <w:tc>
          <w:tcPr>
            <w:tcW w:w="9740" w:type="dxa"/>
            <w:vAlign w:val="bottom"/>
          </w:tcPr>
          <w:p>
            <w:pPr>
              <w:ind w:left="20"/>
              <w:spacing w:after="0"/>
              <w:rPr>
                <w:sz w:val="20"/>
                <w:szCs w:val="20"/>
                <w:color w:val="auto"/>
              </w:rPr>
            </w:pPr>
            <w:r>
              <w:rPr>
                <w:rFonts w:ascii="Arial" w:cs="Arial" w:eastAsia="Arial" w:hAnsi="Arial"/>
                <w:sz w:val="18"/>
                <w:szCs w:val="18"/>
                <w:color w:val="auto"/>
              </w:rPr>
              <w:t>Nonstatutory Stock Option Plan (13)</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10.133</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Rendition, Inc. 1994 Equity Incentive Plan (14)</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10.134</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Sample Stock Option Assumption Letter for Rendition, Inc. 1994 Equity Incentive Plan (14)</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10.139</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1989</w:t>
            </w:r>
          </w:p>
        </w:tc>
        <w:tc>
          <w:tcPr>
            <w:tcW w:w="9740" w:type="dxa"/>
            <w:vAlign w:val="bottom"/>
          </w:tcPr>
          <w:p>
            <w:pPr>
              <w:ind w:left="20"/>
              <w:spacing w:after="0"/>
              <w:rPr>
                <w:sz w:val="20"/>
                <w:szCs w:val="20"/>
                <w:color w:val="auto"/>
              </w:rPr>
            </w:pPr>
            <w:r>
              <w:rPr>
                <w:rFonts w:ascii="Arial" w:cs="Arial" w:eastAsia="Arial" w:hAnsi="Arial"/>
                <w:sz w:val="18"/>
                <w:szCs w:val="18"/>
                <w:color w:val="auto"/>
              </w:rPr>
              <w:t>Employee Stock Purchase Plan (15)</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10.140</w:t>
            </w:r>
          </w:p>
        </w:tc>
        <w:tc>
          <w:tcPr>
            <w:tcW w:w="3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1998</w:t>
            </w:r>
          </w:p>
        </w:tc>
        <w:tc>
          <w:tcPr>
            <w:tcW w:w="9740" w:type="dxa"/>
            <w:vAlign w:val="bottom"/>
          </w:tcPr>
          <w:p>
            <w:pPr>
              <w:ind w:left="20"/>
              <w:spacing w:after="0"/>
              <w:rPr>
                <w:sz w:val="20"/>
                <w:szCs w:val="20"/>
                <w:color w:val="auto"/>
              </w:rPr>
            </w:pPr>
            <w:r>
              <w:rPr>
                <w:rFonts w:ascii="Arial" w:cs="Arial" w:eastAsia="Arial" w:hAnsi="Arial"/>
                <w:sz w:val="18"/>
                <w:szCs w:val="18"/>
                <w:color w:val="auto"/>
              </w:rPr>
              <w:t>Non-Employee Director Stock Incentive Plan (16)</w:t>
            </w:r>
          </w:p>
        </w:tc>
        <w:tc>
          <w:tcPr>
            <w:tcW w:w="40" w:type="dxa"/>
            <w:vAlign w:val="bottom"/>
          </w:tcPr>
          <w:p>
            <w:pPr>
              <w:spacing w:after="0"/>
              <w:rPr>
                <w:sz w:val="24"/>
                <w:szCs w:val="24"/>
                <w:color w:val="auto"/>
              </w:rPr>
            </w:pPr>
          </w:p>
        </w:tc>
      </w:tr>
      <w:tr>
        <w:trPr>
          <w:trHeight w:val="432"/>
        </w:trPr>
        <w:tc>
          <w:tcPr>
            <w:tcW w:w="960" w:type="dxa"/>
            <w:vAlign w:val="bottom"/>
          </w:tcPr>
          <w:p>
            <w:pPr>
              <w:ind w:left="100"/>
              <w:spacing w:after="0"/>
              <w:rPr>
                <w:sz w:val="20"/>
                <w:szCs w:val="20"/>
                <w:color w:val="auto"/>
              </w:rPr>
            </w:pPr>
            <w:r>
              <w:rPr>
                <w:rFonts w:ascii="Arial" w:cs="Arial" w:eastAsia="Arial" w:hAnsi="Arial"/>
                <w:sz w:val="18"/>
                <w:szCs w:val="18"/>
                <w:color w:val="auto"/>
              </w:rPr>
              <w:t>10.141</w:t>
            </w:r>
          </w:p>
        </w:tc>
        <w:tc>
          <w:tcPr>
            <w:tcW w:w="32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6"/>
              </w:rPr>
              <w:t>Registration Rights Agreement dated February 4, 2003, among the Registrant, Goldman, Sachs &amp; Co. and Lehman Brothers Inc. (4)</w:t>
            </w:r>
          </w:p>
        </w:tc>
        <w:tc>
          <w:tcPr>
            <w:tcW w:w="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740" w:type="dxa"/>
            <w:vAlign w:val="bottom"/>
          </w:tcPr>
          <w:p>
            <w:pPr>
              <w:ind w:left="396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4"/>
                <w:szCs w:val="24"/>
                <w:color w:val="auto"/>
              </w:rPr>
            </w:pPr>
          </w:p>
        </w:tc>
      </w:tr>
      <w:tr>
        <w:trPr>
          <w:trHeight w:val="105"/>
        </w:trPr>
        <w:tc>
          <w:tcPr>
            <w:tcW w:w="1280" w:type="dxa"/>
            <w:vAlign w:val="bottom"/>
            <w:tcBorders>
              <w:bottom w:val="single" w:sz="8" w:color="808080"/>
            </w:tcBorders>
            <w:gridSpan w:val="2"/>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r>
      <w:tr>
        <w:trPr>
          <w:trHeight w:val="699"/>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43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-466725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-466725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40"/>
          </w:cols>
          <w:pgMar w:left="240" w:top="337" w:right="219" w:bottom="0" w:gutter="0" w:footer="0" w:header="0"/>
        </w:sectPr>
      </w:pPr>
    </w:p>
    <w:bookmarkStart w:id="34" w:name="page35"/>
    <w:bookmarkEnd w:id="34"/>
    <w:p>
      <w:pPr>
        <w:spacing w:after="0" w:line="36"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10.142</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Purchase Agreement dated October 1, 1998, between the Registrant and TECH Semiconductor Singapore Pte. Ltd. (17)</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10.144</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w w:val="98"/>
              </w:rPr>
              <w:t>Purchase Agreement dated as of July 12, 2001, between the Registrant and Lehman Brothers, Inc. relating to the Warrants (3)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10.145</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w w:val="91"/>
              </w:rPr>
              <w:t>Registration Rights Agreement dated as of July 18, 2001, between the Registrant and Lehman Brothers, Inc., relating to the Warrants (3)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10.146</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w w:val="90"/>
              </w:rPr>
              <w:t>Warrant Agreement dated as of July 18, 2001, between the Registrant and Wells Fargo Bank Minnesota, N.A., relating to the Warrants (3)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10.151</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2001</w:t>
            </w:r>
          </w:p>
        </w:tc>
        <w:tc>
          <w:tcPr>
            <w:tcW w:w="9540" w:type="dxa"/>
            <w:vAlign w:val="bottom"/>
          </w:tcPr>
          <w:p>
            <w:pPr>
              <w:ind w:left="20"/>
              <w:spacing w:after="0"/>
              <w:rPr>
                <w:sz w:val="20"/>
                <w:szCs w:val="20"/>
                <w:color w:val="auto"/>
              </w:rPr>
            </w:pPr>
            <w:r>
              <w:rPr>
                <w:rFonts w:ascii="Arial" w:cs="Arial" w:eastAsia="Arial" w:hAnsi="Arial"/>
                <w:sz w:val="18"/>
                <w:szCs w:val="18"/>
                <w:color w:val="auto"/>
              </w:rPr>
              <w:t>Stock Option Plan (18)</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10.152</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2002</w:t>
            </w:r>
          </w:p>
        </w:tc>
        <w:tc>
          <w:tcPr>
            <w:tcW w:w="9540" w:type="dxa"/>
            <w:vAlign w:val="bottom"/>
          </w:tcPr>
          <w:p>
            <w:pPr>
              <w:ind w:left="20"/>
              <w:spacing w:after="0"/>
              <w:rPr>
                <w:sz w:val="20"/>
                <w:szCs w:val="20"/>
                <w:color w:val="auto"/>
              </w:rPr>
            </w:pPr>
            <w:r>
              <w:rPr>
                <w:rFonts w:ascii="Arial" w:cs="Arial" w:eastAsia="Arial" w:hAnsi="Arial"/>
                <w:sz w:val="18"/>
                <w:szCs w:val="18"/>
                <w:color w:val="auto"/>
              </w:rPr>
              <w:t>Employment Inducement Stock Option Plan (18)</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10.153*</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Business Agreement, dated September 24, 2003, between the Registrant and Intel Corporation (5)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10.154</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Securities Rights and Restrictions Agreement, dated September 24, 2003, between the Registrant and Intel Capital (5)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10.155</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2004</w:t>
            </w:r>
          </w:p>
        </w:tc>
        <w:tc>
          <w:tcPr>
            <w:tcW w:w="9540" w:type="dxa"/>
            <w:vAlign w:val="bottom"/>
          </w:tcPr>
          <w:p>
            <w:pPr>
              <w:ind w:left="20"/>
              <w:spacing w:after="0"/>
              <w:rPr>
                <w:sz w:val="20"/>
                <w:szCs w:val="20"/>
                <w:color w:val="auto"/>
              </w:rPr>
            </w:pPr>
            <w:r>
              <w:rPr>
                <w:rFonts w:ascii="Arial" w:cs="Arial" w:eastAsia="Arial" w:hAnsi="Arial"/>
                <w:sz w:val="18"/>
                <w:szCs w:val="18"/>
                <w:color w:val="auto"/>
              </w:rPr>
              <w:t>Equity Incentive Plan (15)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10.156</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Executive Officer Performance Incentive Plan (19)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10.157</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2004</w:t>
            </w:r>
          </w:p>
        </w:tc>
        <w:tc>
          <w:tcPr>
            <w:tcW w:w="9540" w:type="dxa"/>
            <w:vAlign w:val="bottom"/>
          </w:tcPr>
          <w:p>
            <w:pPr>
              <w:ind w:left="20"/>
              <w:spacing w:after="0"/>
              <w:rPr>
                <w:sz w:val="20"/>
                <w:szCs w:val="20"/>
                <w:color w:val="auto"/>
              </w:rPr>
            </w:pPr>
            <w:r>
              <w:rPr>
                <w:rFonts w:ascii="Arial" w:cs="Arial" w:eastAsia="Arial" w:hAnsi="Arial"/>
                <w:sz w:val="18"/>
                <w:szCs w:val="18"/>
                <w:color w:val="auto"/>
              </w:rPr>
              <w:t>Equity Incentive Plan Forms of Agreement and Terms and Conditions (15)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10.158</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1994</w:t>
            </w:r>
          </w:p>
        </w:tc>
        <w:tc>
          <w:tcPr>
            <w:tcW w:w="9540" w:type="dxa"/>
            <w:vAlign w:val="bottom"/>
          </w:tcPr>
          <w:p>
            <w:pPr>
              <w:ind w:left="20"/>
              <w:spacing w:after="0"/>
              <w:rPr>
                <w:sz w:val="20"/>
                <w:szCs w:val="20"/>
                <w:color w:val="auto"/>
              </w:rPr>
            </w:pPr>
            <w:r>
              <w:rPr>
                <w:rFonts w:ascii="Arial" w:cs="Arial" w:eastAsia="Arial" w:hAnsi="Arial"/>
                <w:sz w:val="18"/>
                <w:szCs w:val="18"/>
                <w:color w:val="auto"/>
              </w:rPr>
              <w:t>Stock Option Plan Form of Agreement and Terms and Conditions (15)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10.159</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Nonstatutory Stock Option Plan Form of Agreement and Terms and Conditions (15)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10.160</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Form of Agreement relating to the Company’s 2001 Stock Option Plan (20)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Consent of Registered Public Accounting Firm</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Rule 13a-14(a) Certification of Chief Executive Officer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Rule 13a-14(a) Certification of Chief Financial Officer</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22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188595</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2005</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30, 2001</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2003</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September 29, 2003</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1986 Annual Meeting of Shareholders</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1989</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333-50353)</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1999 Annual Meeting of Shareholders</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September 2, 2004</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1997</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333-103341)</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November 28, 2002</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333-65449)</w:t>
      </w:r>
    </w:p>
    <w:p>
      <w:pPr>
        <w:spacing w:after="0" w:line="225" w:lineRule="exact"/>
        <w:rPr>
          <w:rFonts w:ascii="Arial" w:cs="Arial" w:eastAsia="Arial" w:hAnsi="Arial"/>
          <w:sz w:val="18"/>
          <w:szCs w:val="18"/>
          <w:color w:val="auto"/>
        </w:rPr>
      </w:pPr>
    </w:p>
    <w:p>
      <w:pPr>
        <w:ind w:left="861" w:hanging="861"/>
        <w:spacing w:after="0"/>
        <w:tabs>
          <w:tab w:leader="none" w:pos="8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March 3, 2005</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73025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61" w:hanging="861"/>
        <w:spacing w:after="0"/>
        <w:tabs>
          <w:tab w:leader="none" w:pos="86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June 3, 1999</w:t>
      </w:r>
    </w:p>
    <w:p>
      <w:pPr>
        <w:sectPr>
          <w:pgSz w:w="11900" w:h="16874" w:orient="portrait"/>
          <w:cols w:equalWidth="0" w:num="1">
            <w:col w:w="11101"/>
          </w:cols>
          <w:pgMar w:left="339" w:top="274" w:right="459" w:bottom="0" w:gutter="0" w:footer="0" w:header="0"/>
        </w:sectPr>
      </w:pPr>
    </w:p>
    <w:bookmarkStart w:id="35" w:name="page36"/>
    <w:bookmarkEnd w:id="35"/>
    <w:p>
      <w:pPr>
        <w:spacing w:after="0" w:line="5" w:lineRule="exact"/>
        <w:rPr>
          <w:sz w:val="20"/>
          <w:szCs w:val="20"/>
          <w:color w:val="auto"/>
        </w:rPr>
      </w:pPr>
    </w:p>
    <w:p>
      <w:pPr>
        <w:ind w:left="960" w:hanging="861"/>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3, 1998</w:t>
      </w:r>
    </w:p>
    <w:p>
      <w:pPr>
        <w:spacing w:after="0" w:line="225" w:lineRule="exact"/>
        <w:rPr>
          <w:rFonts w:ascii="Arial" w:cs="Arial" w:eastAsia="Arial" w:hAnsi="Arial"/>
          <w:sz w:val="18"/>
          <w:szCs w:val="18"/>
          <w:color w:val="auto"/>
        </w:rPr>
      </w:pPr>
    </w:p>
    <w:p>
      <w:pPr>
        <w:ind w:left="960" w:hanging="861"/>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333-102545)</w:t>
      </w:r>
    </w:p>
    <w:p>
      <w:pPr>
        <w:spacing w:after="0" w:line="225" w:lineRule="exact"/>
        <w:rPr>
          <w:rFonts w:ascii="Arial" w:cs="Arial" w:eastAsia="Arial" w:hAnsi="Arial"/>
          <w:sz w:val="18"/>
          <w:szCs w:val="18"/>
          <w:color w:val="auto"/>
        </w:rPr>
      </w:pPr>
    </w:p>
    <w:p>
      <w:pPr>
        <w:ind w:left="960" w:hanging="861"/>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2004</w:t>
      </w:r>
    </w:p>
    <w:p>
      <w:pPr>
        <w:spacing w:after="0" w:line="225" w:lineRule="exact"/>
        <w:rPr>
          <w:rFonts w:ascii="Arial" w:cs="Arial" w:eastAsia="Arial" w:hAnsi="Arial"/>
          <w:sz w:val="18"/>
          <w:szCs w:val="18"/>
          <w:color w:val="auto"/>
        </w:rPr>
      </w:pPr>
    </w:p>
    <w:p>
      <w:pPr>
        <w:ind w:left="960" w:hanging="861"/>
        <w:spacing w:after="0"/>
        <w:tabs>
          <w:tab w:leader="none" w:pos="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filed on April 6, 2005</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5620" w:right="2860" w:hanging="5616"/>
        <w:spacing w:after="0" w:line="528" w:lineRule="auto"/>
        <w:rPr>
          <w:rFonts w:ascii="Arial" w:cs="Arial" w:eastAsia="Arial" w:hAnsi="Arial"/>
          <w:sz w:val="18"/>
          <w:szCs w:val="18"/>
          <w:color w:val="auto"/>
        </w:rPr>
      </w:pPr>
      <w:r>
        <w:rPr>
          <w:rFonts w:ascii="Arial" w:cs="Arial" w:eastAsia="Arial" w:hAnsi="Arial"/>
          <w:sz w:val="18"/>
          <w:szCs w:val="18"/>
          <w:color w:val="auto"/>
        </w:rPr>
        <w:t>* Portions of this exhibit have been omitted pursuant to a request for confidential treatment filed with the Commission.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1826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the City of Boise, State of Idaho, on the 3rd day of November 2005.</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 W. G. STOVER, JR.</w:t>
            </w:r>
          </w:p>
        </w:tc>
      </w:tr>
      <w:tr>
        <w:trPr>
          <w:trHeight w:val="195"/>
        </w:trPr>
        <w:tc>
          <w:tcPr>
            <w:tcW w:w="360" w:type="dxa"/>
            <w:vAlign w:val="bottom"/>
          </w:tcPr>
          <w:p>
            <w:pPr>
              <w:spacing w:after="0"/>
              <w:rPr>
                <w:sz w:val="16"/>
                <w:szCs w:val="16"/>
                <w:color w:val="auto"/>
              </w:rPr>
            </w:pPr>
          </w:p>
        </w:tc>
        <w:tc>
          <w:tcPr>
            <w:tcW w:w="47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0"/>
              </w:rPr>
              <w:t>W. G. Stover, Jr.,</w:t>
            </w:r>
          </w:p>
        </w:tc>
      </w:tr>
      <w:tr>
        <w:trPr>
          <w:trHeight w:val="216"/>
        </w:trPr>
        <w:tc>
          <w:tcPr>
            <w:tcW w:w="36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Vice President of Finance, Chief Financial Officer</w:t>
            </w:r>
          </w:p>
        </w:tc>
      </w:tr>
      <w:tr>
        <w:trPr>
          <w:trHeight w:val="230"/>
        </w:trPr>
        <w:tc>
          <w:tcPr>
            <w:tcW w:w="36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0"/>
              </w:rPr>
              <w:t>(Principal Financial and Accounting Officer)</w:t>
            </w: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62" w:lineRule="exact"/>
        <w:rPr>
          <w:sz w:val="20"/>
          <w:szCs w:val="20"/>
          <w:color w:val="auto"/>
        </w:rPr>
      </w:pPr>
    </w:p>
    <w:p>
      <w:pPr>
        <w:ind w:left="1620"/>
        <w:spacing w:after="0"/>
        <w:tabs>
          <w:tab w:leader="none" w:pos="5880" w:val="left"/>
          <w:tab w:leader="none" w:pos="96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R. APPLETON</w:t>
            </w:r>
          </w:p>
        </w:tc>
        <w:tc>
          <w:tcPr>
            <w:tcW w:w="4560" w:type="dxa"/>
            <w:vAlign w:val="bottom"/>
          </w:tcPr>
          <w:p>
            <w:pPr>
              <w:ind w:left="540"/>
              <w:spacing w:after="0"/>
              <w:rPr>
                <w:sz w:val="20"/>
                <w:szCs w:val="20"/>
                <w:color w:val="auto"/>
              </w:rPr>
            </w:pPr>
            <w:r>
              <w:rPr>
                <w:rFonts w:ascii="Arial" w:cs="Arial" w:eastAsia="Arial" w:hAnsi="Arial"/>
                <w:sz w:val="18"/>
                <w:szCs w:val="18"/>
                <w:color w:val="auto"/>
              </w:rPr>
              <w:t>Chairman of the Board,</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(Steven R. Appleton)</w:t>
            </w:r>
          </w:p>
        </w:tc>
        <w:tc>
          <w:tcPr>
            <w:tcW w:w="4560" w:type="dxa"/>
            <w:vAlign w:val="bottom"/>
          </w:tcPr>
          <w:p>
            <w:pPr>
              <w:ind w:left="540"/>
              <w:spacing w:after="0" w:line="195" w:lineRule="exact"/>
              <w:rPr>
                <w:sz w:val="20"/>
                <w:szCs w:val="20"/>
                <w:color w:val="auto"/>
              </w:rPr>
            </w:pPr>
            <w:r>
              <w:rPr>
                <w:rFonts w:ascii="Arial" w:cs="Arial" w:eastAsia="Arial" w:hAnsi="Arial"/>
                <w:sz w:val="18"/>
                <w:szCs w:val="18"/>
                <w:color w:val="auto"/>
              </w:rPr>
              <w:t>Chief Executive Officer</w:t>
            </w:r>
          </w:p>
        </w:tc>
        <w:tc>
          <w:tcPr>
            <w:tcW w:w="306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4560" w:type="dxa"/>
            <w:vAlign w:val="bottom"/>
          </w:tcPr>
          <w:p>
            <w:pPr>
              <w:ind w:left="540"/>
              <w:spacing w:after="0"/>
              <w:rPr>
                <w:sz w:val="20"/>
                <w:szCs w:val="20"/>
                <w:color w:val="auto"/>
              </w:rPr>
            </w:pPr>
            <w:r>
              <w:rPr>
                <w:rFonts w:ascii="Arial" w:cs="Arial" w:eastAsia="Arial" w:hAnsi="Arial"/>
                <w:sz w:val="18"/>
                <w:szCs w:val="18"/>
                <w:color w:val="auto"/>
              </w:rPr>
              <w:t>and President (Principal</w:t>
            </w:r>
          </w:p>
        </w:tc>
        <w:tc>
          <w:tcPr>
            <w:tcW w:w="306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4560" w:type="dxa"/>
            <w:vAlign w:val="bottom"/>
          </w:tcPr>
          <w:p>
            <w:pPr>
              <w:ind w:left="540"/>
              <w:spacing w:after="0"/>
              <w:rPr>
                <w:sz w:val="20"/>
                <w:szCs w:val="20"/>
                <w:color w:val="auto"/>
              </w:rPr>
            </w:pPr>
            <w:r>
              <w:rPr>
                <w:rFonts w:ascii="Arial" w:cs="Arial" w:eastAsia="Arial" w:hAnsi="Arial"/>
                <w:sz w:val="18"/>
                <w:szCs w:val="18"/>
                <w:color w:val="auto"/>
              </w:rPr>
              <w:t>Executive Officer)</w:t>
            </w:r>
          </w:p>
        </w:tc>
        <w:tc>
          <w:tcPr>
            <w:tcW w:w="3060" w:type="dxa"/>
            <w:vAlign w:val="bottom"/>
          </w:tcPr>
          <w:p>
            <w:pPr>
              <w:spacing w:after="0"/>
              <w:rPr>
                <w:sz w:val="20"/>
                <w:szCs w:val="20"/>
                <w:color w:val="auto"/>
              </w:rPr>
            </w:pPr>
          </w:p>
        </w:tc>
      </w:tr>
      <w:tr>
        <w:trPr>
          <w:trHeight w:val="43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 G. STOVER, JR.</w:t>
            </w:r>
          </w:p>
        </w:tc>
        <w:tc>
          <w:tcPr>
            <w:tcW w:w="4560" w:type="dxa"/>
            <w:vAlign w:val="bottom"/>
          </w:tcPr>
          <w:p>
            <w:pPr>
              <w:ind w:left="540"/>
              <w:spacing w:after="0"/>
              <w:rPr>
                <w:sz w:val="20"/>
                <w:szCs w:val="20"/>
                <w:color w:val="auto"/>
              </w:rPr>
            </w:pPr>
            <w:r>
              <w:rPr>
                <w:rFonts w:ascii="Arial" w:cs="Arial" w:eastAsia="Arial" w:hAnsi="Arial"/>
                <w:sz w:val="18"/>
                <w:szCs w:val="18"/>
                <w:color w:val="auto"/>
              </w:rPr>
              <w:t>Vice President of Finance,</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1"/>
              </w:rPr>
              <w:t>(W. G. Stover, Jr.)</w:t>
            </w:r>
          </w:p>
        </w:tc>
        <w:tc>
          <w:tcPr>
            <w:tcW w:w="4560" w:type="dxa"/>
            <w:vAlign w:val="bottom"/>
          </w:tcPr>
          <w:p>
            <w:pPr>
              <w:ind w:left="540"/>
              <w:spacing w:after="0" w:line="195" w:lineRule="exact"/>
              <w:rPr>
                <w:sz w:val="20"/>
                <w:szCs w:val="20"/>
                <w:color w:val="auto"/>
              </w:rPr>
            </w:pPr>
            <w:r>
              <w:rPr>
                <w:rFonts w:ascii="Arial" w:cs="Arial" w:eastAsia="Arial" w:hAnsi="Arial"/>
                <w:sz w:val="18"/>
                <w:szCs w:val="18"/>
                <w:color w:val="auto"/>
              </w:rPr>
              <w:t>Chief Financial Officer</w:t>
            </w:r>
          </w:p>
        </w:tc>
        <w:tc>
          <w:tcPr>
            <w:tcW w:w="306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4560" w:type="dxa"/>
            <w:vAlign w:val="bottom"/>
          </w:tcPr>
          <w:p>
            <w:pPr>
              <w:ind w:left="540"/>
              <w:spacing w:after="0"/>
              <w:rPr>
                <w:sz w:val="20"/>
                <w:szCs w:val="20"/>
                <w:color w:val="auto"/>
              </w:rPr>
            </w:pPr>
            <w:r>
              <w:rPr>
                <w:rFonts w:ascii="Arial" w:cs="Arial" w:eastAsia="Arial" w:hAnsi="Arial"/>
                <w:sz w:val="18"/>
                <w:szCs w:val="18"/>
                <w:color w:val="auto"/>
              </w:rPr>
              <w:t>(Principal Financial and</w:t>
            </w:r>
          </w:p>
        </w:tc>
        <w:tc>
          <w:tcPr>
            <w:tcW w:w="306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4560" w:type="dxa"/>
            <w:vAlign w:val="bottom"/>
          </w:tcPr>
          <w:p>
            <w:pPr>
              <w:ind w:left="540"/>
              <w:spacing w:after="0"/>
              <w:rPr>
                <w:sz w:val="20"/>
                <w:szCs w:val="20"/>
                <w:color w:val="auto"/>
              </w:rPr>
            </w:pPr>
            <w:r>
              <w:rPr>
                <w:rFonts w:ascii="Arial" w:cs="Arial" w:eastAsia="Arial" w:hAnsi="Arial"/>
                <w:sz w:val="18"/>
                <w:szCs w:val="18"/>
                <w:color w:val="auto"/>
              </w:rPr>
              <w:t>Accounting Officer)</w:t>
            </w:r>
          </w:p>
        </w:tc>
        <w:tc>
          <w:tcPr>
            <w:tcW w:w="3060" w:type="dxa"/>
            <w:vAlign w:val="bottom"/>
          </w:tcPr>
          <w:p>
            <w:pPr>
              <w:spacing w:after="0"/>
              <w:rPr>
                <w:sz w:val="20"/>
                <w:szCs w:val="20"/>
                <w:color w:val="auto"/>
              </w:rPr>
            </w:pPr>
          </w:p>
        </w:tc>
      </w:tr>
      <w:tr>
        <w:trPr>
          <w:trHeight w:val="43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JAMES W. BAGLEY</w:t>
            </w:r>
          </w:p>
        </w:tc>
        <w:tc>
          <w:tcPr>
            <w:tcW w:w="45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228"/>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9"/>
              </w:rPr>
              <w:t>(James W. Bagley)</w:t>
            </w:r>
          </w:p>
        </w:tc>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6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MERCEDES JOHNSON</w:t>
            </w:r>
          </w:p>
        </w:tc>
        <w:tc>
          <w:tcPr>
            <w:tcW w:w="45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228"/>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7"/>
              </w:rPr>
              <w:t>(Mercedes Johnson)</w:t>
            </w:r>
          </w:p>
        </w:tc>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6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ROBERT A. LOTHROP</w:t>
            </w:r>
          </w:p>
        </w:tc>
        <w:tc>
          <w:tcPr>
            <w:tcW w:w="45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228"/>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3"/>
              </w:rPr>
              <w:t>(Robert A. Lothrop)</w:t>
            </w:r>
          </w:p>
        </w:tc>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6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LAWRENCE N. MONDRY</w:t>
            </w:r>
          </w:p>
        </w:tc>
        <w:tc>
          <w:tcPr>
            <w:tcW w:w="45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228"/>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4"/>
              </w:rPr>
              <w:t>(Lawrence N. Mondry)</w:t>
            </w:r>
          </w:p>
        </w:tc>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6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GORDON C. SMITH</w:t>
            </w:r>
          </w:p>
        </w:tc>
        <w:tc>
          <w:tcPr>
            <w:tcW w:w="45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228"/>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4"/>
              </w:rPr>
              <w:t>(Gordon C. Smith)</w:t>
            </w:r>
          </w:p>
        </w:tc>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6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WILLIAM P. WEBER</w:t>
            </w:r>
          </w:p>
        </w:tc>
        <w:tc>
          <w:tcPr>
            <w:tcW w:w="45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60" w:type="dxa"/>
            <w:vAlign w:val="bottom"/>
          </w:tcPr>
          <w:p>
            <w:pPr>
              <w:ind w:left="780"/>
              <w:spacing w:after="0"/>
              <w:rPr>
                <w:sz w:val="20"/>
                <w:szCs w:val="20"/>
                <w:color w:val="auto"/>
              </w:rPr>
            </w:pPr>
            <w:r>
              <w:rPr>
                <w:rFonts w:ascii="Arial" w:cs="Arial" w:eastAsia="Arial" w:hAnsi="Arial"/>
                <w:sz w:val="18"/>
                <w:szCs w:val="18"/>
                <w:color w:val="auto"/>
              </w:rPr>
              <w:t>November 3, 2005</w:t>
            </w:r>
          </w:p>
        </w:tc>
      </w:tr>
      <w:tr>
        <w:trPr>
          <w:trHeight w:val="228"/>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2"/>
              </w:rPr>
              <w:t>(William P. Weber)</w:t>
            </w:r>
          </w:p>
        </w:tc>
        <w:tc>
          <w:tcPr>
            <w:tcW w:w="456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14"/>
        </w:trPr>
        <w:tc>
          <w:tcPr>
            <w:tcW w:w="3820" w:type="dxa"/>
            <w:vAlign w:val="bottom"/>
          </w:tcPr>
          <w:p>
            <w:pPr>
              <w:spacing w:after="0"/>
              <w:rPr>
                <w:sz w:val="24"/>
                <w:szCs w:val="24"/>
                <w:color w:val="auto"/>
              </w:rPr>
            </w:pPr>
          </w:p>
        </w:tc>
        <w:tc>
          <w:tcPr>
            <w:tcW w:w="4560" w:type="dxa"/>
            <w:vAlign w:val="bottom"/>
          </w:tcPr>
          <w:p>
            <w:pPr>
              <w:jc w:val="center"/>
              <w:ind w:right="690"/>
              <w:spacing w:after="0"/>
              <w:rPr>
                <w:sz w:val="20"/>
                <w:szCs w:val="20"/>
                <w:color w:val="auto"/>
              </w:rPr>
            </w:pPr>
            <w:r>
              <w:rPr>
                <w:rFonts w:ascii="Arial" w:cs="Arial" w:eastAsia="Arial" w:hAnsi="Arial"/>
                <w:sz w:val="18"/>
                <w:szCs w:val="18"/>
                <w:color w:val="auto"/>
                <w:w w:val="89"/>
              </w:rPr>
              <w:t>53</w:t>
            </w:r>
          </w:p>
        </w:tc>
        <w:tc>
          <w:tcPr>
            <w:tcW w:w="3060" w:type="dxa"/>
            <w:vAlign w:val="bottom"/>
          </w:tcPr>
          <w:p>
            <w:pPr>
              <w:spacing w:after="0"/>
              <w:rPr>
                <w:sz w:val="24"/>
                <w:szCs w:val="24"/>
                <w:color w:val="auto"/>
              </w:rPr>
            </w:pPr>
          </w:p>
        </w:tc>
      </w:tr>
      <w:tr>
        <w:trPr>
          <w:trHeight w:val="105"/>
        </w:trPr>
        <w:tc>
          <w:tcPr>
            <w:tcW w:w="3820" w:type="dxa"/>
            <w:vAlign w:val="bottom"/>
            <w:tcBorders>
              <w:bottom w:val="single" w:sz="8" w:color="808080"/>
            </w:tcBorders>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r>
      <w:tr>
        <w:trPr>
          <w:trHeight w:val="753"/>
        </w:trPr>
        <w:tc>
          <w:tcPr>
            <w:tcW w:w="3820" w:type="dxa"/>
            <w:vAlign w:val="bottom"/>
          </w:tcPr>
          <w:p>
            <w:pPr>
              <w:spacing w:after="0"/>
              <w:rPr>
                <w:sz w:val="24"/>
                <w:szCs w:val="24"/>
                <w:color w:val="auto"/>
              </w:rPr>
            </w:pPr>
          </w:p>
        </w:tc>
        <w:tc>
          <w:tcPr>
            <w:tcW w:w="4560" w:type="dxa"/>
            <w:vAlign w:val="bottom"/>
          </w:tcPr>
          <w:p>
            <w:pPr>
              <w:jc w:val="center"/>
              <w:ind w:right="690"/>
              <w:spacing w:after="0"/>
              <w:rPr>
                <w:sz w:val="20"/>
                <w:szCs w:val="20"/>
                <w:color w:val="auto"/>
              </w:rPr>
            </w:pPr>
            <w:r>
              <w:rPr>
                <w:rFonts w:ascii="Arial" w:cs="Arial" w:eastAsia="Arial" w:hAnsi="Arial"/>
                <w:sz w:val="18"/>
                <w:szCs w:val="18"/>
                <w:color w:val="auto"/>
                <w:w w:val="91"/>
              </w:rPr>
              <w:t>Schedule II</w:t>
            </w:r>
          </w:p>
        </w:tc>
        <w:tc>
          <w:tcPr>
            <w:tcW w:w="3060" w:type="dxa"/>
            <w:vAlign w:val="bottom"/>
          </w:tcPr>
          <w:p>
            <w:pPr>
              <w:spacing w:after="0"/>
              <w:rPr>
                <w:sz w:val="24"/>
                <w:szCs w:val="24"/>
                <w:color w:val="auto"/>
              </w:rPr>
            </w:pPr>
          </w:p>
        </w:tc>
      </w:tr>
      <w:tr>
        <w:trPr>
          <w:trHeight w:val="414"/>
        </w:trPr>
        <w:tc>
          <w:tcPr>
            <w:tcW w:w="3820" w:type="dxa"/>
            <w:vAlign w:val="bottom"/>
          </w:tcPr>
          <w:p>
            <w:pPr>
              <w:spacing w:after="0"/>
              <w:rPr>
                <w:sz w:val="24"/>
                <w:szCs w:val="24"/>
                <w:color w:val="auto"/>
              </w:rPr>
            </w:pPr>
          </w:p>
        </w:tc>
        <w:tc>
          <w:tcPr>
            <w:tcW w:w="4560" w:type="dxa"/>
            <w:vAlign w:val="bottom"/>
          </w:tcPr>
          <w:p>
            <w:pPr>
              <w:jc w:val="center"/>
              <w:ind w:right="690"/>
              <w:spacing w:after="0"/>
              <w:rPr>
                <w:sz w:val="20"/>
                <w:szCs w:val="20"/>
                <w:color w:val="auto"/>
              </w:rPr>
            </w:pPr>
            <w:r>
              <w:rPr>
                <w:rFonts w:ascii="Arial" w:cs="Arial" w:eastAsia="Arial" w:hAnsi="Arial"/>
                <w:sz w:val="18"/>
                <w:szCs w:val="18"/>
                <w:b w:val="1"/>
                <w:bCs w:val="1"/>
                <w:color w:val="auto"/>
              </w:rPr>
              <w:t>MICRON TECHNOLOGY, INC.</w:t>
            </w:r>
          </w:p>
        </w:tc>
        <w:tc>
          <w:tcPr>
            <w:tcW w:w="3060" w:type="dxa"/>
            <w:vAlign w:val="bottom"/>
          </w:tcPr>
          <w:p>
            <w:pPr>
              <w:spacing w:after="0"/>
              <w:rPr>
                <w:sz w:val="24"/>
                <w:szCs w:val="24"/>
                <w:color w:val="auto"/>
              </w:rPr>
            </w:pPr>
          </w:p>
        </w:tc>
      </w:tr>
      <w:tr>
        <w:trPr>
          <w:trHeight w:val="234"/>
        </w:trPr>
        <w:tc>
          <w:tcPr>
            <w:tcW w:w="3820" w:type="dxa"/>
            <w:vAlign w:val="bottom"/>
          </w:tcPr>
          <w:p>
            <w:pPr>
              <w:spacing w:after="0"/>
              <w:rPr>
                <w:sz w:val="20"/>
                <w:szCs w:val="20"/>
                <w:color w:val="auto"/>
              </w:rPr>
            </w:pPr>
          </w:p>
        </w:tc>
        <w:tc>
          <w:tcPr>
            <w:tcW w:w="4560" w:type="dxa"/>
            <w:vAlign w:val="bottom"/>
          </w:tcPr>
          <w:p>
            <w:pPr>
              <w:jc w:val="center"/>
              <w:ind w:right="690"/>
              <w:spacing w:after="0"/>
              <w:rPr>
                <w:sz w:val="20"/>
                <w:szCs w:val="20"/>
                <w:color w:val="auto"/>
              </w:rPr>
            </w:pPr>
            <w:r>
              <w:rPr>
                <w:rFonts w:ascii="Arial" w:cs="Arial" w:eastAsia="Arial" w:hAnsi="Arial"/>
                <w:sz w:val="18"/>
                <w:szCs w:val="18"/>
                <w:b w:val="1"/>
                <w:bCs w:val="1"/>
                <w:color w:val="auto"/>
              </w:rPr>
              <w:t>VALUATION AND QUALIFYING ACCOUNTS</w:t>
            </w:r>
          </w:p>
        </w:tc>
        <w:tc>
          <w:tcPr>
            <w:tcW w:w="30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-904240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-904240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40"/>
          </w:cols>
          <w:pgMar w:left="240" w:top="341" w:right="219" w:bottom="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(Amounts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(Credited) to</w:t>
            </w:r>
          </w:p>
        </w:tc>
        <w:tc>
          <w:tcPr>
            <w:tcW w:w="220" w:type="dxa"/>
            <w:vAlign w:val="bottom"/>
          </w:tcPr>
          <w:p>
            <w:pPr>
              <w:spacing w:after="0"/>
              <w:rPr>
                <w:sz w:val="12"/>
                <w:szCs w:val="12"/>
                <w:color w:val="auto"/>
              </w:rPr>
            </w:pPr>
          </w:p>
        </w:tc>
        <w:tc>
          <w:tcPr>
            <w:tcW w:w="13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Costs and</w:t>
            </w: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Expenses</w:t>
            </w:r>
          </w:p>
        </w:tc>
        <w:tc>
          <w:tcPr>
            <w:tcW w:w="22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Write-Offs</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Allowance for Doubtful Accounts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9"/>
              </w:rPr>
              <w:t>Year ended September 1, 2005</w:t>
            </w:r>
          </w:p>
        </w:tc>
        <w:tc>
          <w:tcPr>
            <w:tcW w:w="270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w:t>
            </w:r>
          </w:p>
        </w:tc>
        <w:tc>
          <w:tcPr>
            <w:tcW w:w="3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2, 2004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ind w:left="160"/>
              <w:spacing w:after="0"/>
              <w:rPr>
                <w:sz w:val="20"/>
                <w:szCs w:val="20"/>
                <w:color w:val="auto"/>
              </w:rPr>
            </w:pPr>
            <w:r>
              <w:rPr>
                <w:rFonts w:ascii="Arial" w:cs="Arial" w:eastAsia="Arial" w:hAnsi="Arial"/>
                <w:sz w:val="18"/>
                <w:szCs w:val="18"/>
                <w:color w:val="auto"/>
              </w:rPr>
              <w:t>Year ended August 28, 2003</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40" w:type="dxa"/>
            <w:vAlign w:val="bottom"/>
            <w:gridSpan w:val="4"/>
          </w:tcPr>
          <w:p>
            <w:pPr>
              <w:spacing w:after="0" w:line="176" w:lineRule="exact"/>
              <w:rPr>
                <w:sz w:val="20"/>
                <w:szCs w:val="20"/>
                <w:color w:val="auto"/>
              </w:rPr>
            </w:pPr>
            <w:r>
              <w:rPr>
                <w:rFonts w:ascii="Arial" w:cs="Arial" w:eastAsia="Arial" w:hAnsi="Arial"/>
                <w:sz w:val="18"/>
                <w:szCs w:val="18"/>
                <w:color w:val="auto"/>
              </w:rPr>
              <w:t>Allowance for Obsolete Inventory</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1, 2005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ind w:left="160"/>
              <w:spacing w:after="0"/>
              <w:rPr>
                <w:sz w:val="20"/>
                <w:szCs w:val="20"/>
                <w:color w:val="auto"/>
              </w:rPr>
            </w:pPr>
            <w:r>
              <w:rPr>
                <w:rFonts w:ascii="Arial" w:cs="Arial" w:eastAsia="Arial" w:hAnsi="Arial"/>
                <w:sz w:val="18"/>
                <w:szCs w:val="18"/>
                <w:color w:val="auto"/>
              </w:rPr>
              <w:t>Year ended September 2, 2004</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August 28, 2003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Deferred Tax Asset Valuation Allowance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rPr>
              <w:t>Year ended September 1, 2005</w:t>
            </w:r>
          </w:p>
        </w:tc>
        <w:tc>
          <w:tcPr>
            <w:tcW w:w="2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1,004.3</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17.4</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Year ended September 2, 2004</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gridSpan w:val="4"/>
          </w:tcPr>
          <w:p>
            <w:pPr>
              <w:ind w:left="160"/>
              <w:spacing w:after="0"/>
              <w:rPr>
                <w:sz w:val="20"/>
                <w:szCs w:val="20"/>
                <w:color w:val="auto"/>
              </w:rPr>
            </w:pPr>
            <w:r>
              <w:rPr>
                <w:rFonts w:ascii="Arial" w:cs="Arial" w:eastAsia="Arial" w:hAnsi="Arial"/>
                <w:sz w:val="18"/>
                <w:szCs w:val="18"/>
                <w:color w:val="auto"/>
              </w:rPr>
              <w:t>Year ended August 23, 2003</w:t>
            </w:r>
          </w:p>
        </w:tc>
        <w:tc>
          <w:tcPr>
            <w:tcW w:w="1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558.8</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allowance for obsolete inventory excludes any charges for write-downs of work in process and finished goods inventories to their estimated market values. See “Item 7. Management’s Discussion and Analysis of Financial Condition and Results of Operations” and “Item 8. Financial Statements and Supplementary Data – Notes to Consolidated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ind w:left="1030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320" w:type="dxa"/>
            <w:vAlign w:val="bottom"/>
            <w:gridSpan w:val="3"/>
          </w:tcPr>
          <w:p>
            <w:pPr>
              <w:jc w:val="center"/>
              <w:ind w:right="4012"/>
              <w:spacing w:after="0"/>
              <w:rPr>
                <w:sz w:val="20"/>
                <w:szCs w:val="20"/>
                <w:color w:val="auto"/>
              </w:rPr>
            </w:pPr>
            <w:r>
              <w:rPr>
                <w:rFonts w:ascii="Arial" w:cs="Arial" w:eastAsia="Arial" w:hAnsi="Arial"/>
                <w:sz w:val="18"/>
                <w:szCs w:val="18"/>
                <w:b w:val="1"/>
                <w:bCs w:val="1"/>
                <w:color w:val="auto"/>
              </w:rPr>
              <w:t>MICRON TECHNOLOGY,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320" w:type="dxa"/>
            <w:vAlign w:val="bottom"/>
            <w:gridSpan w:val="3"/>
          </w:tcPr>
          <w:p>
            <w:pPr>
              <w:jc w:val="center"/>
              <w:ind w:right="4012"/>
              <w:spacing w:after="0"/>
              <w:rPr>
                <w:sz w:val="20"/>
                <w:szCs w:val="20"/>
                <w:color w:val="auto"/>
              </w:rPr>
            </w:pPr>
            <w:r>
              <w:rPr>
                <w:rFonts w:ascii="Arial" w:cs="Arial" w:eastAsia="Arial" w:hAnsi="Arial"/>
                <w:sz w:val="18"/>
                <w:szCs w:val="18"/>
                <w:b w:val="1"/>
                <w:bCs w:val="1"/>
                <w:color w:val="auto"/>
              </w:rPr>
              <w:t>SUBSIDIARIES OF THE REGISTRANT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Arial" w:cs="Arial" w:eastAsia="Arial" w:hAnsi="Arial"/>
                <w:sz w:val="14"/>
                <w:szCs w:val="14"/>
                <w:b w:val="1"/>
                <w:bCs w:val="1"/>
                <w:color w:val="auto"/>
              </w:rPr>
              <w:t>State (or jurisdiction)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80" w:type="dxa"/>
            <w:vAlign w:val="bottom"/>
          </w:tcPr>
          <w:p>
            <w:pPr>
              <w:ind w:left="1140"/>
              <w:spacing w:after="0"/>
              <w:rPr>
                <w:sz w:val="20"/>
                <w:szCs w:val="20"/>
                <w:color w:val="auto"/>
              </w:rPr>
            </w:pPr>
            <w:r>
              <w:rPr>
                <w:rFonts w:ascii="Arial" w:cs="Arial" w:eastAsia="Arial" w:hAnsi="Arial"/>
                <w:sz w:val="14"/>
                <w:szCs w:val="14"/>
                <w:b w:val="1"/>
                <w:bCs w:val="1"/>
                <w:color w:val="auto"/>
              </w:rPr>
              <w:t>in which Organized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Europe Limited</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w w:val="97"/>
              </w:rPr>
              <w:t>Also does business as Crucial Technology Europe</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Japan, Ltd.</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Asia Pte. Ltd.</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Also does business as Crucial Technology Asia</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Canada, Inc.</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(Deutschland) GmbH</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France, SAS</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India, Inc.</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International, Ltd.</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Cayman Islands, B.W.I.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Korea Co., Ltd.</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Semiconductor (Shanghai) Co., Ltd.</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Products, Inc.</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Also does business as Crucial Technology</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(Xiamen) Co., Ltd.</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1"/>
              </w:rPr>
              <w:t>Micron Semiconductor Technology (Shanghai) Co., Ltd.</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Asia Pacific, Inc.</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Technology Italia S.r.l.</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Puerto Rico, Inc.</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Puerto Rico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Micron Technology Services, Inc.</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Texas, LLC</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 on Forms S-3 (File Nos. 333-33050, 333-71620, 333-104894) and Forms S-8 (File Nos. 33-27078, 33-57887, 33-65050, 333-07283, 333-17073, 333-50353, 333-65449, 333-71249, 333-82549, 333-99271, 333-102545, 333-103341, 333-111170, 333-120620) of Micron Technology, Inc. of our report dated November 3, 2005 relating to the financial statements, financial statement schedule, management’s assessment of the effectiveness of internal control over financial reporting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183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November 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20" w:hanging="332"/>
        <w:spacing w:after="0" w:line="264" w:lineRule="auto"/>
        <w:tabs>
          <w:tab w:leader="none" w:pos="3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3"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Date: November 3, 2005</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664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66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321"/>
        </w:trPr>
        <w:tc>
          <w:tcPr>
            <w:tcW w:w="66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0" w:name="page41"/>
    <w:bookmarkEnd w:id="40"/>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25" w:lineRule="exact"/>
        <w:rPr>
          <w:rFonts w:ascii="Arial" w:cs="Arial" w:eastAsia="Arial" w:hAnsi="Arial"/>
          <w:sz w:val="18"/>
          <w:szCs w:val="18"/>
          <w:color w:val="auto"/>
        </w:rPr>
      </w:pPr>
    </w:p>
    <w:p>
      <w:pPr>
        <w:ind w:left="340" w:right="140" w:hanging="332"/>
        <w:spacing w:after="0" w:line="342" w:lineRule="auto"/>
        <w:tabs>
          <w:tab w:leader="none" w:pos="35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20" w:hanging="332"/>
        <w:spacing w:after="0" w:line="264" w:lineRule="auto"/>
        <w:tabs>
          <w:tab w:leader="none" w:pos="3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60" w:hanging="328"/>
        <w:spacing w:after="0" w:line="308" w:lineRule="auto"/>
        <w:tabs>
          <w:tab w:leader="none" w:pos="663"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Date: November 3, 2005</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6640" w:type="dxa"/>
            <w:vAlign w:val="bottom"/>
          </w:tcPr>
          <w:p>
            <w:pPr>
              <w:spacing w:after="0"/>
              <w:rPr>
                <w:sz w:val="16"/>
                <w:szCs w:val="16"/>
                <w:color w:val="auto"/>
              </w:rPr>
            </w:pP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664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321"/>
        </w:trPr>
        <w:tc>
          <w:tcPr>
            <w:tcW w:w="66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1" w:name="page42"/>
    <w:bookmarkEnd w:id="41"/>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Annual Report of Micron Technology, Inc. on Form 10-K for the period ended September 1, 2005,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November 3, 2005</w:t>
            </w:r>
          </w:p>
        </w:tc>
        <w:tc>
          <w:tcPr>
            <w:tcW w:w="7340" w:type="dxa"/>
            <w:vAlign w:val="bottom"/>
            <w:gridSpan w:val="2"/>
          </w:tcPr>
          <w:p>
            <w:pPr>
              <w:ind w:left="2240"/>
              <w:spacing w:after="0"/>
              <w:rPr>
                <w:sz w:val="20"/>
                <w:szCs w:val="20"/>
                <w:color w:val="auto"/>
              </w:rPr>
            </w:pPr>
            <w:r>
              <w:rPr>
                <w:rFonts w:ascii="Arial" w:cs="Arial" w:eastAsia="Arial" w:hAnsi="Arial"/>
                <w:sz w:val="18"/>
                <w:szCs w:val="18"/>
                <w:color w:val="auto"/>
              </w:rPr>
              <w:t>By:   /s/ STEVEN R. APPLETON</w:t>
            </w:r>
          </w:p>
        </w:tc>
        <w:tc>
          <w:tcPr>
            <w:tcW w:w="20" w:type="dxa"/>
            <w:vAlign w:val="bottom"/>
          </w:tcPr>
          <w:p>
            <w:pPr>
              <w:spacing w:after="0"/>
              <w:rPr>
                <w:sz w:val="20"/>
                <w:szCs w:val="20"/>
                <w:color w:val="auto"/>
              </w:rPr>
            </w:pPr>
          </w:p>
        </w:tc>
      </w:tr>
      <w:tr>
        <w:trPr>
          <w:trHeight w:val="195"/>
        </w:trPr>
        <w:tc>
          <w:tcPr>
            <w:tcW w:w="40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537"/>
        </w:trPr>
        <w:tc>
          <w:tcPr>
            <w:tcW w:w="40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2" w:name="page43"/>
    <w:bookmarkEnd w:id="42"/>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Annual Report of Micron Technology, Inc. on Form 10-K for the period ended September 1, 2005,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3, 2005</w:t>
            </w:r>
          </w:p>
        </w:tc>
        <w:tc>
          <w:tcPr>
            <w:tcW w:w="7600" w:type="dxa"/>
            <w:vAlign w:val="bottom"/>
            <w:gridSpan w:val="2"/>
          </w:tcPr>
          <w:p>
            <w:pPr>
              <w:ind w:left="2020"/>
              <w:spacing w:after="0"/>
              <w:rPr>
                <w:sz w:val="20"/>
                <w:szCs w:val="20"/>
                <w:color w:val="auto"/>
              </w:rPr>
            </w:pPr>
            <w:r>
              <w:rPr>
                <w:rFonts w:ascii="Arial" w:cs="Arial" w:eastAsia="Arial" w:hAnsi="Arial"/>
                <w:sz w:val="18"/>
                <w:szCs w:val="18"/>
                <w:color w:val="auto"/>
              </w:rPr>
              <w:t>By:   /s/ W. G. STOVER, JR.</w:t>
            </w:r>
          </w:p>
        </w:tc>
        <w:tc>
          <w:tcPr>
            <w:tcW w:w="20" w:type="dxa"/>
            <w:vAlign w:val="bottom"/>
          </w:tcPr>
          <w:p>
            <w:pPr>
              <w:spacing w:after="0"/>
              <w:rPr>
                <w:sz w:val="20"/>
                <w:szCs w:val="20"/>
                <w:color w:val="auto"/>
              </w:rPr>
            </w:pPr>
          </w:p>
        </w:tc>
      </w:tr>
      <w:tr>
        <w:trPr>
          <w:trHeight w:val="195"/>
        </w:trPr>
        <w:tc>
          <w:tcPr>
            <w:tcW w:w="3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537"/>
        </w:trPr>
        <w:tc>
          <w:tcPr>
            <w:tcW w:w="382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33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Letter"/>
      <w:start w:val="3"/>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6"/>
    </w:lvl>
  </w:abstractNum>
  <w:abstractNum w:abstractNumId="11">
    <w:nsid w:val="3352255A"/>
    <w:multiLevelType w:val="hybridMultilevel"/>
    <w:lvl w:ilvl="0">
      <w:lvlJc w:val="left"/>
      <w:lvlText w:val="*"/>
      <w:numFmt w:val="bullet"/>
      <w:start w:val="1"/>
    </w:lvl>
    <w:lvl w:ilvl="1">
      <w:lvlJc w:val="left"/>
      <w:lvlText w:val="(%2)"/>
      <w:numFmt w:val="decimal"/>
      <w:start w:val="17"/>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40" Type="http://schemas.openxmlformats.org/officeDocument/2006/relationships/hyperlink" Target="file:///data/convert/a05-19263_110k.htm#ReportOfIndependentRegisteredPubl_180226" TargetMode="External"/><Relationship Id="rId41" Type="http://schemas.openxmlformats.org/officeDocument/2006/relationships/hyperlink" Target="file:///data/convert/a05-19263_110k.htm#ScheduleIi_180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2019-12-13T13:01:41Z</dcterms:created>
  <dcterms:modified xsi:type="dcterms:W3CDTF">2019-12-13T13:01:41Z</dcterms:modified>
</cp:coreProperties>
</file>