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1" w:lineRule="exact"/>
        <w:rPr>
          <w:sz w:val="24"/>
          <w:szCs w:val="24"/>
          <w:color w:val="auto"/>
        </w:rPr>
      </w:pPr>
    </w:p>
    <w:p>
      <w:pPr>
        <w:ind w:left="4540" w:right="2839" w:hanging="4529"/>
        <w:spacing w:after="0" w:line="347" w:lineRule="auto"/>
        <w:rPr>
          <w:sz w:val="20"/>
          <w:szCs w:val="20"/>
          <w:color w:val="auto"/>
        </w:rPr>
      </w:pPr>
      <w:r>
        <w:rPr>
          <w:rFonts w:ascii="Courier New" w:cs="Courier New" w:eastAsia="Courier New" w:hAnsi="Courier New"/>
          <w:sz w:val="18"/>
          <w:szCs w:val="18"/>
          <w:color w:val="auto"/>
        </w:rPr>
        <w:t>As filed with the Securities and Exchange Commission on March 14, 1994 Registration no.</w:t>
      </w:r>
    </w:p>
    <w:p>
      <w:pPr>
        <w:spacing w:after="0" w:line="1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S-8</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REGISTRATION STATEMENT</w:t>
      </w:r>
    </w:p>
    <w:p>
      <w:pPr>
        <w:ind w:left="3480"/>
        <w:spacing w:after="0" w:line="238" w:lineRule="auto"/>
        <w:rPr>
          <w:sz w:val="20"/>
          <w:szCs w:val="20"/>
          <w:color w:val="auto"/>
        </w:rPr>
      </w:pPr>
      <w:r>
        <w:rPr>
          <w:rFonts w:ascii="Courier New" w:cs="Courier New" w:eastAsia="Courier New" w:hAnsi="Courier New"/>
          <w:sz w:val="18"/>
          <w:szCs w:val="18"/>
          <w:color w:val="auto"/>
        </w:rPr>
        <w:t>Under</w:t>
      </w:r>
    </w:p>
    <w:p>
      <w:pPr>
        <w:ind w:left="244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Delaware</w:t>
            </w:r>
          </w:p>
        </w:tc>
        <w:tc>
          <w:tcPr>
            <w:tcW w:w="1160" w:type="dxa"/>
            <w:vAlign w:val="bottom"/>
          </w:tcPr>
          <w:p>
            <w:pPr>
              <w:spacing w:after="0"/>
              <w:rPr>
                <w:sz w:val="17"/>
                <w:szCs w:val="17"/>
                <w:color w:val="auto"/>
              </w:rPr>
            </w:pPr>
          </w:p>
        </w:tc>
        <w:tc>
          <w:tcPr>
            <w:tcW w:w="2940" w:type="dxa"/>
            <w:vAlign w:val="bottom"/>
            <w:gridSpan w:val="2"/>
          </w:tcPr>
          <w:p>
            <w:pPr>
              <w:ind w:left="1040"/>
              <w:spacing w:after="0"/>
              <w:rPr>
                <w:sz w:val="20"/>
                <w:szCs w:val="20"/>
                <w:color w:val="auto"/>
              </w:rPr>
            </w:pPr>
            <w:r>
              <w:rPr>
                <w:rFonts w:ascii="Courier New" w:cs="Courier New" w:eastAsia="Courier New" w:hAnsi="Courier New"/>
                <w:sz w:val="18"/>
                <w:szCs w:val="18"/>
                <w:color w:val="auto"/>
              </w:rPr>
              <w:t>75-1618004</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1160" w:type="dxa"/>
            <w:vAlign w:val="bottom"/>
          </w:tcPr>
          <w:p>
            <w:pPr>
              <w:spacing w:after="0"/>
              <w:rPr>
                <w:sz w:val="17"/>
                <w:szCs w:val="17"/>
                <w:color w:val="auto"/>
              </w:rPr>
            </w:pPr>
          </w:p>
        </w:tc>
        <w:tc>
          <w:tcPr>
            <w:tcW w:w="294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incorporation or organization)</w:t>
            </w:r>
          </w:p>
        </w:tc>
        <w:tc>
          <w:tcPr>
            <w:tcW w:w="1160" w:type="dxa"/>
            <w:vAlign w:val="bottom"/>
          </w:tcPr>
          <w:p>
            <w:pPr>
              <w:spacing w:after="0"/>
              <w:rPr>
                <w:sz w:val="24"/>
                <w:szCs w:val="24"/>
                <w:color w:val="auto"/>
              </w:rPr>
            </w:pPr>
          </w:p>
        </w:tc>
        <w:tc>
          <w:tcPr>
            <w:tcW w:w="294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311"/>
        </w:trPr>
        <w:tc>
          <w:tcPr>
            <w:tcW w:w="3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2805 East Columbia Road</w:t>
            </w:r>
          </w:p>
        </w:tc>
        <w:tc>
          <w:tcPr>
            <w:tcW w:w="1160" w:type="dxa"/>
            <w:vAlign w:val="bottom"/>
          </w:tcPr>
          <w:p>
            <w:pPr>
              <w:spacing w:after="0"/>
              <w:rPr>
                <w:sz w:val="24"/>
                <w:szCs w:val="24"/>
                <w:color w:val="auto"/>
              </w:rPr>
            </w:pPr>
          </w:p>
        </w:tc>
        <w:tc>
          <w:tcPr>
            <w:tcW w:w="2940" w:type="dxa"/>
            <w:vAlign w:val="bottom"/>
            <w:gridSpan w:val="2"/>
            <w:vMerge w:val="restart"/>
          </w:tcPr>
          <w:p>
            <w:pPr>
              <w:ind w:left="1160"/>
              <w:spacing w:after="0"/>
              <w:rPr>
                <w:sz w:val="20"/>
                <w:szCs w:val="20"/>
                <w:color w:val="auto"/>
              </w:rPr>
            </w:pPr>
            <w:r>
              <w:rPr>
                <w:rFonts w:ascii="Courier New" w:cs="Courier New" w:eastAsia="Courier New" w:hAnsi="Courier New"/>
                <w:sz w:val="18"/>
                <w:szCs w:val="18"/>
                <w:color w:val="auto"/>
              </w:rPr>
              <w:t>83706-9698</w:t>
            </w:r>
          </w:p>
        </w:tc>
        <w:tc>
          <w:tcPr>
            <w:tcW w:w="0" w:type="dxa"/>
            <w:vAlign w:val="bottom"/>
          </w:tcPr>
          <w:p>
            <w:pPr>
              <w:spacing w:after="0"/>
              <w:rPr>
                <w:sz w:val="1"/>
                <w:szCs w:val="1"/>
                <w:color w:val="auto"/>
              </w:rPr>
            </w:pPr>
          </w:p>
        </w:tc>
      </w:tr>
      <w:tr>
        <w:trPr>
          <w:trHeight w:val="203"/>
        </w:trPr>
        <w:tc>
          <w:tcPr>
            <w:tcW w:w="32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Boise, Idaho</w:t>
            </w:r>
          </w:p>
        </w:tc>
        <w:tc>
          <w:tcPr>
            <w:tcW w:w="1160" w:type="dxa"/>
            <w:vAlign w:val="bottom"/>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gridSpan w:val="3"/>
          </w:tcPr>
          <w:p>
            <w:pPr>
              <w:spacing w:after="0"/>
              <w:rPr>
                <w:sz w:val="20"/>
                <w:szCs w:val="20"/>
                <w:color w:val="auto"/>
              </w:rPr>
            </w:pPr>
            <w:r>
              <w:rPr>
                <w:rFonts w:ascii="Courier New" w:cs="Courier New" w:eastAsia="Courier New" w:hAnsi="Courier New"/>
                <w:sz w:val="18"/>
                <w:szCs w:val="18"/>
                <w:color w:val="auto"/>
              </w:rPr>
              <w:t>(Address of Principal Executive Offices)</w:t>
            </w:r>
          </w:p>
        </w:tc>
        <w:tc>
          <w:tcPr>
            <w:tcW w:w="29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45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1985 INCENTIVE STOCK OPTION PLAN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45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(Full title of the plan)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4520" w:type="dxa"/>
            <w:vAlign w:val="bottom"/>
            <w:gridSpan w:val="3"/>
          </w:tcPr>
          <w:p>
            <w:pPr>
              <w:jc w:val="center"/>
              <w:ind w:right="32"/>
              <w:spacing w:after="0"/>
              <w:rPr>
                <w:sz w:val="20"/>
                <w:szCs w:val="20"/>
                <w:color w:val="auto"/>
              </w:rPr>
            </w:pPr>
            <w:r>
              <w:rPr>
                <w:rFonts w:ascii="Courier New" w:cs="Courier New" w:eastAsia="Courier New" w:hAnsi="Courier New"/>
                <w:sz w:val="18"/>
                <w:szCs w:val="18"/>
                <w:color w:val="auto"/>
                <w:w w:val="97"/>
              </w:rPr>
              <w:t>Joseph L. Parkinson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80" w:type="dxa"/>
            <w:vAlign w:val="bottom"/>
            <w:gridSpan w:val="5"/>
          </w:tcPr>
          <w:p>
            <w:pPr>
              <w:ind w:left="1280"/>
              <w:spacing w:after="0" w:line="203" w:lineRule="exact"/>
              <w:rPr>
                <w:sz w:val="20"/>
                <w:szCs w:val="20"/>
                <w:color w:val="auto"/>
              </w:rPr>
            </w:pPr>
            <w:r>
              <w:rPr>
                <w:rFonts w:ascii="Courier New" w:cs="Courier New" w:eastAsia="Courier New" w:hAnsi="Courier New"/>
                <w:sz w:val="18"/>
                <w:szCs w:val="18"/>
                <w:color w:val="auto"/>
              </w:rPr>
              <w:t>Chairman of the Board and Chief Executive Officer</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452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Micron Technology, Inc.</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4520" w:type="dxa"/>
            <w:vAlign w:val="bottom"/>
            <w:gridSpan w:val="3"/>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2805 East Columbia Road</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452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Boise, Idaho 83706-9698</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4520" w:type="dxa"/>
            <w:vAlign w:val="bottom"/>
            <w:gridSpan w:val="3"/>
          </w:tcPr>
          <w:p>
            <w:pPr>
              <w:jc w:val="center"/>
              <w:ind w:right="12"/>
              <w:spacing w:after="0"/>
              <w:rPr>
                <w:sz w:val="20"/>
                <w:szCs w:val="20"/>
                <w:color w:val="auto"/>
              </w:rPr>
            </w:pPr>
            <w:r>
              <w:rPr>
                <w:rFonts w:ascii="Courier New" w:cs="Courier New" w:eastAsia="Courier New" w:hAnsi="Courier New"/>
                <w:sz w:val="18"/>
                <w:szCs w:val="18"/>
                <w:color w:val="auto"/>
                <w:w w:val="97"/>
              </w:rPr>
              <w:t>(Name and address of agent for service)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2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208-368-4000</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380" w:type="dxa"/>
            <w:vAlign w:val="bottom"/>
            <w:gridSpan w:val="5"/>
          </w:tcPr>
          <w:p>
            <w:pPr>
              <w:ind w:left="640"/>
              <w:spacing w:after="0"/>
              <w:rPr>
                <w:sz w:val="20"/>
                <w:szCs w:val="20"/>
                <w:color w:val="auto"/>
              </w:rPr>
            </w:pPr>
            <w:r>
              <w:rPr>
                <w:rFonts w:ascii="Courier New" w:cs="Courier New" w:eastAsia="Courier New" w:hAnsi="Courier New"/>
                <w:sz w:val="18"/>
                <w:szCs w:val="18"/>
                <w:color w:val="auto"/>
              </w:rPr>
              <w:t>(Telephone number, including area code, of agent for service)</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520" w:type="dxa"/>
            <w:vAlign w:val="bottom"/>
            <w:gridSpan w:val="3"/>
          </w:tcPr>
          <w:p>
            <w:pPr>
              <w:jc w:val="center"/>
              <w:ind w:right="232"/>
              <w:spacing w:after="0"/>
              <w:rPr>
                <w:sz w:val="20"/>
                <w:szCs w:val="20"/>
                <w:color w:val="auto"/>
              </w:rPr>
            </w:pPr>
            <w:r>
              <w:rPr>
                <w:rFonts w:ascii="Courier New" w:cs="Courier New" w:eastAsia="Courier New" w:hAnsi="Courier New"/>
                <w:sz w:val="18"/>
                <w:szCs w:val="18"/>
                <w:color w:val="auto"/>
                <w:w w:val="97"/>
              </w:rPr>
              <w:t>CALCULATION OF REGISTRATION FEE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Title of</w:t>
            </w:r>
          </w:p>
        </w:tc>
        <w:tc>
          <w:tcPr>
            <w:tcW w:w="17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Proposed</w:t>
            </w:r>
          </w:p>
        </w:tc>
        <w:tc>
          <w:tcPr>
            <w:tcW w:w="162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174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Amount</w:t>
            </w: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securites</w:t>
            </w:r>
          </w:p>
        </w:tc>
        <w:tc>
          <w:tcPr>
            <w:tcW w:w="1740" w:type="dxa"/>
            <w:vAlign w:val="bottom"/>
            <w:vMerge w:val="continue"/>
          </w:tcPr>
          <w:p>
            <w:pPr>
              <w:spacing w:after="0"/>
              <w:rPr>
                <w:sz w:val="17"/>
                <w:szCs w:val="17"/>
                <w:color w:val="auto"/>
              </w:rPr>
            </w:pPr>
          </w:p>
        </w:tc>
        <w:tc>
          <w:tcPr>
            <w:tcW w:w="11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17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to be</w:t>
            </w: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price</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registered</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9"/>
              </w:rPr>
              <w:t>registered</w:t>
            </w:r>
          </w:p>
        </w:tc>
        <w:tc>
          <w:tcPr>
            <w:tcW w:w="11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per share</w:t>
            </w:r>
          </w:p>
        </w:tc>
        <w:tc>
          <w:tcPr>
            <w:tcW w:w="1620" w:type="dxa"/>
            <w:vAlign w:val="bottom"/>
          </w:tcPr>
          <w:p>
            <w:pPr>
              <w:ind w:left="620"/>
              <w:spacing w:after="0"/>
              <w:rPr>
                <w:sz w:val="20"/>
                <w:szCs w:val="20"/>
                <w:color w:val="auto"/>
              </w:rPr>
            </w:pPr>
            <w:r>
              <w:rPr>
                <w:rFonts w:ascii="Courier New" w:cs="Courier New" w:eastAsia="Courier New" w:hAnsi="Courier New"/>
                <w:sz w:val="18"/>
                <w:szCs w:val="18"/>
                <w:color w:val="auto"/>
              </w:rPr>
              <w:t>price</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fee*</w:t>
            </w: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74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1,000,000</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$79.07</w:t>
            </w:r>
          </w:p>
        </w:tc>
        <w:tc>
          <w:tcPr>
            <w:tcW w:w="1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9"/>
              </w:rPr>
              <w:t>$79,070,000.00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$27,265.71</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$.10 par value</w:t>
            </w:r>
          </w:p>
        </w:tc>
        <w:tc>
          <w:tcPr>
            <w:tcW w:w="17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jc w:val="both"/>
        <w:ind w:right="3159"/>
        <w:spacing w:after="0" w:line="318" w:lineRule="auto"/>
        <w:rPr>
          <w:sz w:val="20"/>
          <w:szCs w:val="20"/>
          <w:color w:val="auto"/>
        </w:rPr>
      </w:pPr>
      <w:r>
        <w:rPr>
          <w:rFonts w:ascii="Courier New" w:cs="Courier New" w:eastAsia="Courier New" w:hAnsi="Courier New"/>
          <w:sz w:val="16"/>
          <w:szCs w:val="16"/>
          <w:color w:val="auto"/>
        </w:rPr>
        <w:t>*Estimated in accordance with rule 457(h) solely for the purpose of calculating the registration fee on the basis of $79.07 per share, average of the high and low price of the Registrant's Common Stock as reported on the New York Stock Exchange on March 9, 1994.</w:t>
      </w:r>
    </w:p>
    <w:p>
      <w:pPr>
        <w:spacing w:after="0" w:line="200" w:lineRule="exact"/>
        <w:rPr>
          <w:sz w:val="24"/>
          <w:szCs w:val="24"/>
          <w:color w:val="auto"/>
        </w:rPr>
      </w:pPr>
    </w:p>
    <w:p>
      <w:pPr>
        <w:spacing w:after="0" w:line="230"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both"/>
        <w:ind w:right="3159" w:firstLine="527"/>
        <w:spacing w:after="0" w:line="292" w:lineRule="auto"/>
        <w:rPr>
          <w:sz w:val="20"/>
          <w:szCs w:val="20"/>
          <w:color w:val="auto"/>
        </w:rPr>
      </w:pPr>
      <w:r>
        <w:rPr>
          <w:rFonts w:ascii="Courier New" w:cs="Courier New" w:eastAsia="Courier New" w:hAnsi="Courier New"/>
          <w:sz w:val="18"/>
          <w:szCs w:val="18"/>
          <w:color w:val="auto"/>
        </w:rPr>
        <w:t>There are hereby incorporated by reference in the registration statement the following documents and information heretofore filed with the Securities and Exchange Commission:</w:t>
      </w:r>
    </w:p>
    <w:p>
      <w:pPr>
        <w:spacing w:after="0" w:line="66" w:lineRule="exact"/>
        <w:rPr>
          <w:sz w:val="24"/>
          <w:szCs w:val="24"/>
          <w:color w:val="auto"/>
        </w:rPr>
      </w:pPr>
    </w:p>
    <w:p>
      <w:pPr>
        <w:ind w:right="3159" w:firstLine="535"/>
        <w:spacing w:after="0" w:line="247"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previous registration statements on Form S-8, No. 33-3686 filed on February 28, 1986 registering 1,000,000 shares of Common Stock issuable pursuant to the Company's 1985 Incentive Stock Option Plan (the "ISO Plan"); No. 33-16832 filed on August 28, 1987 registering an additional 1,000,000 shares of Common Stock issuable under the Company's ISO Plan; No. 33-27078 filed on February 15, 1989 registering an additional 2,000,000 shares of Common Stock issuable under the Company's ISO Plan; No. 33-38665 filed on January 22, 1991 registering an additional 1,000,000 shares of Common Stock issuable under the Company's ISO Plan; No. 33-38926 filed on February 8, 1991 registering an additional 1,000,000 shares of Common Stock issuable under the Company's ISO Plan.</w:t>
      </w:r>
    </w:p>
    <w:p>
      <w:pPr>
        <w:spacing w:after="0" w:line="107" w:lineRule="exact"/>
        <w:rPr>
          <w:rFonts w:ascii="Courier New" w:cs="Courier New" w:eastAsia="Courier New" w:hAnsi="Courier New"/>
          <w:sz w:val="18"/>
          <w:szCs w:val="18"/>
          <w:color w:val="auto"/>
        </w:rPr>
      </w:pPr>
    </w:p>
    <w:p>
      <w:pPr>
        <w:jc w:val="both"/>
        <w:ind w:right="3359" w:firstLine="535"/>
        <w:spacing w:after="0" w:line="420" w:lineRule="auto"/>
        <w:tabs>
          <w:tab w:leader="none" w:pos="105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latest Annual Report on Form 10-K for the year ended September 2, 1993, filed pursuant to Section 13 of the</w:t>
      </w:r>
    </w:p>
    <w:p>
      <w:pPr>
        <w:sectPr>
          <w:pgSz w:w="11900" w:h="17029"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Securities Exchange Act of 1934, as amended (the "1934 Act").</w:t>
      </w:r>
    </w:p>
    <w:p>
      <w:pPr>
        <w:spacing w:after="0" w:line="201" w:lineRule="exact"/>
        <w:rPr>
          <w:sz w:val="20"/>
          <w:szCs w:val="20"/>
          <w:color w:val="auto"/>
        </w:rPr>
      </w:pPr>
    </w:p>
    <w:p>
      <w:pPr>
        <w:ind w:right="3259" w:firstLine="535"/>
        <w:spacing w:after="0" w:line="292"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December 2, 1993 filed pursuant to Section 13 of the 1934 Act.</w:t>
      </w:r>
    </w:p>
    <w:p>
      <w:pPr>
        <w:spacing w:after="0" w:line="66" w:lineRule="exact"/>
        <w:rPr>
          <w:sz w:val="20"/>
          <w:szCs w:val="20"/>
          <w:color w:val="auto"/>
        </w:rPr>
      </w:pPr>
    </w:p>
    <w:p>
      <w:pPr>
        <w:ind w:right="3159" w:firstLine="527"/>
        <w:spacing w:after="0" w:line="283" w:lineRule="auto"/>
        <w:rPr>
          <w:sz w:val="20"/>
          <w:szCs w:val="20"/>
          <w:color w:val="auto"/>
        </w:rPr>
      </w:pPr>
      <w:r>
        <w:rPr>
          <w:rFonts w:ascii="Courier New" w:cs="Courier New" w:eastAsia="Courier New" w:hAnsi="Courier New"/>
          <w:sz w:val="16"/>
          <w:szCs w:val="16"/>
          <w:color w:val="auto"/>
        </w:rPr>
        <w:t>All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 The description of the Company's common stock registered by this registration statement as set forth in the Company's previous registration statements on Form S-8, stated in paragraph (a) above are hereby incorporated by reference.</w:t>
      </w:r>
    </w:p>
    <w:p>
      <w:pPr>
        <w:spacing w:after="0" w:line="29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10"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3159" w:firstLine="527"/>
        <w:spacing w:after="0" w:line="283" w:lineRule="auto"/>
        <w:rPr>
          <w:sz w:val="20"/>
          <w:szCs w:val="20"/>
          <w:color w:val="auto"/>
        </w:rPr>
      </w:pPr>
      <w:r>
        <w:rPr>
          <w:rFonts w:ascii="Courier New" w:cs="Courier New" w:eastAsia="Courier New" w:hAnsi="Courier New"/>
          <w:sz w:val="16"/>
          <w:szCs w:val="16"/>
          <w:color w:val="auto"/>
        </w:rPr>
        <w:t>Section 145 of the Delaware General Corporation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Article VII of the Company's Bylaws provides for the mandatory indemnification of its officers, directors, employees and agents to the extent permitted by Delaware General Corporation Law, (and the Company has entered into agreements with its officers, directors and certain key employees implementing such indemnification).</w:t>
      </w:r>
    </w:p>
    <w:p>
      <w:pPr>
        <w:spacing w:after="0" w:line="29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w:t>
      </w:r>
    </w:p>
    <w:p>
      <w:pPr>
        <w:ind w:left="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1985 Incentive Stock Option Plan, as amended.</w:t>
      </w:r>
    </w:p>
    <w:p>
      <w:pPr>
        <w:spacing w:after="0" w:line="201" w:lineRule="exact"/>
        <w:rPr>
          <w:sz w:val="20"/>
          <w:szCs w:val="20"/>
          <w:color w:val="auto"/>
        </w:rPr>
      </w:pPr>
    </w:p>
    <w:p>
      <w:pPr>
        <w:ind w:left="1380" w:right="3259" w:hanging="842"/>
        <w:spacing w:after="0" w:line="347" w:lineRule="auto"/>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counsel as to legality of securities being registered.</w:t>
      </w:r>
    </w:p>
    <w:p>
      <w:pPr>
        <w:spacing w:after="0" w:line="1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Public Accountants.</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right="3359" w:firstLine="851"/>
        <w:spacing w:after="0" w:line="260" w:lineRule="auto"/>
        <w:tabs>
          <w:tab w:leader="none" w:pos="1369"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92" w:lineRule="exact"/>
        <w:rPr>
          <w:rFonts w:ascii="Courier New" w:cs="Courier New" w:eastAsia="Courier New" w:hAnsi="Courier New"/>
          <w:sz w:val="18"/>
          <w:szCs w:val="18"/>
          <w:color w:val="auto"/>
        </w:rPr>
      </w:pPr>
    </w:p>
    <w:p>
      <w:pPr>
        <w:ind w:right="3159" w:firstLine="851"/>
        <w:spacing w:after="0" w:line="260" w:lineRule="auto"/>
        <w:tabs>
          <w:tab w:leader="none" w:pos="1369"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Courier New" w:cs="Courier New" w:eastAsia="Courier New" w:hAnsi="Courier New"/>
          <w:sz w:val="18"/>
          <w:szCs w:val="18"/>
          <w:color w:val="auto"/>
        </w:rPr>
      </w:pPr>
    </w:p>
    <w:p>
      <w:pPr>
        <w:ind w:right="3479" w:firstLine="851"/>
        <w:spacing w:after="0" w:line="292" w:lineRule="auto"/>
        <w:tabs>
          <w:tab w:leader="none" w:pos="1369"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0219"/>
          </w:cols>
          <w:pgMar w:left="240" w:top="488" w:right="1440" w:bottom="1440" w:gutter="0" w:footer="0" w:header="0"/>
        </w:sectPr>
      </w:pPr>
    </w:p>
    <w:bookmarkStart w:id="3" w:name="page4"/>
    <w:bookmarkEnd w:id="3"/>
    <w:p>
      <w:pPr>
        <w:ind w:left="-535" w:right="3259" w:firstLine="535"/>
        <w:spacing w:after="0" w:line="249" w:lineRule="auto"/>
        <w:tabs>
          <w:tab w:leader="none" w:pos="51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3" w:lineRule="exact"/>
        <w:rPr>
          <w:rFonts w:ascii="Courier New" w:cs="Courier New" w:eastAsia="Courier New" w:hAnsi="Courier New"/>
          <w:sz w:val="18"/>
          <w:szCs w:val="18"/>
          <w:color w:val="auto"/>
        </w:rPr>
      </w:pPr>
    </w:p>
    <w:p>
      <w:pPr>
        <w:ind w:left="-535" w:right="3159" w:firstLine="535"/>
        <w:spacing w:after="0" w:line="277" w:lineRule="auto"/>
        <w:tabs>
          <w:tab w:leader="none" w:pos="51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9684"/>
          </w:cols>
          <w:pgMar w:left="775" w:top="488"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419" w:firstLine="52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11th day of March, 1994.</w:t>
      </w:r>
    </w:p>
    <w:p>
      <w:pPr>
        <w:spacing w:after="0" w:line="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By:</w:t>
        <w:tab/>
        <w:t>Reid N. Langrill</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Vice President, Finance,</w:t>
      </w:r>
    </w:p>
    <w:p>
      <w:pPr>
        <w:ind w:left="4120"/>
        <w:spacing w:after="0"/>
        <w:rPr>
          <w:sz w:val="20"/>
          <w:szCs w:val="20"/>
          <w:color w:val="auto"/>
        </w:rPr>
      </w:pPr>
      <w:r>
        <w:rPr>
          <w:rFonts w:ascii="Courier New" w:cs="Courier New" w:eastAsia="Courier New" w:hAnsi="Courier New"/>
          <w:sz w:val="18"/>
          <w:szCs w:val="18"/>
          <w:color w:val="auto"/>
        </w:rPr>
        <w:t>Chief Financial Officer</w:t>
      </w:r>
    </w:p>
    <w:p>
      <w:pPr>
        <w:ind w:left="4120"/>
        <w:spacing w:after="0"/>
        <w:rPr>
          <w:sz w:val="20"/>
          <w:szCs w:val="20"/>
          <w:color w:val="auto"/>
        </w:rPr>
      </w:pPr>
      <w:r>
        <w:rPr>
          <w:rFonts w:ascii="Courier New" w:cs="Courier New" w:eastAsia="Courier New" w:hAnsi="Courier New"/>
          <w:sz w:val="18"/>
          <w:szCs w:val="18"/>
          <w:color w:val="auto"/>
        </w:rPr>
        <w:t>and Treasurer</w:t>
      </w:r>
    </w:p>
    <w:p>
      <w:pPr>
        <w:spacing w:after="0" w:line="372" w:lineRule="exact"/>
        <w:rPr>
          <w:sz w:val="20"/>
          <w:szCs w:val="20"/>
          <w:color w:val="auto"/>
        </w:rPr>
      </w:pPr>
    </w:p>
    <w:p>
      <w:pPr>
        <w:jc w:val="both"/>
        <w:ind w:right="283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Signature</w:t>
            </w:r>
          </w:p>
        </w:tc>
        <w:tc>
          <w:tcPr>
            <w:tcW w:w="3540" w:type="dxa"/>
            <w:vAlign w:val="bottom"/>
          </w:tcPr>
          <w:p>
            <w:pPr>
              <w:ind w:left="1260"/>
              <w:spacing w:after="0"/>
              <w:rPr>
                <w:sz w:val="20"/>
                <w:szCs w:val="20"/>
                <w:color w:val="auto"/>
              </w:rPr>
            </w:pPr>
            <w:r>
              <w:rPr>
                <w:rFonts w:ascii="Courier New" w:cs="Courier New" w:eastAsia="Courier New" w:hAnsi="Courier New"/>
                <w:sz w:val="18"/>
                <w:szCs w:val="18"/>
                <w:color w:val="auto"/>
              </w:rPr>
              <w:t>Title</w:t>
            </w:r>
          </w:p>
        </w:tc>
        <w:tc>
          <w:tcPr>
            <w:tcW w:w="2040" w:type="dxa"/>
            <w:vAlign w:val="bottom"/>
          </w:tcPr>
          <w:p>
            <w:pPr>
              <w:ind w:left="780"/>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6"/>
              </w:rPr>
              <w:t>---------</w:t>
            </w:r>
          </w:p>
        </w:tc>
        <w:tc>
          <w:tcPr>
            <w:tcW w:w="3540" w:type="dxa"/>
            <w:vAlign w:val="bottom"/>
          </w:tcPr>
          <w:p>
            <w:pPr>
              <w:ind w:left="1260"/>
              <w:spacing w:after="0"/>
              <w:rPr>
                <w:sz w:val="20"/>
                <w:szCs w:val="20"/>
                <w:color w:val="auto"/>
              </w:rPr>
            </w:pPr>
            <w:r>
              <w:rPr>
                <w:rFonts w:ascii="Courier New" w:cs="Courier New" w:eastAsia="Courier New" w:hAnsi="Courier New"/>
                <w:sz w:val="18"/>
                <w:szCs w:val="18"/>
                <w:color w:val="auto"/>
              </w:rPr>
              <w:t>-----</w:t>
            </w:r>
          </w:p>
        </w:tc>
        <w:tc>
          <w:tcPr>
            <w:tcW w:w="2040" w:type="dxa"/>
            <w:vAlign w:val="bottom"/>
          </w:tcPr>
          <w:p>
            <w:pPr>
              <w:ind w:left="7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Joseph L. Parkinson</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Chairman of the Board and</w:t>
            </w:r>
          </w:p>
        </w:tc>
        <w:tc>
          <w:tcPr>
            <w:tcW w:w="2040" w:type="dxa"/>
            <w:vAlign w:val="bottom"/>
            <w:vMerge w:val="restart"/>
          </w:tcPr>
          <w:p>
            <w:pPr>
              <w:ind w:left="560"/>
              <w:spacing w:after="0"/>
              <w:rPr>
                <w:sz w:val="20"/>
                <w:szCs w:val="20"/>
                <w:color w:val="auto"/>
              </w:rPr>
            </w:pPr>
            <w:r>
              <w:rPr>
                <w:rFonts w:ascii="Courier New" w:cs="Courier New" w:eastAsia="Courier New" w:hAnsi="Courier New"/>
                <w:sz w:val="18"/>
                <w:szCs w:val="18"/>
                <w:color w:val="auto"/>
                <w:w w:val="96"/>
              </w:rPr>
              <w:t>March 11, 1994</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 -------------------</w:t>
            </w:r>
          </w:p>
        </w:tc>
        <w:tc>
          <w:tcPr>
            <w:tcW w:w="3540" w:type="dxa"/>
            <w:vAlign w:val="bottom"/>
          </w:tcPr>
          <w:p>
            <w:pPr>
              <w:ind w:left="640"/>
              <w:spacing w:after="0"/>
              <w:rPr>
                <w:sz w:val="20"/>
                <w:szCs w:val="20"/>
                <w:color w:val="auto"/>
              </w:rPr>
            </w:pPr>
            <w:r>
              <w:rPr>
                <w:rFonts w:ascii="Courier New" w:cs="Courier New" w:eastAsia="Courier New" w:hAnsi="Courier New"/>
                <w:sz w:val="18"/>
                <w:szCs w:val="18"/>
                <w:color w:val="auto"/>
              </w:rPr>
              <w:t>Chief Executive Officer</w:t>
            </w: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James W. Garrett</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President, Chief Operating</w:t>
            </w:r>
          </w:p>
        </w:tc>
        <w:tc>
          <w:tcPr>
            <w:tcW w:w="2040" w:type="dxa"/>
            <w:vAlign w:val="bottom"/>
            <w:vMerge w:val="restart"/>
          </w:tcPr>
          <w:p>
            <w:pPr>
              <w:ind w:left="560"/>
              <w:spacing w:after="0"/>
              <w:rPr>
                <w:sz w:val="20"/>
                <w:szCs w:val="20"/>
                <w:color w:val="auto"/>
              </w:rPr>
            </w:pPr>
            <w:r>
              <w:rPr>
                <w:rFonts w:ascii="Courier New" w:cs="Courier New" w:eastAsia="Courier New" w:hAnsi="Courier New"/>
                <w:sz w:val="18"/>
                <w:szCs w:val="18"/>
                <w:color w:val="auto"/>
                <w:w w:val="96"/>
              </w:rPr>
              <w:t>March 11, 1994</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 -------------------</w:t>
            </w:r>
          </w:p>
        </w:tc>
        <w:tc>
          <w:tcPr>
            <w:tcW w:w="3540" w:type="dxa"/>
            <w:vAlign w:val="bottom"/>
          </w:tcPr>
          <w:p>
            <w:pPr>
              <w:ind w:left="640"/>
              <w:spacing w:after="0"/>
              <w:rPr>
                <w:sz w:val="20"/>
                <w:szCs w:val="20"/>
                <w:color w:val="auto"/>
              </w:rPr>
            </w:pPr>
            <w:r>
              <w:rPr>
                <w:rFonts w:ascii="Courier New" w:cs="Courier New" w:eastAsia="Courier New" w:hAnsi="Courier New"/>
                <w:sz w:val="18"/>
                <w:szCs w:val="18"/>
                <w:color w:val="auto"/>
              </w:rPr>
              <w:t>Officer and Director</w:t>
            </w: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Reid N. Langrill</w:t>
            </w:r>
          </w:p>
        </w:tc>
        <w:tc>
          <w:tcPr>
            <w:tcW w:w="55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Vice President, Finance, Treasurer</w:t>
            </w:r>
          </w:p>
        </w:tc>
        <w:tc>
          <w:tcPr>
            <w:tcW w:w="0" w:type="dxa"/>
            <w:vAlign w:val="bottom"/>
          </w:tcPr>
          <w:p>
            <w:pPr>
              <w:spacing w:after="0"/>
              <w:rPr>
                <w:sz w:val="1"/>
                <w:szCs w:val="1"/>
                <w:color w:val="auto"/>
              </w:rPr>
            </w:pPr>
          </w:p>
        </w:tc>
      </w:tr>
      <w:tr>
        <w:trPr>
          <w:trHeight w:val="203"/>
        </w:trPr>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5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Director (Principal Financial</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and Accounting Officer)</w:t>
            </w: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March 11, 1994</w:t>
            </w: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Thomas T. Nicholson</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March 11, 1994</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 -------------------</w:t>
            </w:r>
          </w:p>
        </w:tc>
        <w:tc>
          <w:tcPr>
            <w:tcW w:w="3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Allen T. Noble</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March 11, 1994</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 -------------------</w:t>
            </w:r>
          </w:p>
        </w:tc>
        <w:tc>
          <w:tcPr>
            <w:tcW w:w="3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Don J. Simplot</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March 11, 1994</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 -------------------</w:t>
            </w:r>
          </w:p>
        </w:tc>
        <w:tc>
          <w:tcPr>
            <w:tcW w:w="3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John R. Simplot</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March 11, 1994</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 -------------------</w:t>
            </w:r>
          </w:p>
        </w:tc>
        <w:tc>
          <w:tcPr>
            <w:tcW w:w="3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Gordon C. Smith</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March 11, 1994</w:t>
            </w:r>
          </w:p>
        </w:tc>
        <w:tc>
          <w:tcPr>
            <w:tcW w:w="0" w:type="dxa"/>
            <w:vAlign w:val="bottom"/>
          </w:tcPr>
          <w:p>
            <w:pPr>
              <w:spacing w:after="0"/>
              <w:rPr>
                <w:sz w:val="1"/>
                <w:szCs w:val="1"/>
                <w:color w:val="auto"/>
              </w:rPr>
            </w:pPr>
          </w:p>
        </w:tc>
      </w:tr>
      <w:tr>
        <w:trPr>
          <w:trHeight w:val="296"/>
        </w:trPr>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 -------------------</w:t>
            </w:r>
          </w:p>
        </w:tc>
        <w:tc>
          <w:tcPr>
            <w:tcW w:w="3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5" w:name="page6"/>
    <w:bookmarkEnd w:id="5"/>
    <w:p>
      <w:pPr>
        <w:ind w:left="27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1985 Incentive Stock Option Plan,</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amended.</w:t>
      </w:r>
    </w:p>
    <w:p>
      <w:pPr>
        <w:spacing w:after="0" w:line="3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 as to legality of</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securities being registered.</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Public</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Accountants.</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Exhibit 5.1).</w:t>
      </w:r>
    </w:p>
    <w:p>
      <w:pPr>
        <w:sectPr>
          <w:pgSz w:w="11900" w:h="16838" w:orient="portrait"/>
          <w:cols w:equalWidth="0" w:num="1">
            <w:col w:w="10219"/>
          </w:cols>
          <w:pgMar w:left="240" w:top="488" w:right="1440" w:bottom="1440" w:gutter="0" w:footer="0" w:header="0"/>
        </w:sectPr>
      </w:pPr>
    </w:p>
    <w:bookmarkStart w:id="6" w:name="page7"/>
    <w:bookmarkEnd w:id="6"/>
    <w:p>
      <w:pPr>
        <w:ind w:left="5800"/>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1985 INCENTIVE STOCK OPTION PLAN</w:t>
      </w:r>
    </w:p>
    <w:p>
      <w:pPr>
        <w:spacing w:after="0" w:line="201" w:lineRule="exact"/>
        <w:rPr>
          <w:sz w:val="20"/>
          <w:szCs w:val="20"/>
          <w:color w:val="auto"/>
        </w:rPr>
      </w:pPr>
    </w:p>
    <w:p>
      <w:pPr>
        <w:ind w:right="3259" w:firstLine="535"/>
        <w:spacing w:after="0" w:line="306"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Purposes of the Plan. The purposes of this Stock Option Plan are to attract and retain the best available personnel for positions of substantial responsibility, to provide additional incentive to the Employees and Consultants of the Company and to promote the success of the Company's business.</w:t>
      </w:r>
    </w:p>
    <w:p>
      <w:pPr>
        <w:spacing w:after="0" w:line="60" w:lineRule="exact"/>
        <w:rPr>
          <w:sz w:val="20"/>
          <w:szCs w:val="20"/>
          <w:color w:val="auto"/>
        </w:rPr>
      </w:pPr>
    </w:p>
    <w:p>
      <w:pPr>
        <w:ind w:right="3259" w:firstLine="1053"/>
        <w:spacing w:after="0" w:line="265" w:lineRule="auto"/>
        <w:rPr>
          <w:sz w:val="20"/>
          <w:szCs w:val="20"/>
          <w:color w:val="auto"/>
        </w:rPr>
      </w:pPr>
      <w:r>
        <w:rPr>
          <w:rFonts w:ascii="Courier New" w:cs="Courier New" w:eastAsia="Courier New" w:hAnsi="Courier New"/>
          <w:sz w:val="18"/>
          <w:szCs w:val="18"/>
          <w:color w:val="auto"/>
        </w:rPr>
        <w:t>Options granted hereunder may be either "incentive stock options", as defined in Section 422A of the Internal Revenue Code of 1986, as amended, or "non-statutory stock options", at the discretion of the Board and as reflected in the terms of the written option agreement.</w:t>
      </w:r>
    </w:p>
    <w:p>
      <w:pPr>
        <w:spacing w:after="0" w:line="90" w:lineRule="exact"/>
        <w:rPr>
          <w:sz w:val="20"/>
          <w:szCs w:val="20"/>
          <w:color w:val="auto"/>
        </w:rPr>
      </w:pPr>
    </w:p>
    <w:p>
      <w:pPr>
        <w:ind w:right="3359" w:firstLine="535"/>
        <w:spacing w:after="0" w:line="34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18" w:lineRule="exact"/>
        <w:rPr>
          <w:rFonts w:ascii="Courier New" w:cs="Courier New" w:eastAsia="Courier New" w:hAnsi="Courier New"/>
          <w:sz w:val="18"/>
          <w:szCs w:val="18"/>
          <w:color w:val="auto"/>
        </w:rPr>
      </w:pPr>
    </w:p>
    <w:p>
      <w:pPr>
        <w:ind w:right="3359" w:firstLine="1061"/>
        <w:spacing w:after="0" w:line="292"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Committee, if one has been appointed, or the Board of Directors of the Company, if no Committee is appointed.</w:t>
      </w:r>
    </w:p>
    <w:p>
      <w:pPr>
        <w:spacing w:after="0" w:line="66" w:lineRule="exact"/>
        <w:rPr>
          <w:rFonts w:ascii="Courier New" w:cs="Courier New" w:eastAsia="Courier New" w:hAnsi="Courier New"/>
          <w:sz w:val="18"/>
          <w:szCs w:val="18"/>
          <w:color w:val="auto"/>
        </w:rPr>
      </w:pPr>
    </w:p>
    <w:p>
      <w:pPr>
        <w:ind w:right="3679" w:firstLine="1061"/>
        <w:spacing w:after="0" w:line="34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18"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of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169" w:lineRule="exact"/>
        <w:rPr>
          <w:rFonts w:ascii="Courier New" w:cs="Courier New" w:eastAsia="Courier New" w:hAnsi="Courier New"/>
          <w:sz w:val="18"/>
          <w:szCs w:val="18"/>
          <w:color w:val="auto"/>
        </w:rPr>
      </w:pPr>
    </w:p>
    <w:p>
      <w:pPr>
        <w:ind w:right="3679" w:firstLine="1061"/>
        <w:spacing w:after="0" w:line="34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Micron Technology, Inc., a Delaware corporation.</w:t>
      </w:r>
    </w:p>
    <w:p>
      <w:pPr>
        <w:spacing w:after="0" w:line="18" w:lineRule="exact"/>
        <w:rPr>
          <w:rFonts w:ascii="Courier New" w:cs="Courier New" w:eastAsia="Courier New" w:hAnsi="Courier New"/>
          <w:sz w:val="18"/>
          <w:szCs w:val="18"/>
          <w:color w:val="auto"/>
        </w:rPr>
      </w:pPr>
    </w:p>
    <w:p>
      <w:pPr>
        <w:ind w:right="3259" w:firstLine="1061"/>
        <w:spacing w:after="0" w:line="292"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the Committee appointed by the Board of Directors in accordance with paragraph (a) of Section 4 of the Plan, if one is appointed.</w:t>
      </w:r>
    </w:p>
    <w:p>
      <w:pPr>
        <w:spacing w:after="0" w:line="66" w:lineRule="exact"/>
        <w:rPr>
          <w:rFonts w:ascii="Courier New" w:cs="Courier New" w:eastAsia="Courier New" w:hAnsi="Courier New"/>
          <w:sz w:val="18"/>
          <w:szCs w:val="18"/>
          <w:color w:val="auto"/>
        </w:rPr>
      </w:pPr>
    </w:p>
    <w:p>
      <w:pPr>
        <w:ind w:right="3159" w:firstLine="1061"/>
        <w:spacing w:after="0" w:line="287" w:lineRule="auto"/>
        <w:tabs>
          <w:tab w:leader="none" w:pos="15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shall mean any person who is engaged by the Company or any subsidiary to render consulting services and is compensated for such consulting services, and any director of the Company whether compensated for such services or not; provided that if and in the event the Company registers any class of any equity security pursuant to Section 12 of the Securities Exchange Act of 1934, as amended (the "Exchange Act"), the term Consultant shall thereafter not include directors who are not compensated for their services or are paid only a director's fee by the Company.</w:t>
      </w:r>
    </w:p>
    <w:p>
      <w:pPr>
        <w:spacing w:after="0" w:line="75" w:lineRule="exact"/>
        <w:rPr>
          <w:rFonts w:ascii="Courier New" w:cs="Courier New" w:eastAsia="Courier New" w:hAnsi="Courier New"/>
          <w:sz w:val="16"/>
          <w:szCs w:val="16"/>
          <w:color w:val="auto"/>
        </w:rPr>
      </w:pPr>
    </w:p>
    <w:p>
      <w:pPr>
        <w:ind w:right="3259" w:firstLine="1061"/>
        <w:spacing w:after="0" w:line="253"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or Consultant" shall mean the absence of any interruption or termination of service as an Employee or Consultant. Continuous Status as an Employee or Consultant shall not be considered interrupted in the case of sick leave, military leave, or any other leave of absence approved by the Board; provided that such leave is for a period of not more than 90 days or reemployment upon the expiration of such leave is guaranteed by contract or statute.</w:t>
      </w:r>
    </w:p>
    <w:p>
      <w:pPr>
        <w:spacing w:after="0" w:line="200" w:lineRule="exact"/>
        <w:rPr>
          <w:rFonts w:ascii="Courier New" w:cs="Courier New" w:eastAsia="Courier New" w:hAnsi="Courier New"/>
          <w:sz w:val="18"/>
          <w:szCs w:val="18"/>
          <w:color w:val="auto"/>
        </w:rPr>
      </w:pPr>
    </w:p>
    <w:p>
      <w:pPr>
        <w:spacing w:after="0" w:line="281" w:lineRule="exact"/>
        <w:rPr>
          <w:rFonts w:ascii="Courier New" w:cs="Courier New" w:eastAsia="Courier New" w:hAnsi="Courier New"/>
          <w:sz w:val="18"/>
          <w:szCs w:val="18"/>
          <w:color w:val="auto"/>
        </w:rPr>
      </w:pPr>
    </w:p>
    <w:p>
      <w:pPr>
        <w:ind w:right="3259" w:firstLine="1061"/>
        <w:spacing w:after="0" w:line="265"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shall mean any person, including officers and directors, employed by the Company or any Parent or Subsidiary of the Company. The payment of a director's fee by the Company shall not be sufficient to constitute "employment" by the Company.</w:t>
      </w:r>
    </w:p>
    <w:p>
      <w:pPr>
        <w:spacing w:after="0" w:line="89" w:lineRule="exact"/>
        <w:rPr>
          <w:rFonts w:ascii="Courier New" w:cs="Courier New" w:eastAsia="Courier New" w:hAnsi="Courier New"/>
          <w:sz w:val="18"/>
          <w:szCs w:val="18"/>
          <w:color w:val="auto"/>
        </w:rPr>
      </w:pPr>
    </w:p>
    <w:p>
      <w:pPr>
        <w:ind w:right="3159" w:firstLine="1061"/>
        <w:spacing w:after="0" w:line="292"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shall mean an Option intended to qualify as an incentive stock option within the meaning of Section 422A of the Code.</w:t>
      </w:r>
    </w:p>
    <w:p>
      <w:pPr>
        <w:spacing w:after="0" w:line="6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 stock option granted pursuant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the Plan.</w:t>
      </w:r>
    </w:p>
    <w:p>
      <w:pPr>
        <w:spacing w:after="0" w:line="169" w:lineRule="exact"/>
        <w:rPr>
          <w:rFonts w:ascii="Courier New" w:cs="Courier New" w:eastAsia="Courier New" w:hAnsi="Courier New"/>
          <w:sz w:val="16"/>
          <w:szCs w:val="16"/>
          <w:color w:val="auto"/>
        </w:rPr>
      </w:pPr>
    </w:p>
    <w:p>
      <w:pPr>
        <w:ind w:right="3899" w:firstLine="1061"/>
        <w:spacing w:after="0" w:line="34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shall mean the Common Stock subject to an Option.</w:t>
      </w:r>
    </w:p>
    <w:p>
      <w:pPr>
        <w:spacing w:after="0" w:line="18" w:lineRule="exact"/>
        <w:rPr>
          <w:rFonts w:ascii="Courier New" w:cs="Courier New" w:eastAsia="Courier New" w:hAnsi="Courier New"/>
          <w:sz w:val="18"/>
          <w:szCs w:val="18"/>
          <w:color w:val="auto"/>
        </w:rPr>
      </w:pPr>
    </w:p>
    <w:p>
      <w:pPr>
        <w:ind w:right="3159" w:firstLine="1061"/>
        <w:spacing w:after="0" w:line="34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shall mean an Employee or Consultant who receives an Option.</w:t>
      </w:r>
    </w:p>
    <w:p>
      <w:pPr>
        <w:spacing w:after="0" w:line="18" w:lineRule="exact"/>
        <w:rPr>
          <w:rFonts w:ascii="Courier New" w:cs="Courier New" w:eastAsia="Courier New" w:hAnsi="Courier New"/>
          <w:sz w:val="18"/>
          <w:szCs w:val="18"/>
          <w:color w:val="auto"/>
        </w:rPr>
      </w:pPr>
    </w:p>
    <w:p>
      <w:pPr>
        <w:ind w:right="3159" w:firstLine="1061"/>
        <w:spacing w:after="0" w:line="292"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mean a "parent corporation", whether now or hereafter existing, as defined in Section 425(e) of the Code.</w:t>
      </w:r>
    </w:p>
    <w:p>
      <w:pPr>
        <w:sectPr>
          <w:pgSz w:w="11900" w:h="16838" w:orient="portrait"/>
          <w:cols w:equalWidth="0" w:num="1">
            <w:col w:w="10219"/>
          </w:cols>
          <w:pgMar w:left="240" w:top="110" w:right="1440" w:bottom="0" w:gutter="0" w:footer="0" w:header="0"/>
        </w:sectPr>
      </w:pPr>
    </w:p>
    <w:bookmarkStart w:id="7" w:name="page8"/>
    <w:bookmarkEnd w:id="7"/>
    <w:p>
      <w:pPr>
        <w:ind w:left="1060"/>
        <w:spacing w:after="0"/>
        <w:tabs>
          <w:tab w:leader="none" w:pos="1560" w:val="left"/>
        </w:tabs>
        <w:rPr>
          <w:sz w:val="20"/>
          <w:szCs w:val="20"/>
          <w:color w:val="auto"/>
        </w:rPr>
      </w:pPr>
      <w:r>
        <w:rPr>
          <w:rFonts w:ascii="Courier New" w:cs="Courier New" w:eastAsia="Courier New" w:hAnsi="Courier New"/>
          <w:sz w:val="18"/>
          <w:szCs w:val="18"/>
          <w:color w:val="auto"/>
        </w:rPr>
        <w:t>(n)</w:t>
        <w:tab/>
        <w:t>"Plan" shall mean this 1985 Incentive Stock Option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w:t>
      </w:r>
    </w:p>
    <w:p>
      <w:pPr>
        <w:spacing w:after="0" w:line="169" w:lineRule="exact"/>
        <w:rPr>
          <w:sz w:val="20"/>
          <w:szCs w:val="20"/>
          <w:color w:val="auto"/>
        </w:rPr>
      </w:pPr>
    </w:p>
    <w:p>
      <w:pPr>
        <w:ind w:right="3259" w:firstLine="1061"/>
        <w:spacing w:after="0" w:line="347"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shall mean a share of the Common Stock, as adjusted in accordance with Section 11 of the Plan.</w:t>
      </w:r>
    </w:p>
    <w:p>
      <w:pPr>
        <w:spacing w:after="0" w:line="18" w:lineRule="exact"/>
        <w:rPr>
          <w:rFonts w:ascii="Courier New" w:cs="Courier New" w:eastAsia="Courier New" w:hAnsi="Courier New"/>
          <w:sz w:val="18"/>
          <w:szCs w:val="18"/>
          <w:color w:val="auto"/>
        </w:rPr>
      </w:pPr>
    </w:p>
    <w:p>
      <w:pPr>
        <w:jc w:val="both"/>
        <w:ind w:right="3259" w:firstLine="1061"/>
        <w:spacing w:after="0" w:line="292"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 "subsidiary corporation", whether now or hereafter existing, as defined in Section 425(f) of the Code.</w:t>
      </w:r>
    </w:p>
    <w:p>
      <w:pPr>
        <w:spacing w:after="0" w:line="66" w:lineRule="exact"/>
        <w:rPr>
          <w:rFonts w:ascii="Courier New" w:cs="Courier New" w:eastAsia="Courier New" w:hAnsi="Courier New"/>
          <w:sz w:val="18"/>
          <w:szCs w:val="18"/>
          <w:color w:val="auto"/>
        </w:rPr>
      </w:pPr>
    </w:p>
    <w:p>
      <w:pPr>
        <w:ind w:right="3259" w:firstLine="535"/>
        <w:spacing w:after="0" w:line="265"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the provisions of Section 11 of the Plan, the maximum aggregate number of shares which may be optioned and sold under the Plan is 7,000,000 shares of Common Stock, which may be authorized, but unissued, Common Stock.</w:t>
      </w:r>
    </w:p>
    <w:p>
      <w:pPr>
        <w:spacing w:after="0" w:line="90" w:lineRule="exact"/>
        <w:rPr>
          <w:sz w:val="20"/>
          <w:szCs w:val="20"/>
          <w:color w:val="auto"/>
        </w:rPr>
      </w:pPr>
    </w:p>
    <w:p>
      <w:pPr>
        <w:ind w:right="3159" w:firstLine="1053"/>
        <w:spacing w:after="0" w:line="318" w:lineRule="auto"/>
        <w:rPr>
          <w:sz w:val="20"/>
          <w:szCs w:val="20"/>
          <w:color w:val="auto"/>
        </w:rPr>
      </w:pPr>
      <w:r>
        <w:rPr>
          <w:rFonts w:ascii="Courier New" w:cs="Courier New" w:eastAsia="Courier New" w:hAnsi="Courier New"/>
          <w:sz w:val="16"/>
          <w:szCs w:val="16"/>
          <w:color w:val="auto"/>
        </w:rPr>
        <w:t>If an Option should expire or become unexercisable for any reason without having been exercised in full, the unpurchased Shares which were subject thereto shall, unless the Plan shall have been terminated, become available for future grant under the Plan.</w:t>
      </w:r>
    </w:p>
    <w:p>
      <w:pPr>
        <w:spacing w:after="0" w:line="52"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rFonts w:ascii="Courier New" w:cs="Courier New" w:eastAsia="Courier New" w:hAnsi="Courier New"/>
          <w:sz w:val="18"/>
          <w:szCs w:val="18"/>
          <w:color w:val="auto"/>
        </w:rPr>
      </w:pPr>
    </w:p>
    <w:p>
      <w:pPr>
        <w:ind w:right="3159" w:firstLine="1061"/>
        <w:spacing w:after="0" w:line="289" w:lineRule="auto"/>
        <w:tabs>
          <w:tab w:leader="none" w:pos="147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The Plan shall be administered by the Board of Directors of the Company. Any grants of options to officers or directors shall only be made by the Board of Directors; provided, however, that if a majority of the Board of Directors is eligible to participate in this Plan or any other stock option or other stock plan of the Company or any of its affiliates, or has been eligible at any time within the preceding year, any grants of options to directors must be made by, or only in accordance with</w:t>
      </w:r>
    </w:p>
    <w:p>
      <w:pPr>
        <w:sectPr>
          <w:pgSz w:w="11900" w:h="16838" w:orient="portrait"/>
          <w:cols w:equalWidth="0" w:num="1">
            <w:col w:w="10219"/>
          </w:cols>
          <w:pgMar w:left="240" w:top="312" w:right="1440" w:bottom="1440" w:gutter="0" w:footer="0" w:header="0"/>
        </w:sectPr>
      </w:pPr>
    </w:p>
    <w:bookmarkStart w:id="8" w:name="page9"/>
    <w:bookmarkEnd w:id="8"/>
    <w:p>
      <w:pPr>
        <w:ind w:right="3159"/>
        <w:spacing w:after="0" w:line="245" w:lineRule="auto"/>
        <w:rPr>
          <w:sz w:val="20"/>
          <w:szCs w:val="20"/>
          <w:color w:val="auto"/>
        </w:rPr>
      </w:pPr>
      <w:r>
        <w:rPr>
          <w:rFonts w:ascii="Courier New" w:cs="Courier New" w:eastAsia="Courier New" w:hAnsi="Courier New"/>
          <w:sz w:val="18"/>
          <w:szCs w:val="18"/>
          <w:color w:val="auto"/>
        </w:rPr>
        <w:t>the recommendation of, a Committee consisting of three or more persons, who may but need not be directors or employees of the Company, appointed by the Board of Directors and having full authority to act in the matter, none of whom is eligible to participate in this Plan or any other stock option or other stock plan of the Company or any of its affiliates, or has been eligible at any time within the preceding year. Any Committee administering the Plan with respect to grants to officers who are not also directors shall conform to the requirements of the preceding sentence. Once appointed, the Committee shall continue to serve until otherwise directed by the Board of Directors. Subject to the foregoing, from time to time the Board of Directors may increase the size of the Committee and appoint additional members thereof, remove members (with or without cause) and appoint new members in substitution therefor, fill vacancies however caused, or remove all members of the Committee and thereafter directly administer the Plan.</w:t>
      </w:r>
    </w:p>
    <w:p>
      <w:pPr>
        <w:spacing w:after="0" w:line="108" w:lineRule="exact"/>
        <w:rPr>
          <w:sz w:val="20"/>
          <w:szCs w:val="20"/>
          <w:color w:val="auto"/>
        </w:rPr>
      </w:pPr>
    </w:p>
    <w:p>
      <w:pPr>
        <w:ind w:right="3359" w:firstLine="1061"/>
        <w:spacing w:after="0" w:line="289" w:lineRule="auto"/>
        <w:tabs>
          <w:tab w:leader="none" w:pos="158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Board. Subject to the provisions of the Plan, the Board shall have the authority, in its discretion:</w:t>
      </w:r>
    </w:p>
    <w:p>
      <w:pPr>
        <w:ind w:right="3159" w:firstLine="8"/>
        <w:spacing w:after="0" w:line="274"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grant Incentive Stock Options, in accordance with Section 422A of the Code, or "non-statutory stock options"; (ii) to determine, upon review of relevant information and in accordance with Section 8(b) of the Plan, the fair market value of the Common Stock; (iii) to determine the exercise price per share of Options to be granted, which exercise price shall be determined in accordance with Section 8(a) of the Plan; (iv) to determine the Employees or Consultants to whom, and the time or times at which, Options shall be granted and the number of shares to be represented by each Option; (v) to interpret the Plan; (vi) to prescribe, amend and rescind rules and regulations relating to the Plan; (vii) to determine the terms and provisions of each Option granted (which need not be identical) and, with the consent of the holder thereof, modify or amend each Option; (viii) to accelerate or defer (with the consent of the Optionee) the exercise date of any Option consistent with the provisions of Section 5 of the Plan; (ix) to authorize any person to execute on behalf of the Company any instrument required to effectuate the grant of an Option previously granted by the Board; and (x) to make all other determinations deemed necessary or advisable for the administration of the Plan.</w:t>
      </w:r>
    </w:p>
    <w:p>
      <w:pPr>
        <w:spacing w:after="0" w:line="290" w:lineRule="exact"/>
        <w:rPr>
          <w:rFonts w:ascii="Courier New" w:cs="Courier New" w:eastAsia="Courier New" w:hAnsi="Courier New"/>
          <w:sz w:val="16"/>
          <w:szCs w:val="16"/>
          <w:color w:val="auto"/>
        </w:rPr>
      </w:pPr>
    </w:p>
    <w:p>
      <w:pPr>
        <w:ind w:right="3359" w:firstLine="1061"/>
        <w:spacing w:after="0" w:line="274" w:lineRule="auto"/>
        <w:tabs>
          <w:tab w:leader="none" w:pos="158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Board's Decision. All decisions, determinations and interpretations of the Board or its Committee shall be final and binding on all Optionees and any other holders of any Options granted under the Plan.</w:t>
      </w:r>
    </w:p>
    <w:p>
      <w:pPr>
        <w:spacing w:after="0" w:line="8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1" w:lineRule="exact"/>
        <w:rPr>
          <w:rFonts w:ascii="Courier New" w:cs="Courier New" w:eastAsia="Courier New" w:hAnsi="Courier New"/>
          <w:sz w:val="18"/>
          <w:szCs w:val="18"/>
          <w:color w:val="auto"/>
        </w:rPr>
      </w:pPr>
    </w:p>
    <w:p>
      <w:pPr>
        <w:ind w:right="3359" w:firstLine="1061"/>
        <w:spacing w:after="0" w:line="265" w:lineRule="auto"/>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may be granted only to Employees and Consultants. Incentive Stock Options may be granted only to Employees. An Employee or Consultant who has been granted an Option may, if he is otherwise eligible, be granted an additional Option or Options.</w:t>
      </w:r>
    </w:p>
    <w:p>
      <w:pPr>
        <w:sectPr>
          <w:pgSz w:w="11900" w:h="16838" w:orient="portrait"/>
          <w:cols w:equalWidth="0" w:num="1">
            <w:col w:w="10219"/>
          </w:cols>
          <w:pgMar w:left="240" w:top="488" w:right="1440" w:bottom="1440" w:gutter="0" w:footer="0" w:header="0"/>
        </w:sectPr>
      </w:pPr>
    </w:p>
    <w:bookmarkStart w:id="9" w:name="page10"/>
    <w:bookmarkEnd w:id="9"/>
    <w:p>
      <w:pPr>
        <w:ind w:left="-535" w:right="3159" w:firstLine="1061"/>
        <w:spacing w:after="0" w:line="253" w:lineRule="auto"/>
        <w:tabs>
          <w:tab w:leader="none" w:pos="104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Incentive Stock Option may be granted to an Employee which, when aggregated with all other incentive stock options granted to such Employee by the Company or any Parent or Subsidiary, would result in Shares having an aggregate fair market value (determined for each Share as of the date of grant of the Option covering such Share) in excess of $100,000 becoming first available for purchase upon exercise of one or more incentive stock options during any calendar year.</w:t>
      </w:r>
    </w:p>
    <w:p>
      <w:pPr>
        <w:spacing w:after="0" w:line="103" w:lineRule="exact"/>
        <w:rPr>
          <w:rFonts w:ascii="Courier New" w:cs="Courier New" w:eastAsia="Courier New" w:hAnsi="Courier New"/>
          <w:sz w:val="18"/>
          <w:szCs w:val="18"/>
          <w:color w:val="auto"/>
        </w:rPr>
      </w:pPr>
    </w:p>
    <w:p>
      <w:pPr>
        <w:ind w:left="-535" w:right="3479" w:firstLine="1061"/>
        <w:spacing w:after="0" w:line="253" w:lineRule="auto"/>
        <w:tabs>
          <w:tab w:leader="none" w:pos="104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5(b) of the Plan shall apply only to an Incentive Stock Option evidenced by an "Incentive Stock Option Agreement" which sets forth the intention of the Company and the Optionee that such Option shall qualify as an incentive stock option. Section 5(b) of the Plan shall not apply to any Option evidenced by a "Nonstatutory Stock Option Agreement" which sets forth the intention of the Company and the Optionee that such Option shall be a nonstatutory stock option.</w:t>
      </w:r>
    </w:p>
    <w:p>
      <w:pPr>
        <w:spacing w:after="0" w:line="103" w:lineRule="exact"/>
        <w:rPr>
          <w:rFonts w:ascii="Courier New" w:cs="Courier New" w:eastAsia="Courier New" w:hAnsi="Courier New"/>
          <w:sz w:val="18"/>
          <w:szCs w:val="18"/>
          <w:color w:val="auto"/>
        </w:rPr>
      </w:pPr>
    </w:p>
    <w:p>
      <w:pPr>
        <w:ind w:left="-535" w:right="3359" w:firstLine="1061"/>
        <w:spacing w:after="0" w:line="265" w:lineRule="auto"/>
        <w:tabs>
          <w:tab w:leader="none" w:pos="104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not confer upon any Optionee any right with respect to continuation of employment or consulting relationship with the Company, nor shall it interfere in any way with his right or the Company's right to terminate his employment or consulting relationship at any time.</w:t>
      </w:r>
    </w:p>
    <w:p>
      <w:pPr>
        <w:spacing w:after="0" w:line="89" w:lineRule="exact"/>
        <w:rPr>
          <w:rFonts w:ascii="Courier New" w:cs="Courier New" w:eastAsia="Courier New" w:hAnsi="Courier New"/>
          <w:sz w:val="18"/>
          <w:szCs w:val="18"/>
          <w:color w:val="auto"/>
        </w:rPr>
      </w:pPr>
    </w:p>
    <w:p>
      <w:pPr>
        <w:ind w:left="-535" w:right="3159" w:firstLine="535"/>
        <w:spacing w:after="0" w:line="306" w:lineRule="auto"/>
        <w:tabs>
          <w:tab w:leader="none" w:pos="41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 The Plan shall become effective upon the earlier to occur of its adoption by the Board of Directors or its approval by the shareholders of the Company as described in Section 17 of the Plan. It shall continue in effect for a term of ten (10) years unless sooner terminated under Section 13 of the Plan.</w:t>
      </w:r>
    </w:p>
    <w:p>
      <w:pPr>
        <w:spacing w:after="0" w:line="60" w:lineRule="exact"/>
        <w:rPr>
          <w:rFonts w:ascii="Courier New" w:cs="Courier New" w:eastAsia="Courier New" w:hAnsi="Courier New"/>
          <w:sz w:val="16"/>
          <w:szCs w:val="16"/>
          <w:color w:val="auto"/>
        </w:rPr>
      </w:pPr>
    </w:p>
    <w:p>
      <w:pPr>
        <w:ind w:left="-535" w:right="3159" w:firstLine="535"/>
        <w:spacing w:after="0" w:line="278" w:lineRule="auto"/>
        <w:tabs>
          <w:tab w:leader="none" w:pos="41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Incentive Stock Option shall be ten (10) years from the date of grant thereof or such shorter term as may be provided in the Stock Option Agreement. The term of each Option that is not an Incentive Stock Option shall be ten (10) years and one (1) day from the date of grant thereof or such shorter term as may be provided in the Stock Option Agreement. However, in the case of an Option granted to an Optionee who, at the time the Option is granted, owns stock representing more than ten percent (10%) of the voting power of all classes of stock of the Company or any Parent or Subsidiary, (a) if the Option is an Incentive Stock Option, the term of the Option shall be five (5) years from the date of grant thereof or such shorter time as may be provided in the Stock Option Agreement, or (b) if the Option is not an Incentive Stock Option, the term of the Option shall be five (5) years and one (1) day from the date of grant thereof or such shorter term as may be provided in the Stock Option Agreement.</w:t>
      </w:r>
    </w:p>
    <w:p>
      <w:pPr>
        <w:sectPr>
          <w:pgSz w:w="11900" w:h="16838" w:orient="portrait"/>
          <w:cols w:equalWidth="0" w:num="1">
            <w:col w:w="9684"/>
          </w:cols>
          <w:pgMar w:left="775" w:top="488" w:right="1440" w:bottom="1440" w:gutter="0" w:footer="0" w:header="0"/>
        </w:sectPr>
      </w:pPr>
    </w:p>
    <w:bookmarkStart w:id="10" w:name="page11"/>
    <w:bookmarkEnd w:id="10"/>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and Consideration.</w:t>
      </w:r>
    </w:p>
    <w:p>
      <w:pPr>
        <w:spacing w:after="0" w:line="201" w:lineRule="exact"/>
        <w:rPr>
          <w:rFonts w:ascii="Courier New" w:cs="Courier New" w:eastAsia="Courier New" w:hAnsi="Courier New"/>
          <w:sz w:val="18"/>
          <w:szCs w:val="18"/>
          <w:color w:val="auto"/>
        </w:rPr>
      </w:pPr>
    </w:p>
    <w:p>
      <w:pPr>
        <w:ind w:right="3259" w:firstLine="1061"/>
        <w:spacing w:after="0" w:line="344"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exercise price for the Shares to be issued pursuant to exercise of an Option shall be such price as is determined by the Board, but shall be subject to the following:</w:t>
      </w:r>
    </w:p>
    <w:p>
      <w:pPr>
        <w:spacing w:after="0" w:line="30" w:lineRule="exact"/>
        <w:rPr>
          <w:rFonts w:ascii="Courier New" w:cs="Courier New" w:eastAsia="Courier New" w:hAnsi="Courier New"/>
          <w:sz w:val="16"/>
          <w:szCs w:val="16"/>
          <w:color w:val="auto"/>
        </w:rPr>
      </w:pPr>
    </w:p>
    <w:p>
      <w:pPr>
        <w:ind w:left="2000" w:hanging="412"/>
        <w:spacing w:after="0"/>
        <w:tabs>
          <w:tab w:leader="none" w:pos="200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1" w:lineRule="exact"/>
        <w:rPr>
          <w:rFonts w:ascii="Courier New" w:cs="Courier New" w:eastAsia="Courier New" w:hAnsi="Courier New"/>
          <w:sz w:val="18"/>
          <w:szCs w:val="18"/>
          <w:color w:val="auto"/>
        </w:rPr>
      </w:pPr>
    </w:p>
    <w:p>
      <w:pPr>
        <w:ind w:left="2540" w:hanging="425"/>
        <w:spacing w:after="0"/>
        <w:tabs>
          <w:tab w:leader="none" w:pos="2540" w:val="left"/>
        </w:tabs>
        <w:numPr>
          <w:ilvl w:val="3"/>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 Employee who, at the time of</w:t>
      </w:r>
    </w:p>
    <w:p>
      <w:pPr>
        <w:spacing w:after="0" w:line="53" w:lineRule="exact"/>
        <w:rPr>
          <w:rFonts w:ascii="Courier New" w:cs="Courier New" w:eastAsia="Courier New" w:hAnsi="Courier New"/>
          <w:sz w:val="16"/>
          <w:szCs w:val="16"/>
          <w:color w:val="auto"/>
        </w:rPr>
      </w:pPr>
    </w:p>
    <w:p>
      <w:pPr>
        <w:ind w:right="325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grant of such Incentive Stock Option,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95" w:lineRule="exact"/>
        <w:rPr>
          <w:rFonts w:ascii="Courier New" w:cs="Courier New" w:eastAsia="Courier New" w:hAnsi="Courier New"/>
          <w:sz w:val="16"/>
          <w:szCs w:val="16"/>
          <w:color w:val="auto"/>
        </w:rPr>
      </w:pPr>
    </w:p>
    <w:p>
      <w:pPr>
        <w:ind w:left="2640" w:hanging="525"/>
        <w:spacing w:after="0"/>
        <w:tabs>
          <w:tab w:leader="none" w:pos="264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the per Share</w:t>
      </w:r>
    </w:p>
    <w:p>
      <w:pPr>
        <w:spacing w:after="0" w:line="30" w:lineRule="exact"/>
        <w:rPr>
          <w:rFonts w:ascii="Courier New" w:cs="Courier New" w:eastAsia="Courier New" w:hAnsi="Courier New"/>
          <w:sz w:val="18"/>
          <w:szCs w:val="18"/>
          <w:color w:val="auto"/>
        </w:rPr>
      </w:pPr>
    </w:p>
    <w:p>
      <w:pPr>
        <w:ind w:right="32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shall be no less than 100% of the fair market value per Share on the date of grant.</w:t>
      </w:r>
    </w:p>
    <w:p>
      <w:pPr>
        <w:spacing w:after="0" w:line="50" w:lineRule="exact"/>
        <w:rPr>
          <w:rFonts w:ascii="Courier New" w:cs="Courier New" w:eastAsia="Courier New" w:hAnsi="Courier New"/>
          <w:sz w:val="18"/>
          <w:szCs w:val="18"/>
          <w:color w:val="auto"/>
        </w:rPr>
      </w:pPr>
    </w:p>
    <w:p>
      <w:pPr>
        <w:ind w:right="3259" w:firstLine="1588"/>
        <w:spacing w:after="0" w:line="292" w:lineRule="auto"/>
        <w:tabs>
          <w:tab w:leader="none" w:pos="2212"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nonstatutory stock option, the per Share exercise price shall be no less than 85% of the fair market value per Share on the date of grant.</w:t>
      </w:r>
    </w:p>
    <w:p>
      <w:pPr>
        <w:spacing w:after="0" w:line="66" w:lineRule="exact"/>
        <w:rPr>
          <w:rFonts w:ascii="Courier New" w:cs="Courier New" w:eastAsia="Courier New" w:hAnsi="Courier New"/>
          <w:sz w:val="18"/>
          <w:szCs w:val="18"/>
          <w:color w:val="auto"/>
        </w:rPr>
      </w:pPr>
    </w:p>
    <w:p>
      <w:pPr>
        <w:ind w:right="3159" w:firstLine="1061"/>
        <w:spacing w:after="0" w:line="253"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shall be the average Closing Sales Price of the Company's Common Stock as reported on the NASDAQ National Market System for the five (5) business days preceding the date of grant or, in the event the Common Stock is listed on a stock exchange, the fair market value per share shall be the average closing price on such exchange for the five (5) business days preceding the date of grant of the Option, as reported in the Wall Street Journal.</w:t>
      </w:r>
    </w:p>
    <w:p>
      <w:pPr>
        <w:spacing w:after="0" w:line="103" w:lineRule="exact"/>
        <w:rPr>
          <w:rFonts w:ascii="Courier New" w:cs="Courier New" w:eastAsia="Courier New" w:hAnsi="Courier New"/>
          <w:sz w:val="18"/>
          <w:szCs w:val="18"/>
          <w:color w:val="auto"/>
        </w:rPr>
      </w:pPr>
    </w:p>
    <w:p>
      <w:pPr>
        <w:ind w:right="3159" w:firstLine="1061"/>
        <w:spacing w:after="0" w:line="282"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paid for the Shares to be issued upon exercise of an Option, including the method of payment, shall be determined by the Board and may consist entirely of cash, check, promissory note, other Shares of Common Stock having a fair market value on the date of surrender equal to the aggregate exercise price of the Shares as to which said option shall be exercised, or any combination of such methods of payment, or such other consideration and method of payment for the issuance of Shares to the extent permitted under Delaware Corporation Law. In making its determination as to the type of consideration to accept, the Board shall consider if acceptance of such consideration may be reasonably expected to benefit the Company.</w:t>
      </w:r>
    </w:p>
    <w:p>
      <w:pPr>
        <w:spacing w:after="0" w:line="29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1" w:lineRule="exact"/>
        <w:rPr>
          <w:rFonts w:ascii="Courier New" w:cs="Courier New" w:eastAsia="Courier New" w:hAnsi="Courier New"/>
          <w:sz w:val="18"/>
          <w:szCs w:val="18"/>
          <w:color w:val="auto"/>
        </w:rPr>
      </w:pPr>
    </w:p>
    <w:p>
      <w:pPr>
        <w:ind w:right="3159" w:firstLine="1061"/>
        <w:spacing w:after="0" w:line="293"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 hereunder shall be exercisable at such times and under such conditions as determined by the Board, including performance criteria with respect to the Company and/or the Optionee, and as shall be permissible under the terms of the Plan; provided, however, that an Incentive Stock Option granted prior to January 1, 1987 shall not be exercisable while there is outstanding</w:t>
      </w:r>
    </w:p>
    <w:p>
      <w:pPr>
        <w:sectPr>
          <w:pgSz w:w="11900" w:h="16838" w:orient="portrait"/>
          <w:cols w:equalWidth="0" w:num="1">
            <w:col w:w="10219"/>
          </w:cols>
          <w:pgMar w:left="240" w:top="488" w:right="1440" w:bottom="1440" w:gutter="0" w:footer="0" w:header="0"/>
        </w:sectPr>
      </w:pPr>
    </w:p>
    <w:bookmarkStart w:id="11" w:name="page12"/>
    <w:bookmarkEnd w:id="11"/>
    <w:p>
      <w:pPr>
        <w:ind w:right="3259"/>
        <w:spacing w:after="0" w:line="256" w:lineRule="auto"/>
        <w:rPr>
          <w:sz w:val="20"/>
          <w:szCs w:val="20"/>
          <w:color w:val="auto"/>
        </w:rPr>
      </w:pPr>
      <w:r>
        <w:rPr>
          <w:rFonts w:ascii="Courier New" w:cs="Courier New" w:eastAsia="Courier New" w:hAnsi="Courier New"/>
          <w:sz w:val="18"/>
          <w:szCs w:val="18"/>
          <w:color w:val="auto"/>
        </w:rPr>
        <w:t>any incentive stock option which was granted, before the granting of such Incentive Stock Option, to the same Optionee to purchase stock of the Company, any Parent or Subsidiary, or any predecessor corporation of such corporations. For purposes of this provision, an incentive stock option shall be treated as outstanding until such option is exercised in full or expires by reason of lapse of time.</w:t>
      </w:r>
    </w:p>
    <w:p>
      <w:pPr>
        <w:spacing w:after="0" w:line="9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An Option may not be exercised for a fraction of a Share.</w:t>
      </w:r>
    </w:p>
    <w:p>
      <w:pPr>
        <w:spacing w:after="0" w:line="224" w:lineRule="exact"/>
        <w:rPr>
          <w:sz w:val="20"/>
          <w:szCs w:val="20"/>
          <w:color w:val="auto"/>
        </w:rPr>
      </w:pPr>
    </w:p>
    <w:p>
      <w:pPr>
        <w:ind w:right="3159" w:firstLine="1053"/>
        <w:spacing w:after="0" w:line="278" w:lineRule="auto"/>
        <w:rPr>
          <w:sz w:val="20"/>
          <w:szCs w:val="20"/>
          <w:color w:val="auto"/>
        </w:rPr>
      </w:pPr>
      <w:r>
        <w:rPr>
          <w:rFonts w:ascii="Courier New" w:cs="Courier New" w:eastAsia="Courier New" w:hAnsi="Courier New"/>
          <w:sz w:val="16"/>
          <w:szCs w:val="16"/>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as authorized by the Board, consist of any consideration and method of payment allowable under Section 8(c) of the Plan.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Stock, notwithstanding the exercise of the Option. No adjustment will be made for a dividend or other right for which the record date is prior to the date the stock certificate is issued, except as provided in Section 11 of the Plan.</w:t>
      </w:r>
    </w:p>
    <w:p>
      <w:pPr>
        <w:spacing w:after="0" w:line="295" w:lineRule="exact"/>
        <w:rPr>
          <w:sz w:val="20"/>
          <w:szCs w:val="20"/>
          <w:color w:val="auto"/>
        </w:rPr>
      </w:pPr>
    </w:p>
    <w:p>
      <w:pPr>
        <w:ind w:right="3159" w:firstLine="1053"/>
        <w:spacing w:after="0" w:line="318" w:lineRule="auto"/>
        <w:rPr>
          <w:sz w:val="20"/>
          <w:szCs w:val="20"/>
          <w:color w:val="auto"/>
        </w:rPr>
      </w:pPr>
      <w:r>
        <w:rPr>
          <w:rFonts w:ascii="Courier New" w:cs="Courier New" w:eastAsia="Courier New" w:hAnsi="Courier New"/>
          <w:sz w:val="16"/>
          <w:szCs w:val="16"/>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52" w:lineRule="exact"/>
        <w:rPr>
          <w:sz w:val="20"/>
          <w:szCs w:val="20"/>
          <w:color w:val="auto"/>
        </w:rPr>
      </w:pPr>
    </w:p>
    <w:p>
      <w:pPr>
        <w:ind w:right="3259" w:firstLine="1061"/>
        <w:spacing w:after="0" w:line="282" w:lineRule="auto"/>
        <w:tabs>
          <w:tab w:leader="none" w:pos="15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Status as an Employee or Consultant. If an Employee or Consultant ceases to serve as an Employee or Consultant (as the case may be), he may, but only within thirty</w:t>
      </w:r>
    </w:p>
    <w:p>
      <w:pPr>
        <w:ind w:right="3159" w:firstLine="8"/>
        <w:spacing w:after="0" w:line="24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(or such other period of time not exceeding three (3) months as is determined by the Board at the time of grant of the Option) after the date he ceases to be an Employee or Consultant (as the case may be) of the Company, exercise his Option to the extent that he was entitled to exercise it at the date of such termination. To the extent that he was not entitled to exercise the Option at the date of such termination, or if he does not exercise such Option (which he was entitled to exercise) within the time specified herein, the Option shall terminate.</w:t>
      </w:r>
    </w:p>
    <w:p>
      <w:pPr>
        <w:spacing w:after="0" w:line="105" w:lineRule="exact"/>
        <w:rPr>
          <w:rFonts w:ascii="Courier New" w:cs="Courier New" w:eastAsia="Courier New" w:hAnsi="Courier New"/>
          <w:sz w:val="18"/>
          <w:szCs w:val="18"/>
          <w:color w:val="auto"/>
        </w:rPr>
      </w:pPr>
    </w:p>
    <w:p>
      <w:pPr>
        <w:ind w:right="3259" w:firstLine="1061"/>
        <w:spacing w:after="0" w:line="287" w:lineRule="auto"/>
        <w:tabs>
          <w:tab w:leader="none" w:pos="15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Optionee. Notwithstanding the provisions of Section 9(b) above, in the event an Employee or Consultant is unable to continue his employment or consulting relationship (as the case may be) with the Company as a result of his total and permanent disability (as defined in Section 22(e)(3) of the Internal Revenue Code), he may, but only within six (6) months (or such other period of time not less than six (6) months nor more than twelve (12) months as is determined by the Board at the time of grant of the Option) from the date of termination,</w:t>
      </w:r>
    </w:p>
    <w:p>
      <w:pPr>
        <w:sectPr>
          <w:pgSz w:w="11900" w:h="16838" w:orient="portrait"/>
          <w:cols w:equalWidth="0" w:num="1">
            <w:col w:w="10219"/>
          </w:cols>
          <w:pgMar w:left="240" w:top="488" w:right="1440" w:bottom="1440" w:gutter="0" w:footer="0" w:header="0"/>
        </w:sectPr>
      </w:pPr>
    </w:p>
    <w:bookmarkStart w:id="12" w:name="page13"/>
    <w:bookmarkEnd w:id="12"/>
    <w:p>
      <w:pPr>
        <w:ind w:right="3159"/>
        <w:spacing w:after="0" w:line="260" w:lineRule="auto"/>
        <w:rPr>
          <w:sz w:val="20"/>
          <w:szCs w:val="20"/>
          <w:color w:val="auto"/>
        </w:rPr>
      </w:pPr>
      <w:r>
        <w:rPr>
          <w:rFonts w:ascii="Courier New" w:cs="Courier New" w:eastAsia="Courier New" w:hAnsi="Courier New"/>
          <w:sz w:val="18"/>
          <w:szCs w:val="18"/>
          <w:color w:val="auto"/>
        </w:rPr>
        <w:t>exercise his Option to the extent he was entitled to exercise it at the date of such termination (or to such greater extent as the Board may provide). To the extent that he was not entitled to exercise the Option at the date of termination, or if he does not exercise such Option (which he was entitled to exercise) within the time specified herein, the Option shall terminate.</w:t>
      </w:r>
    </w:p>
    <w:p>
      <w:pPr>
        <w:spacing w:after="0" w:line="93" w:lineRule="exact"/>
        <w:rPr>
          <w:sz w:val="20"/>
          <w:szCs w:val="20"/>
          <w:color w:val="auto"/>
        </w:rPr>
      </w:pPr>
    </w:p>
    <w:p>
      <w:pPr>
        <w:ind w:left="1060"/>
        <w:spacing w:after="0"/>
        <w:tabs>
          <w:tab w:leader="none" w:pos="1560" w:val="left"/>
          <w:tab w:leader="none" w:pos="3680" w:val="left"/>
        </w:tabs>
        <w:rPr>
          <w:sz w:val="20"/>
          <w:szCs w:val="20"/>
          <w:color w:val="auto"/>
        </w:rPr>
      </w:pPr>
      <w:r>
        <w:rPr>
          <w:rFonts w:ascii="Courier New" w:cs="Courier New" w:eastAsia="Courier New" w:hAnsi="Courier New"/>
          <w:sz w:val="18"/>
          <w:szCs w:val="18"/>
          <w:color w:val="auto"/>
        </w:rPr>
        <w:t>(d)</w:t>
        <w:tab/>
        <w:t>Death of Optionee.</w:t>
      </w:r>
      <w:r>
        <w:rPr>
          <w:sz w:val="20"/>
          <w:szCs w:val="20"/>
          <w:color w:val="auto"/>
        </w:rPr>
        <w:tab/>
      </w:r>
      <w:r>
        <w:rPr>
          <w:rFonts w:ascii="Courier New" w:cs="Courier New" w:eastAsia="Courier New" w:hAnsi="Courier New"/>
          <w:sz w:val="16"/>
          <w:szCs w:val="16"/>
          <w:color w:val="auto"/>
        </w:rPr>
        <w:t>In the event of the death of 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Optionee:</w:t>
      </w:r>
    </w:p>
    <w:p>
      <w:pPr>
        <w:spacing w:after="0" w:line="169" w:lineRule="exact"/>
        <w:rPr>
          <w:sz w:val="20"/>
          <w:szCs w:val="20"/>
          <w:color w:val="auto"/>
        </w:rPr>
      </w:pPr>
    </w:p>
    <w:p>
      <w:pPr>
        <w:ind w:left="1060" w:right="3259" w:firstLine="528"/>
        <w:spacing w:after="0" w:line="249" w:lineRule="auto"/>
        <w:tabs>
          <w:tab w:leader="none" w:pos="211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the Option who is at the time of his death an Employee or Consultant of the Company and who shall have been in Continuous Status as an Employee or Consultant since the date of grant of the Option, the Option may be exercised, at any time within twelve (12) months following the date of death, by the Optionee's estate or by a person who acquired the right to exercise the Option by bequest or inheritance, but only to the extent of the right to exercise that had accrued as of the date of death (or to such greater extent as the Board may provide); or</w:t>
      </w:r>
    </w:p>
    <w:p>
      <w:pPr>
        <w:spacing w:after="0" w:line="103" w:lineRule="exact"/>
        <w:rPr>
          <w:rFonts w:ascii="Courier New" w:cs="Courier New" w:eastAsia="Courier New" w:hAnsi="Courier New"/>
          <w:sz w:val="18"/>
          <w:szCs w:val="18"/>
          <w:color w:val="auto"/>
        </w:rPr>
      </w:pPr>
    </w:p>
    <w:p>
      <w:pPr>
        <w:ind w:left="1060" w:right="3159" w:firstLine="528"/>
        <w:spacing w:after="0" w:line="249" w:lineRule="auto"/>
        <w:tabs>
          <w:tab w:leader="none" w:pos="211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(30) days (or such other period of time not exceeding three (3) months as is determined by the Board at the time of grant of the Option) after the termination of Continuous Status as an Employee or Consultant, the Option may be exercised, at any time within six (6) months following the date of death, by the Optionee's estate or by a person who acquired the right to exercise the Option by bequest or inheritance, but only to the extent of the right to exercise that had accrued at the date of termination (or to such greater extent as the Board may provide).</w:t>
      </w:r>
    </w:p>
    <w:p>
      <w:pPr>
        <w:spacing w:after="0" w:line="103" w:lineRule="exact"/>
        <w:rPr>
          <w:rFonts w:ascii="Courier New" w:cs="Courier New" w:eastAsia="Courier New" w:hAnsi="Courier New"/>
          <w:sz w:val="18"/>
          <w:szCs w:val="18"/>
          <w:color w:val="auto"/>
        </w:rPr>
      </w:pPr>
    </w:p>
    <w:p>
      <w:pPr>
        <w:ind w:right="3159" w:firstLine="1061"/>
        <w:spacing w:after="0" w:line="25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In the event that an Option shall provide that the right to acquire shares thereunder shall increase over time pursuant to a vesting schedule, such vesting schedule shall give the Optionee the right to acquire at least 20% of the Shares subject to the Option per year, with at least 20% of such Shares to be vested no later than one year from the date of grant of the Option.</w:t>
      </w:r>
    </w:p>
    <w:p>
      <w:pPr>
        <w:spacing w:after="0" w:line="98" w:lineRule="exact"/>
        <w:rPr>
          <w:rFonts w:ascii="Courier New" w:cs="Courier New" w:eastAsia="Courier New" w:hAnsi="Courier New"/>
          <w:sz w:val="18"/>
          <w:szCs w:val="18"/>
          <w:color w:val="auto"/>
        </w:rPr>
      </w:pPr>
    </w:p>
    <w:p>
      <w:pPr>
        <w:ind w:right="3159" w:firstLine="1061"/>
        <w:spacing w:after="0" w:line="252"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Any participating Employee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pursuant to the terms of this Plan, for a period of 12 months from the date of receipt by that employee/participant of the RAM hardship distribution.</w:t>
      </w:r>
    </w:p>
    <w:p>
      <w:pPr>
        <w:sectPr>
          <w:pgSz w:w="11900" w:h="16838" w:orient="portrait"/>
          <w:cols w:equalWidth="0" w:num="1">
            <w:col w:w="10219"/>
          </w:cols>
          <w:pgMar w:left="240" w:top="488" w:right="1440" w:bottom="1440" w:gutter="0" w:footer="0" w:header="0"/>
        </w:sectPr>
      </w:pPr>
    </w:p>
    <w:bookmarkStart w:id="13" w:name="page14"/>
    <w:bookmarkEnd w:id="13"/>
    <w:p>
      <w:pPr>
        <w:jc w:val="both"/>
        <w:ind w:right="3259" w:firstLine="535"/>
        <w:spacing w:after="0" w:line="265"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The Option may not be sold, pledged, assigned, hypothecated, transferred, or disposed of in any manner other than by will or by the laws of descent or distribution and may be exercised, during the lifetime of the Optionee, only by the Optionee.</w:t>
      </w:r>
    </w:p>
    <w:p>
      <w:pPr>
        <w:spacing w:after="0" w:line="89" w:lineRule="exact"/>
        <w:rPr>
          <w:rFonts w:ascii="Courier New" w:cs="Courier New" w:eastAsia="Courier New" w:hAnsi="Courier New"/>
          <w:sz w:val="18"/>
          <w:szCs w:val="18"/>
          <w:color w:val="auto"/>
        </w:rPr>
      </w:pPr>
    </w:p>
    <w:p>
      <w:pPr>
        <w:ind w:right="3159" w:firstLine="535"/>
        <w:spacing w:after="0" w:line="275" w:lineRule="auto"/>
        <w:tabs>
          <w:tab w:leader="none" w:pos="105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or Merger. Subject to any required action by the shareholders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00" w:lineRule="exact"/>
        <w:rPr>
          <w:sz w:val="20"/>
          <w:szCs w:val="20"/>
          <w:color w:val="auto"/>
        </w:rPr>
      </w:pPr>
    </w:p>
    <w:p>
      <w:pPr>
        <w:spacing w:after="0" w:line="301" w:lineRule="exact"/>
        <w:rPr>
          <w:sz w:val="20"/>
          <w:szCs w:val="20"/>
          <w:color w:val="auto"/>
        </w:rPr>
      </w:pPr>
    </w:p>
    <w:p>
      <w:pPr>
        <w:ind w:right="3159" w:firstLine="1053"/>
        <w:spacing w:after="0" w:line="243" w:lineRule="auto"/>
        <w:rPr>
          <w:sz w:val="20"/>
          <w:szCs w:val="20"/>
          <w:color w:val="auto"/>
        </w:rPr>
      </w:pPr>
      <w:r>
        <w:rPr>
          <w:rFonts w:ascii="Courier New" w:cs="Courier New" w:eastAsia="Courier New" w:hAnsi="Courier New"/>
          <w:sz w:val="18"/>
          <w:szCs w:val="18"/>
          <w:color w:val="auto"/>
        </w:rPr>
        <w:t>In the event of the proposed dissolution or liquidation of the Company, the Option will terminate immediately prior to the consummation of such proposed action, unless otherwise provided by the Board. The Board may, in the exercise of its sole discretion in such instances, declare that any Option shall terminate as of a date fixed by the Board and give each Optionee the right to exercise his Option as to all or any part of the Optioned Stock, including Shares as to which the Option would not otherwise be exercisable. In the event of a proposed sale of all or substantially all of the assets of the Company, or the merger of the Company with or into another corporation, the Option shall be assumed or an equivalent option shall be substituted by such successor corporation or a Parent or Subsidiary of such successor corporation, unless the Board determines, in the exercise of its sole discretion and in lieu of such assumption or substitution, that the Optionee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Optionee that the Option shall be fully exercisable for a period of thirty (30) days from the date of such notice, and the Option will terminate upon the expiration of such period.</w:t>
      </w:r>
    </w:p>
    <w:p>
      <w:pPr>
        <w:sectPr>
          <w:pgSz w:w="11900" w:h="16838" w:orient="portrait"/>
          <w:cols w:equalWidth="0" w:num="1">
            <w:col w:w="10219"/>
          </w:cols>
          <w:pgMar w:left="240" w:top="488" w:right="1440" w:bottom="1440" w:gutter="0" w:footer="0" w:header="0"/>
        </w:sectPr>
      </w:pPr>
    </w:p>
    <w:bookmarkStart w:id="14" w:name="page15"/>
    <w:bookmarkEnd w:id="14"/>
    <w:p>
      <w:pPr>
        <w:ind w:right="3159" w:firstLine="535"/>
        <w:spacing w:after="0" w:line="306"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Granting Options. The date of grant of an Option shall, for all purposes, be the date on which the Board makes the determination granting such Option. Notice of the determination shall be given to each Employee or Consultant to whom an Option is so granted within a reasonable time after the date of such grant.</w:t>
      </w:r>
    </w:p>
    <w:p>
      <w:pPr>
        <w:spacing w:after="0" w:line="6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1" w:lineRule="exact"/>
        <w:rPr>
          <w:rFonts w:ascii="Courier New" w:cs="Courier New" w:eastAsia="Courier New" w:hAnsi="Courier New"/>
          <w:sz w:val="18"/>
          <w:szCs w:val="18"/>
          <w:color w:val="auto"/>
        </w:rPr>
      </w:pPr>
    </w:p>
    <w:p>
      <w:pPr>
        <w:ind w:right="3159" w:firstLine="1061"/>
        <w:spacing w:after="0" w:line="265"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amend or terminate the Plan from time to time in such respects as the Board may deem advisable; provided that, the following revisions or amendments shall require approval of the shareholders of the Company in the manner described in Section 17 of the Plan:</w:t>
      </w:r>
    </w:p>
    <w:p>
      <w:pPr>
        <w:spacing w:after="0" w:line="89" w:lineRule="exact"/>
        <w:rPr>
          <w:rFonts w:ascii="Courier New" w:cs="Courier New" w:eastAsia="Courier New" w:hAnsi="Courier New"/>
          <w:sz w:val="18"/>
          <w:szCs w:val="18"/>
          <w:color w:val="auto"/>
        </w:rPr>
      </w:pPr>
    </w:p>
    <w:p>
      <w:pPr>
        <w:ind w:left="1060" w:right="3159" w:firstLine="528"/>
        <w:spacing w:after="0" w:line="292" w:lineRule="auto"/>
        <w:tabs>
          <w:tab w:leader="none" w:pos="2113"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number of Shares subject to the Plan, other than in connection with an adjustment under Section 11 of the Plan;</w:t>
      </w:r>
    </w:p>
    <w:p>
      <w:pPr>
        <w:spacing w:after="0" w:line="66" w:lineRule="exact"/>
        <w:rPr>
          <w:rFonts w:ascii="Courier New" w:cs="Courier New" w:eastAsia="Courier New" w:hAnsi="Courier New"/>
          <w:sz w:val="18"/>
          <w:szCs w:val="18"/>
          <w:color w:val="auto"/>
        </w:rPr>
      </w:pPr>
    </w:p>
    <w:p>
      <w:pPr>
        <w:ind w:left="1060" w:right="3259" w:firstLine="528"/>
        <w:spacing w:after="0" w:line="292" w:lineRule="auto"/>
        <w:tabs>
          <w:tab w:leader="none" w:pos="2113"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designation of the class of employees or consultants eligible to be granted Options; or</w:t>
      </w:r>
    </w:p>
    <w:p>
      <w:pPr>
        <w:spacing w:after="0" w:line="66" w:lineRule="exact"/>
        <w:rPr>
          <w:rFonts w:ascii="Courier New" w:cs="Courier New" w:eastAsia="Courier New" w:hAnsi="Courier New"/>
          <w:sz w:val="18"/>
          <w:szCs w:val="18"/>
          <w:color w:val="auto"/>
        </w:rPr>
      </w:pPr>
    </w:p>
    <w:p>
      <w:pPr>
        <w:ind w:left="1060" w:right="3159" w:firstLine="528"/>
        <w:spacing w:after="0" w:line="347" w:lineRule="auto"/>
        <w:tabs>
          <w:tab w:leader="none" w:pos="2219"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increase in the benefits accruing to participants under the Plan.</w:t>
      </w:r>
    </w:p>
    <w:p>
      <w:pPr>
        <w:spacing w:after="0" w:line="18" w:lineRule="exact"/>
        <w:rPr>
          <w:rFonts w:ascii="Courier New" w:cs="Courier New" w:eastAsia="Courier New" w:hAnsi="Courier New"/>
          <w:sz w:val="18"/>
          <w:szCs w:val="18"/>
          <w:color w:val="auto"/>
        </w:rPr>
      </w:pPr>
    </w:p>
    <w:p>
      <w:pPr>
        <w:ind w:right="3259" w:firstLine="1061"/>
        <w:spacing w:after="0" w:line="274"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In the event any amendment requiring shareholder approval under Section 13(a) of the Plan is made, such shareholder approval shall be solicited as described in Section 17(a) of the Plan.</w:t>
      </w:r>
    </w:p>
    <w:p>
      <w:pPr>
        <w:spacing w:after="0" w:line="81" w:lineRule="exact"/>
        <w:rPr>
          <w:rFonts w:ascii="Courier New" w:cs="Courier New" w:eastAsia="Courier New" w:hAnsi="Courier New"/>
          <w:sz w:val="18"/>
          <w:szCs w:val="18"/>
          <w:color w:val="auto"/>
        </w:rPr>
      </w:pPr>
    </w:p>
    <w:p>
      <w:pPr>
        <w:ind w:right="3159" w:firstLine="1061"/>
        <w:spacing w:after="0" w:line="256"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Any such amendment or termination of the Plan shall not affect Options already granted and such Options shall remain in full force and effect as if this Plan had not been amended or terminated, unless mutually agreed otherwise between the Optionee and the Board, which agreement must be in writing and signed by the Optionee and the Company.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14.</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Conditions Upon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Issuance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Shares.</w:t>
            </w:r>
          </w:p>
        </w:tc>
        <w:tc>
          <w:tcPr>
            <w:tcW w:w="20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Shares shall not</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 issued pursuant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the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exercise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 Option</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unless the</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such Option and</w:t>
            </w: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the issuance and delivery of</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c>
          <w:tcPr>
            <w:tcW w:w="840" w:type="dxa"/>
            <w:vAlign w:val="bottom"/>
            <w:vMerge w:val="restart"/>
          </w:tcPr>
          <w:p>
            <w:pPr>
              <w:spacing w:after="0"/>
              <w:rPr>
                <w:sz w:val="20"/>
                <w:szCs w:val="20"/>
                <w:color w:val="auto"/>
              </w:rPr>
            </w:pPr>
            <w:r>
              <w:rPr>
                <w:rFonts w:ascii="Courier New" w:cs="Courier New" w:eastAsia="Courier New" w:hAnsi="Courier New"/>
                <w:sz w:val="18"/>
                <w:szCs w:val="18"/>
                <w:color w:val="auto"/>
              </w:rPr>
              <w:t>of law,</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pursuant</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thereto shall comply with</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all relevant</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provisions</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w w:val="99"/>
              </w:rPr>
              <w:t>including, without</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limitation, the</w:t>
            </w:r>
          </w:p>
        </w:tc>
        <w:tc>
          <w:tcPr>
            <w:tcW w:w="19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Securities Act of</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1933,</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as</w:t>
            </w:r>
          </w:p>
        </w:tc>
        <w:tc>
          <w:tcPr>
            <w:tcW w:w="0" w:type="dxa"/>
            <w:vAlign w:val="bottom"/>
          </w:tcPr>
          <w:p>
            <w:pPr>
              <w:spacing w:after="0"/>
              <w:rPr>
                <w:sz w:val="1"/>
                <w:szCs w:val="1"/>
                <w:color w:val="auto"/>
              </w:rPr>
            </w:pPr>
          </w:p>
        </w:tc>
      </w:tr>
    </w:tbl>
    <w:p>
      <w:pPr>
        <w:ind w:right="3259"/>
        <w:spacing w:after="0" w:line="256" w:lineRule="auto"/>
        <w:rPr>
          <w:sz w:val="20"/>
          <w:szCs w:val="20"/>
          <w:color w:val="auto"/>
        </w:rPr>
      </w:pPr>
      <w:r>
        <w:rPr>
          <w:rFonts w:ascii="Courier New" w:cs="Courier New" w:eastAsia="Courier New" w:hAnsi="Courier New"/>
          <w:sz w:val="18"/>
          <w:szCs w:val="18"/>
          <w:color w:val="auto"/>
        </w:rPr>
        <w:t>amended, the Exchange Act, the rules and regulations promulgated thereunder, state securities laws, and the requirements of any stock exchange upon which the Shares may then be listed, and shall be further subject to the approval of counsel for the Company with respect to such compliance.</w:t>
      </w:r>
    </w:p>
    <w:p>
      <w:pPr>
        <w:spacing w:after="0" w:line="96" w:lineRule="exact"/>
        <w:rPr>
          <w:sz w:val="20"/>
          <w:szCs w:val="20"/>
          <w:color w:val="auto"/>
        </w:rPr>
      </w:pPr>
    </w:p>
    <w:p>
      <w:pPr>
        <w:ind w:right="3259" w:firstLine="1053"/>
        <w:spacing w:after="0" w:line="306" w:lineRule="auto"/>
        <w:rPr>
          <w:sz w:val="20"/>
          <w:szCs w:val="20"/>
          <w:color w:val="auto"/>
        </w:rPr>
      </w:pPr>
      <w:r>
        <w:rPr>
          <w:rFonts w:ascii="Courier New" w:cs="Courier New" w:eastAsia="Courier New" w:hAnsi="Courier New"/>
          <w:sz w:val="16"/>
          <w:szCs w:val="16"/>
          <w:color w:val="auto"/>
        </w:rPr>
        <w:t>As a condition to the exercise of an Option, the Company may require the person exercising such Option to render to the Company a written statement containing such representations and warranties as, in the opinion of counsel for the Company, may be required to ensure compliance with any of the aforementioned</w:t>
      </w:r>
    </w:p>
    <w:p>
      <w:pPr>
        <w:sectPr>
          <w:pgSz w:w="11900" w:h="16838" w:orient="portrait"/>
          <w:cols w:equalWidth="0" w:num="1">
            <w:col w:w="10219"/>
          </w:cols>
          <w:pgMar w:left="240" w:top="488" w:right="1440" w:bottom="1440" w:gutter="0" w:footer="0" w:header="0"/>
        </w:sectPr>
      </w:pPr>
    </w:p>
    <w:bookmarkStart w:id="15" w:name="page16"/>
    <w:bookmarkEnd w:id="15"/>
    <w:p>
      <w:pPr>
        <w:ind w:right="3579"/>
        <w:spacing w:after="0" w:line="265" w:lineRule="auto"/>
        <w:rPr>
          <w:sz w:val="20"/>
          <w:szCs w:val="20"/>
          <w:color w:val="auto"/>
        </w:rPr>
      </w:pPr>
      <w:r>
        <w:rPr>
          <w:rFonts w:ascii="Courier New" w:cs="Courier New" w:eastAsia="Courier New" w:hAnsi="Courier New"/>
          <w:sz w:val="18"/>
          <w:szCs w:val="18"/>
          <w:color w:val="auto"/>
        </w:rPr>
        <w:t>relevant provisions of law, including a representation that the Shares are being purchased only for investment and without any present intention to sell or distribute such Shares, if, in the opinion of counsel for the Company, such a representation is required.</w:t>
      </w:r>
    </w:p>
    <w:p>
      <w:pPr>
        <w:spacing w:after="0" w:line="90" w:lineRule="exact"/>
        <w:rPr>
          <w:sz w:val="20"/>
          <w:szCs w:val="20"/>
          <w:color w:val="auto"/>
        </w:rPr>
      </w:pPr>
    </w:p>
    <w:p>
      <w:pPr>
        <w:ind w:right="3159" w:firstLine="535"/>
        <w:spacing w:after="0" w:line="274"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82" w:lineRule="exact"/>
        <w:rPr>
          <w:sz w:val="20"/>
          <w:szCs w:val="20"/>
          <w:color w:val="auto"/>
        </w:rPr>
      </w:pPr>
    </w:p>
    <w:p>
      <w:pPr>
        <w:ind w:right="3159" w:firstLine="1053"/>
        <w:spacing w:after="0" w:line="298" w:lineRule="auto"/>
        <w:rPr>
          <w:sz w:val="20"/>
          <w:szCs w:val="20"/>
          <w:color w:val="auto"/>
        </w:rPr>
      </w:pPr>
      <w:r>
        <w:rPr>
          <w:rFonts w:ascii="Courier New" w:cs="Courier New" w:eastAsia="Courier New" w:hAnsi="Courier New"/>
          <w:sz w:val="16"/>
          <w:szCs w:val="16"/>
          <w:color w:val="auto"/>
        </w:rPr>
        <w:t>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68" w:lineRule="exact"/>
        <w:rPr>
          <w:sz w:val="20"/>
          <w:szCs w:val="20"/>
          <w:color w:val="auto"/>
        </w:rPr>
      </w:pPr>
    </w:p>
    <w:p>
      <w:pPr>
        <w:ind w:right="3159" w:firstLine="535"/>
        <w:spacing w:after="0" w:line="34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Options shall be evidenced by written option agreements in such form as the Board shall approve.</w:t>
      </w:r>
    </w:p>
    <w:p>
      <w:pPr>
        <w:spacing w:after="0" w:line="18" w:lineRule="exact"/>
        <w:rPr>
          <w:rFonts w:ascii="Courier New" w:cs="Courier New" w:eastAsia="Courier New" w:hAnsi="Courier New"/>
          <w:sz w:val="18"/>
          <w:szCs w:val="18"/>
          <w:color w:val="auto"/>
        </w:rPr>
      </w:pPr>
    </w:p>
    <w:p>
      <w:pPr>
        <w:ind w:right="3159" w:firstLine="535"/>
        <w:spacing w:after="0" w:line="256"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w:t>
      </w:r>
    </w:p>
    <w:p>
      <w:pPr>
        <w:spacing w:after="0" w:line="98"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104" w:lineRule="exact"/>
        <w:rPr>
          <w:sz w:val="20"/>
          <w:szCs w:val="20"/>
          <w:color w:val="auto"/>
        </w:rPr>
      </w:pPr>
    </w:p>
    <w:p>
      <w:pPr>
        <w:ind w:right="3159" w:firstLine="535"/>
        <w:spacing w:after="0" w:line="253"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to Optionees. The Company shall provide to each Optionee, during the period for which such Optionee has one or more Options outstanding, copies of all annual reports and other information which are provided to all shareholders of the Company. The Company shall not be required to provide such information if the issuance of Options under the Plan is limited to key employees whose duties in connection with the Company assure their access to equivalent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01/31/94</w:t>
      </w:r>
    </w:p>
    <w:p>
      <w:pPr>
        <w:sectPr>
          <w:pgSz w:w="11900" w:h="16838" w:orient="portrait"/>
          <w:cols w:equalWidth="0" w:num="1">
            <w:col w:w="10219"/>
          </w:cols>
          <w:pgMar w:left="240" w:top="488" w:right="1440" w:bottom="1440" w:gutter="0" w:footer="0" w:header="0"/>
        </w:sectPr>
      </w:pPr>
    </w:p>
    <w:bookmarkStart w:id="16" w:name="page17"/>
    <w:bookmarkEnd w:id="16"/>
    <w:p>
      <w:pPr>
        <w:ind w:left="5800"/>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HIBIT 5.1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March 9,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2805 East Columbia Road</w:t>
      </w:r>
    </w:p>
    <w:p>
      <w:pPr>
        <w:spacing w:after="0"/>
        <w:rPr>
          <w:sz w:val="20"/>
          <w:szCs w:val="20"/>
          <w:color w:val="auto"/>
        </w:rPr>
      </w:pPr>
      <w:r>
        <w:rPr>
          <w:rFonts w:ascii="Courier New" w:cs="Courier New" w:eastAsia="Courier New" w:hAnsi="Courier New"/>
          <w:sz w:val="18"/>
          <w:szCs w:val="18"/>
          <w:color w:val="auto"/>
        </w:rPr>
        <w:t>Boise, Idaho 83706-9698</w:t>
      </w:r>
    </w:p>
    <w:p>
      <w:pPr>
        <w:spacing w:after="0" w:line="16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3039" w:firstLine="527"/>
        <w:spacing w:after="0" w:line="248"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and Exchange Commission on or about March 10, 1994 (the "Registration Statement") in connection with the registration under the Securities Act of 1933, as amended, of 1,000,000 shares of your Common Stock, $0.10 par value per share, under the 1985 Incentive Stock Option Plan. Such share of Common Stock are referred to herein as the "Shares," and such plan is referred to herein as the "Plan." As your counsel in connection with this transaction, we have examined the proceedings taken and are familiar with the proceedings proposed to be taken by you in connection with the issuance and sale of the Shares pursuant to the Plan.</w:t>
      </w:r>
    </w:p>
    <w:p>
      <w:pPr>
        <w:spacing w:after="0" w:line="105" w:lineRule="exact"/>
        <w:rPr>
          <w:sz w:val="20"/>
          <w:szCs w:val="20"/>
          <w:color w:val="auto"/>
        </w:rPr>
      </w:pPr>
    </w:p>
    <w:p>
      <w:pPr>
        <w:ind w:right="3039" w:firstLine="527"/>
        <w:spacing w:after="0" w:line="274" w:lineRule="auto"/>
        <w:rPr>
          <w:sz w:val="20"/>
          <w:szCs w:val="20"/>
          <w:color w:val="auto"/>
        </w:rPr>
      </w:pPr>
      <w:r>
        <w:rPr>
          <w:rFonts w:ascii="Courier New" w:cs="Courier New" w:eastAsia="Courier New" w:hAnsi="Courier New"/>
          <w:sz w:val="18"/>
          <w:szCs w:val="18"/>
          <w:color w:val="auto"/>
        </w:rPr>
        <w:t>It is our opinion that, when issued and sold in the manner described in the Plan and pursuant to the agreements which accompany each grant under the Plan, the Shares will be legally and validly issued, fully-paid and non-assessable.</w:t>
      </w:r>
    </w:p>
    <w:p>
      <w:pPr>
        <w:spacing w:after="0" w:line="82"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further consent to the use of our name wherever appearing in the Registration Statment and any amendments thereto.</w:t>
      </w:r>
    </w:p>
    <w:p>
      <w:pPr>
        <w:spacing w:after="0" w:line="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WILSON, SONSINI, GOODRICH &amp; ROSATI</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Professional Corporation</w:t>
      </w:r>
    </w:p>
    <w:p>
      <w:pPr>
        <w:sectPr>
          <w:pgSz w:w="11900" w:h="16838" w:orient="portrait"/>
          <w:cols w:equalWidth="0" w:num="1">
            <w:col w:w="10219"/>
          </w:cols>
          <w:pgMar w:left="240" w:top="110" w:right="1440" w:bottom="1440" w:gutter="0" w:footer="0" w:header="0"/>
        </w:sectPr>
      </w:pPr>
    </w:p>
    <w:bookmarkStart w:id="17" w:name="page18"/>
    <w:bookmarkEnd w:id="17"/>
    <w:p>
      <w:pPr>
        <w:ind w:left="5900"/>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4"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of our report, which includes an explanatory paragraph regarding uncertainties related to the adequacy of amounts provided for product and process technology, dated September 27, 1993, on our audits of the consolidated financial statements and financial statement schedules of Micron Technology, Inc. and subsidiaries, as of September 2, 1993, and September 3, 1992, and for each of the three years in the period ended September 2, 1993.</w:t>
      </w:r>
    </w:p>
    <w:p>
      <w:pPr>
        <w:spacing w:after="0" w:line="1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Coopers &amp; Lybrand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10, 1994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1)"/>
      <w:numFmt w:val="lowerLetter"/>
      <w:start w:val="3"/>
    </w:lvl>
  </w:abstractNum>
  <w:abstractNum w:abstractNumId="2">
    <w:nsid w:val="109CF92E"/>
    <w:multiLevelType w:val="hybridMultilevel"/>
    <w:lvl w:ilvl="0">
      <w:lvlJc w:val="left"/>
      <w:lvlText w:val="(%1)"/>
      <w:numFmt w:val="lowerLetter"/>
      <w:start w:val="1"/>
    </w:lvl>
    <w:lvl w:ilvl="1">
      <w:lvlJc w:val="left"/>
      <w:lvlText w:val="(%2)"/>
      <w:numFmt w:val="decimal"/>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2"/>
    </w:lvl>
    <w:lvl w:ilvl="1">
      <w:lvlJc w:val="left"/>
      <w:lvlText w:val="(%2)"/>
      <w:numFmt w:val="lowerLetter"/>
      <w:start w:val="1"/>
    </w:lvl>
  </w:abstractNum>
  <w:abstractNum w:abstractNumId="6">
    <w:nsid w:val="41A7C4C9"/>
    <w:multiLevelType w:val="hybridMultilevel"/>
    <w:lvl w:ilvl="0">
      <w:lvlJc w:val="left"/>
      <w:lvlText w:val="%1"/>
      <w:numFmt w:val="decimal"/>
      <w:start w:val="1"/>
    </w:lvl>
    <w:lvl w:ilvl="1">
      <w:lvlJc w:val="left"/>
      <w:lvlText w:val="(%2)"/>
      <w:numFmt w:val="lowerLetter"/>
      <w:start w:val="15"/>
    </w:lvl>
  </w:abstractNum>
  <w:abstractNum w:abstractNumId="7">
    <w:nsid w:val="6B68079A"/>
    <w:multiLevelType w:val="hybridMultilevel"/>
    <w:lvl w:ilvl="0">
      <w:lvlJc w:val="left"/>
      <w:lvlText w:val="%1."/>
      <w:numFmt w:val="decimal"/>
      <w:start w:val="3"/>
    </w:lvl>
    <w:lvl w:ilvl="1">
      <w:lvlJc w:val="left"/>
      <w:lvlText w:val="%2"/>
      <w:numFmt w:val="lowerLetter"/>
      <w:start w:val="1"/>
    </w:lvl>
  </w:abstractNum>
  <w:abstractNum w:abstractNumId="8">
    <w:nsid w:val="4E6AFB66"/>
    <w:multiLevelType w:val="hybridMultilevel"/>
    <w:lvl w:ilvl="0">
      <w:lvlJc w:val="left"/>
      <w:lvlText w:val="%1."/>
      <w:numFmt w:val="decimal"/>
      <w:start w:val="4"/>
    </w:lvl>
    <w:lvl w:ilvl="1">
      <w:lvlJc w:val="left"/>
      <w:lvlText w:val="(%2)"/>
      <w:numFmt w:val="lowerLetter"/>
      <w:start w:val="1"/>
    </w:lvl>
  </w:abstractNum>
  <w:abstractNum w:abstractNumId="9">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0">
    <w:nsid w:val="519B500D"/>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3"/>
    </w:lvl>
  </w:abstractNum>
  <w:abstractNum w:abstractNumId="11">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
    <w:nsid w:val="3F2DBA31"/>
    <w:multiLevelType w:val="hybridMultilevel"/>
    <w:lvl w:ilvl="0">
      <w:lvlJc w:val="left"/>
      <w:lvlText w:val="%1"/>
      <w:numFmt w:val="decimal"/>
      <w:start w:val="1"/>
    </w:lvl>
    <w:lvl w:ilvl="1">
      <w:lvlJc w:val="left"/>
      <w:lvlText w:val="(%2)"/>
      <w:numFmt w:val="lowerLetter"/>
      <w:start w:val="2"/>
    </w:lvl>
  </w:abstractNum>
  <w:abstractNum w:abstractNumId="13">
    <w:nsid w:val="7C83E458"/>
    <w:multiLevelType w:val="hybridMultilevel"/>
    <w:lvl w:ilvl="0">
      <w:lvlJc w:val="left"/>
      <w:lvlText w:val="%1."/>
      <w:numFmt w:val="decimal"/>
      <w:start w:val="6"/>
    </w:lvl>
    <w:lvl w:ilvl="1">
      <w:lvlJc w:val="left"/>
      <w:lvlText w:val="%2"/>
      <w:numFmt w:val="lowerLetter"/>
      <w:start w:val="1"/>
    </w:lvl>
  </w:abstractNum>
  <w:abstractNum w:abstractNumId="14">
    <w:nsid w:val="257130A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
    <w:nsid w:val="62BBD95A"/>
    <w:multiLevelType w:val="hybridMultilevel"/>
    <w:lvl w:ilvl="0">
      <w:lvlJc w:val="left"/>
      <w:lvlText w:val="%1"/>
      <w:numFmt w:val="decimal"/>
      <w:start w:val="1"/>
    </w:lvl>
    <w:lvl w:ilvl="1">
      <w:lvlJc w:val="left"/>
      <w:lvlText w:val="(%2)"/>
      <w:numFmt w:val="lowerLetter"/>
      <w:start w:val="2"/>
    </w:lvl>
  </w:abstractNum>
  <w:abstractNum w:abstractNumId="16">
    <w:nsid w:val="436C6125"/>
    <w:multiLevelType w:val="hybridMultilevel"/>
    <w:lvl w:ilvl="0">
      <w:lvlJc w:val="left"/>
      <w:lvlText w:val="(%1)"/>
      <w:numFmt w:val="decimal"/>
      <w:start w:val="30"/>
    </w:lvl>
    <w:lvl w:ilvl="1">
      <w:lvlJc w:val="left"/>
      <w:lvlText w:val="(%2)"/>
      <w:numFmt w:val="lowerLetter"/>
      <w:start w:val="3"/>
    </w:lvl>
  </w:abstractNum>
  <w:abstractNum w:abstractNumId="17">
    <w:nsid w:val="628C895D"/>
    <w:multiLevelType w:val="hybridMultilevel"/>
    <w:lvl w:ilvl="0">
      <w:lvlJc w:val="left"/>
      <w:lvlText w:val="%1"/>
      <w:numFmt w:val="lowerLetter"/>
      <w:start w:val="1"/>
    </w:lvl>
    <w:lvl w:ilvl="1">
      <w:lvlJc w:val="left"/>
      <w:lvlText w:val="(%2)"/>
      <w:numFmt w:val="lowerRoman"/>
      <w:start w:val="1"/>
    </w:lvl>
  </w:abstractNum>
  <w:abstractNum w:abstractNumId="18">
    <w:nsid w:val="333AB105"/>
    <w:multiLevelType w:val="hybridMultilevel"/>
    <w:lvl w:ilvl="0">
      <w:lvlJc w:val="left"/>
      <w:lvlText w:val="(%1)"/>
      <w:numFmt w:val="lowerLetter"/>
      <w:start w:val="5"/>
    </w:lvl>
    <w:lvl w:ilvl="1">
      <w:lvlJc w:val="left"/>
      <w:lvlText w:val="%2"/>
      <w:numFmt w:val="lowerRoman"/>
      <w:start w:val="1"/>
    </w:lvl>
  </w:abstractNum>
  <w:abstractNum w:abstractNumId="19">
    <w:nsid w:val="721DA317"/>
    <w:multiLevelType w:val="hybridMultilevel"/>
    <w:lvl w:ilvl="0">
      <w:lvlJc w:val="left"/>
      <w:lvlText w:val="%1."/>
      <w:numFmt w:val="decimal"/>
      <w:start w:val="10"/>
    </w:lvl>
  </w:abstractNum>
  <w:abstractNum w:abstractNumId="20">
    <w:nsid w:val="2443A85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1">
    <w:nsid w:val="2D1D5AE9"/>
    <w:multiLevelType w:val="hybridMultilevel"/>
    <w:lvl w:ilvl="0">
      <w:lvlJc w:val="left"/>
      <w:lvlText w:val="%1."/>
      <w:numFmt w:val="decimal"/>
      <w:start w:val="15"/>
    </w:lvl>
  </w:abstractNum>
  <w:abstractNum w:abstractNumId="22">
    <w:nsid w:val="6763845E"/>
    <w:multiLevelType w:val="hybridMultilevel"/>
    <w:lvl w:ilvl="0">
      <w:lvlJc w:val="left"/>
      <w:lvlText w:val="%1."/>
      <w:numFmt w:val="decimal"/>
      <w:start w:val="16"/>
    </w:lvl>
  </w:abstractNum>
  <w:abstractNum w:abstractNumId="23">
    <w:nsid w:val="75A2A8D4"/>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2019-12-13T13:31:16Z</dcterms:created>
  <dcterms:modified xsi:type="dcterms:W3CDTF">2019-12-13T13:31:16Z</dcterms:modified>
</cp:coreProperties>
</file>