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1920" w:right="1600" w:hanging="764"/>
        <w:spacing w:after="0" w:line="237" w:lineRule="auto"/>
        <w:tabs>
          <w:tab w:leader="none" w:pos="19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7"/>
          <w:szCs w:val="17"/>
          <w:b w:val="1"/>
          <w:bCs w:val="1"/>
          <w:color w:val="auto"/>
        </w:rPr>
        <w:t>September 2, 2004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920" w:right="1160" w:hanging="723"/>
        <w:spacing w:after="0" w:line="256" w:lineRule="auto"/>
        <w:tabs>
          <w:tab w:leader="none" w:pos="19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585" w:right="239" w:bottom="0" w:gutter="0" w:footer="0" w:header="0"/>
        </w:sectPr>
      </w:pPr>
    </w:p>
    <w:p>
      <w:pPr>
        <w:spacing w:after="0" w:line="388"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580" w:space="440"/>
            <w:col w:w="4400"/>
          </w:cols>
          <w:pgMar w:left="240" w:top="585" w:right="239" w:bottom="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5"/>
          <w:szCs w:val="15"/>
          <w:b w:val="1"/>
          <w:bCs w:val="1"/>
          <w:color w:val="auto"/>
        </w:rPr>
        <w:t>1-10658</w:t>
      </w:r>
    </w:p>
    <w:p>
      <w:pPr>
        <w:sectPr>
          <w:pgSz w:w="11900" w:h="16838" w:orient="portrait"/>
          <w:cols w:equalWidth="0" w:num="1">
            <w:col w:w="11420"/>
          </w:cols>
          <w:pgMar w:left="240" w:top="585" w:right="23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Delaware</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9"/>
              </w:rPr>
              <w:t>75-1618004</w:t>
            </w:r>
          </w:p>
        </w:tc>
      </w:tr>
      <w:tr>
        <w:trPr>
          <w:trHeight w:val="216"/>
        </w:trPr>
        <w:tc>
          <w:tcPr>
            <w:tcW w:w="58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(State or other jurisdiction of</w:t>
            </w: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58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incorporation or organization)</w:t>
            </w:r>
          </w:p>
        </w:tc>
        <w:tc>
          <w:tcPr>
            <w:tcW w:w="55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8000 S. Federal Way, Boise, Idaho</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9"/>
              </w:rPr>
              <w:t>83716-9632</w:t>
            </w:r>
          </w:p>
        </w:tc>
      </w:tr>
      <w:tr>
        <w:trPr>
          <w:trHeight w:val="230"/>
        </w:trPr>
        <w:tc>
          <w:tcPr>
            <w:tcW w:w="58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(Address of principal executive offices)</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432"/>
        </w:trPr>
        <w:tc>
          <w:tcPr>
            <w:tcW w:w="58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Registrant’s telephone number, including area code</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2"/>
              </w:rPr>
              <w:t>(208) 368-4000</w:t>
            </w:r>
          </w:p>
        </w:tc>
      </w:tr>
      <w:tr>
        <w:trPr>
          <w:trHeight w:val="432"/>
        </w:trPr>
        <w:tc>
          <w:tcPr>
            <w:tcW w:w="58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5540" w:type="dxa"/>
            <w:vAlign w:val="bottom"/>
          </w:tcPr>
          <w:p>
            <w:pPr>
              <w:spacing w:after="0"/>
              <w:rPr>
                <w:sz w:val="24"/>
                <w:szCs w:val="24"/>
                <w:color w:val="auto"/>
              </w:rPr>
            </w:pPr>
          </w:p>
        </w:tc>
      </w:tr>
      <w:tr>
        <w:trPr>
          <w:trHeight w:val="365"/>
        </w:trPr>
        <w:tc>
          <w:tcPr>
            <w:tcW w:w="5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Title of each class</w:t>
            </w:r>
          </w:p>
        </w:tc>
        <w:tc>
          <w:tcPr>
            <w:tcW w:w="5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4"/>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 per share</w:t>
            </w:r>
          </w:p>
        </w:tc>
        <w:tc>
          <w:tcPr>
            <w:tcW w:w="320" w:type="dxa"/>
            <w:vAlign w:val="bottom"/>
          </w:tcPr>
          <w:p>
            <w:pPr>
              <w:spacing w:after="0"/>
              <w:rPr>
                <w:sz w:val="19"/>
                <w:szCs w:val="19"/>
                <w:color w:val="auto"/>
              </w:rPr>
            </w:pPr>
          </w:p>
        </w:tc>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11"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184" w:lineRule="exact"/>
        <w:rPr>
          <w:sz w:val="24"/>
          <w:szCs w:val="24"/>
          <w:color w:val="auto"/>
        </w:rPr>
      </w:pPr>
    </w:p>
    <w:p>
      <w:pPr>
        <w:jc w:val="both"/>
        <w:ind w:right="60"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highlight w:val="black"/>
        </w:rPr>
        <w:t>☒</w:t>
      </w:r>
    </w:p>
    <w:p>
      <w:pPr>
        <w:spacing w:after="0" w:line="15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58" w:lineRule="exact"/>
        <w:rPr>
          <w:sz w:val="24"/>
          <w:szCs w:val="24"/>
          <w:color w:val="auto"/>
        </w:rPr>
      </w:pPr>
    </w:p>
    <w:p>
      <w:pPr>
        <w:ind w:right="60" w:firstLine="324"/>
        <w:spacing w:after="0" w:line="259" w:lineRule="auto"/>
        <w:rPr>
          <w:sz w:val="20"/>
          <w:szCs w:val="20"/>
          <w:color w:val="auto"/>
        </w:rPr>
      </w:pPr>
      <w:r>
        <w:rPr>
          <w:rFonts w:ascii="Arial" w:cs="Arial" w:eastAsia="Arial" w:hAnsi="Arial"/>
          <w:sz w:val="18"/>
          <w:szCs w:val="18"/>
          <w:color w:val="auto"/>
        </w:rPr>
        <w:t>The aggregate market value of the voting stock held by non-affiliates of the registrant, based upon the closing price of such stock on March 4, 2004, as reported by the New York Stock Exchange, was approximately $6.7 billion. Shares of common stock held by each executive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8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October 5, 2004, was 612,413,709.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220" w:firstLine="324"/>
        <w:spacing w:after="0" w:line="277" w:lineRule="auto"/>
        <w:rPr>
          <w:sz w:val="20"/>
          <w:szCs w:val="20"/>
          <w:color w:val="auto"/>
        </w:rPr>
      </w:pPr>
      <w:r>
        <w:rPr>
          <w:rFonts w:ascii="Arial" w:cs="Arial" w:eastAsia="Arial" w:hAnsi="Arial"/>
          <w:sz w:val="18"/>
          <w:szCs w:val="18"/>
          <w:color w:val="auto"/>
        </w:rPr>
        <w:t>Portions of the Proxy Statement for registrant’s 2004 Annual Meeting of Shareholders to be held on November 18, 2004,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ectPr>
          <w:pgSz w:w="11900" w:h="16838" w:orient="portrait"/>
          <w:cols w:equalWidth="0" w:num="1">
            <w:col w:w="11420"/>
          </w:cols>
          <w:pgMar w:left="240" w:top="58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“Products” regarding the Company’s expectation of a significant increase in sales of DDR2 products in 2005, the predominance of 512 Meg density devices by the end of 2005, growth in sales of the Company’s PSRAM and SDRAM products in 2005, the shipment of commercial volumes of RLDRAM in 2005 and significant growth in the markets for NAND Flash memory and CMOS image sensors; and in “Manufacturing” regarding the Company’s expectation to transition to 95nm line-width process technology in 2005. The Company’s actual results could differ materially from the Company’s historical results and those discussed in the forward-looking statements. Factors that could cause actual results to differ materially include, but are not limited to, those identified in “Item 7. Management’s Discussion and Analysis of Financial Condition and Results of Operations – Certain Factors.” All period references are to the Company’s fiscal periods unless otherwise indicated.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Micron Technology, Inc., and its subsidiaries are hereinafter referred to collectively as the “Company.” Micron Technology, Inc., a Delaware corporation, was incorporated in 1978. The Company’s executive offices are located at 8000 South Federal Way, Boise, Idaho 83716-9632 and its telephone number is (208) 368-4000. Information about the Company is available on the internet at www.micron.com. Copies of the Company’s Annual Report on Form 10-K, Quarterly Reports on Form 10-Q and Current Reports on Form 8-K, as well as any amendments to these reports, are available through the Company’s website as soon as reasonably practicable after they are electronically filed with the Securities and Exchange Commission. The Company’s Corporate Governance Guidelines, Business Code of Conduct and Ethics, Audit Committee Charter, and Governance and Compensation Committee Charter are also available on the Company’s website. Information contained or referenced on the Company’s website is not incorporated by reference and does not form a part of this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Company is a global manufacturer and marketer of Dynamic Random Access Memory (“DRAM”), Flash memory and CMOS image sensors. The Company has been in the DRAM business since 1980, and in recent years it has been the second or third largest supplier of DRAM in the world. Flash memory and CMOS image sensors have been added to the Company’s product portfolio in the last couple of years. The Company’s products are used in a broad range of electronic devices, including personal computers, workstations, servers, cell phones, digital still cameras, and other consumer and industrial products.</w:t>
      </w:r>
    </w:p>
    <w:p>
      <w:pPr>
        <w:spacing w:after="0" w:line="188"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The Company’s products are offered in a wide variety of package and configuration options, architectures, and performance characteristics tailored to meet application and customer needs. Individual devices take advantage of the Company’s advanced silicon processing technology and manufacturing expertise. The Company continually introduces new generations of products that offer lower costs per megabit and improved performance characteristics.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Dynamic Random Access Memory (“DRAM”) </w:t>
      </w:r>
      <w:r>
        <w:rPr>
          <w:rFonts w:ascii="Arial" w:cs="Arial" w:eastAsia="Arial" w:hAnsi="Arial"/>
          <w:sz w:val="18"/>
          <w:szCs w:val="18"/>
          <w:color w:val="auto"/>
        </w:rPr>
        <w:t>DRAM products are high density, low-cost-per-bit, random access memory devices that provide high-speed data storage and retrieval. DRAM products constituted 92%, 96% and 95% of the Company’s net sales in 2004, 2003 and 2002, respectively. The Company offers DRAM products with a variety of performance, pricing and other characteristics. The Company’s DRAM products may be classified as Core DRAM or Specialty memory.</w:t>
      </w:r>
    </w:p>
    <w:p>
      <w:pPr>
        <w:spacing w:after="0" w:line="183" w:lineRule="exact"/>
        <w:rPr>
          <w:sz w:val="20"/>
          <w:szCs w:val="20"/>
          <w:color w:val="auto"/>
        </w:rPr>
      </w:pPr>
    </w:p>
    <w:p>
      <w:pPr>
        <w:ind w:left="660" w:right="300" w:firstLine="324"/>
        <w:spacing w:after="0" w:line="277" w:lineRule="auto"/>
        <w:rPr>
          <w:sz w:val="20"/>
          <w:szCs w:val="20"/>
          <w:color w:val="auto"/>
        </w:rPr>
      </w:pPr>
      <w:r>
        <w:rPr>
          <w:rFonts w:ascii="Arial" w:cs="Arial" w:eastAsia="Arial" w:hAnsi="Arial"/>
          <w:sz w:val="17"/>
          <w:szCs w:val="17"/>
          <w:b w:val="1"/>
          <w:bCs w:val="1"/>
          <w:color w:val="auto"/>
        </w:rPr>
        <w:t xml:space="preserve">Core DRAM </w:t>
      </w:r>
      <w:r>
        <w:rPr>
          <w:rFonts w:ascii="Arial" w:cs="Arial" w:eastAsia="Arial" w:hAnsi="Arial"/>
          <w:sz w:val="17"/>
          <w:szCs w:val="17"/>
          <w:color w:val="auto"/>
        </w:rPr>
        <w:t>Core DRAM consists of standardized, high-volume, products that are sold primarily for use as main system memory in</w:t>
      </w:r>
      <w:r>
        <w:rPr>
          <w:rFonts w:ascii="Arial" w:cs="Arial" w:eastAsia="Arial" w:hAnsi="Arial"/>
          <w:sz w:val="17"/>
          <w:szCs w:val="17"/>
          <w:b w:val="1"/>
          <w:bCs w:val="1"/>
          <w:color w:val="auto"/>
        </w:rPr>
        <w:t xml:space="preserve"> </w:t>
      </w:r>
      <w:r>
        <w:rPr>
          <w:rFonts w:ascii="Arial" w:cs="Arial" w:eastAsia="Arial" w:hAnsi="Arial"/>
          <w:sz w:val="17"/>
          <w:szCs w:val="17"/>
          <w:color w:val="auto"/>
        </w:rPr>
        <w:t>computers. With the development, introduction and acceptance in the marketplace of new memory architectures, computer main memory has transitioned over time from extended data out (“EDO”) DRAM to synchronous DRAM (“SDRAM”) and most recently to Double Data Rate Synchronous DRAM (“DDR”) and DDR2. As a result, the composition of the Company’s Core DRAM products has also shifted over time. The Company’s Core DRAM products currently consist of DDR and DDR2. EDO and SDRAM products are currently sold primarily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80"/>
        <w:spacing w:after="0" w:line="302" w:lineRule="auto"/>
        <w:rPr>
          <w:sz w:val="20"/>
          <w:szCs w:val="20"/>
          <w:color w:val="auto"/>
        </w:rPr>
      </w:pPr>
      <w:r>
        <w:rPr>
          <w:rFonts w:ascii="Arial" w:cs="Arial" w:eastAsia="Arial" w:hAnsi="Arial"/>
          <w:sz w:val="16"/>
          <w:szCs w:val="16"/>
          <w:color w:val="auto"/>
        </w:rPr>
        <w:t>for use in applications other than computers, and are now classified as Specialty memory. DDR products constituted most of the Company’s Core DRAM sales in 2004 and accounted for approximately 57%, 57% and 20% of the Company’s net sales in 2004, 2003 and 2002, respectively. Next generation DDR2 products, which offer increased performance characteristics such as greater clock frequency and bandwidth, began shipping in 2004 and are expected to grow noticeably in 2005 as new applications designed to take advantage of their superior performance are introduced.</w:t>
      </w:r>
    </w:p>
    <w:p>
      <w:pPr>
        <w:spacing w:after="0" w:line="154" w:lineRule="exact"/>
        <w:rPr>
          <w:sz w:val="20"/>
          <w:szCs w:val="20"/>
          <w:color w:val="auto"/>
        </w:rPr>
      </w:pPr>
    </w:p>
    <w:p>
      <w:pPr>
        <w:ind w:left="660" w:right="80" w:firstLine="324"/>
        <w:spacing w:after="0" w:line="257" w:lineRule="auto"/>
        <w:rPr>
          <w:sz w:val="20"/>
          <w:szCs w:val="20"/>
          <w:color w:val="auto"/>
        </w:rPr>
      </w:pPr>
      <w:r>
        <w:rPr>
          <w:rFonts w:ascii="Arial" w:cs="Arial" w:eastAsia="Arial" w:hAnsi="Arial"/>
          <w:sz w:val="18"/>
          <w:szCs w:val="18"/>
          <w:color w:val="auto"/>
        </w:rPr>
        <w:t>In response to changes in the DRAM market, the Company has broadened its Core DRAM product offerings in recent years. The Company offers DDR products in 128 Meg, 256 Meg, 512 Meg and 1 Gig densities. The Company also offers 256 Meg and 512 Meg DDR2 products and has begun sampling 1 Gig DDR2. The Company offers its DDR and DDR2 products in multiple configurations, speeds and package types. In 2004, most of the Company’s Core DRAM products were 256 Meg density devices. The Company expects 512 Meg devices to become the predominant density by the end of 2005.</w:t>
      </w:r>
    </w:p>
    <w:p>
      <w:pPr>
        <w:spacing w:after="0" w:line="184" w:lineRule="exact"/>
        <w:rPr>
          <w:sz w:val="20"/>
          <w:szCs w:val="20"/>
          <w:color w:val="auto"/>
        </w:rPr>
      </w:pPr>
    </w:p>
    <w:p>
      <w:pPr>
        <w:ind w:left="660" w:right="400" w:firstLine="324"/>
        <w:spacing w:after="0" w:line="266" w:lineRule="auto"/>
        <w:rPr>
          <w:sz w:val="20"/>
          <w:szCs w:val="20"/>
          <w:color w:val="auto"/>
        </w:rPr>
      </w:pPr>
      <w:r>
        <w:rPr>
          <w:rFonts w:ascii="Arial" w:cs="Arial" w:eastAsia="Arial" w:hAnsi="Arial"/>
          <w:sz w:val="18"/>
          <w:szCs w:val="18"/>
          <w:b w:val="1"/>
          <w:bCs w:val="1"/>
          <w:color w:val="auto"/>
        </w:rPr>
        <w:t xml:space="preserve">Specialty Memory </w:t>
      </w:r>
      <w:r>
        <w:rPr>
          <w:rFonts w:ascii="Arial" w:cs="Arial" w:eastAsia="Arial" w:hAnsi="Arial"/>
          <w:sz w:val="18"/>
          <w:szCs w:val="18"/>
          <w:color w:val="auto"/>
        </w:rPr>
        <w:t>The Company’s Specialty memory products include the Company’s legacy DRAM, pseudo-static RAM (“PSRAM”),</w:t>
      </w:r>
      <w:r>
        <w:rPr>
          <w:rFonts w:ascii="Arial" w:cs="Arial" w:eastAsia="Arial" w:hAnsi="Arial"/>
          <w:sz w:val="18"/>
          <w:szCs w:val="18"/>
          <w:b w:val="1"/>
          <w:bCs w:val="1"/>
          <w:color w:val="auto"/>
        </w:rPr>
        <w:t xml:space="preserve"> </w:t>
      </w:r>
      <w:r>
        <w:rPr>
          <w:rFonts w:ascii="Arial" w:cs="Arial" w:eastAsia="Arial" w:hAnsi="Arial"/>
          <w:sz w:val="18"/>
          <w:szCs w:val="18"/>
          <w:color w:val="auto"/>
        </w:rPr>
        <w:t>mobile SDRAM and reduced latency DRAM (“RLDRAM™”) products. Specialty memory products are generally targeted to applications with specific performance characteristics and sold in lower volumes than Core DRAM products.</w:t>
      </w:r>
    </w:p>
    <w:p>
      <w:pPr>
        <w:spacing w:after="0" w:line="180" w:lineRule="exact"/>
        <w:rPr>
          <w:sz w:val="20"/>
          <w:szCs w:val="20"/>
          <w:color w:val="auto"/>
        </w:rPr>
      </w:pPr>
    </w:p>
    <w:p>
      <w:pPr>
        <w:ind w:left="1300" w:right="120" w:firstLine="324"/>
        <w:spacing w:after="0" w:line="302" w:lineRule="auto"/>
        <w:rPr>
          <w:sz w:val="20"/>
          <w:szCs w:val="20"/>
          <w:color w:val="auto"/>
        </w:rPr>
      </w:pPr>
      <w:r>
        <w:rPr>
          <w:rFonts w:ascii="Arial" w:cs="Arial" w:eastAsia="Arial" w:hAnsi="Arial"/>
          <w:sz w:val="16"/>
          <w:szCs w:val="16"/>
          <w:u w:val="single" w:color="auto"/>
          <w:color w:val="auto"/>
        </w:rPr>
        <w:t>Legacy DRAM</w:t>
      </w:r>
      <w:r>
        <w:rPr>
          <w:rFonts w:ascii="Arial" w:cs="Arial" w:eastAsia="Arial" w:hAnsi="Arial"/>
          <w:sz w:val="16"/>
          <w:szCs w:val="16"/>
          <w:color w:val="auto"/>
        </w:rPr>
        <w:t xml:space="preserve"> Legacy DRAM consists of SDRAM and EDO products which are primarily used in consumer applications, such as cell phones, handheld devices, computer peripherals and other communications equipment. SDRAM sales constituted 31%, 37% and 70% of the Company’s net sales in 2004, 2003 and 2002, respectively, declining as personal computer manufacturers transitioned to DDR products. The Company offers 64 Meg, 128 Meg, 256 Meg and 512 Meg SDRAM products and 16 Meg and 64 Meg EDO products.</w:t>
      </w:r>
    </w:p>
    <w:p>
      <w:pPr>
        <w:spacing w:after="0" w:line="154" w:lineRule="exact"/>
        <w:rPr>
          <w:sz w:val="20"/>
          <w:szCs w:val="20"/>
          <w:color w:val="auto"/>
        </w:rPr>
      </w:pPr>
    </w:p>
    <w:p>
      <w:pPr>
        <w:ind w:left="1300" w:right="60" w:firstLine="324"/>
        <w:spacing w:after="0" w:line="312" w:lineRule="auto"/>
        <w:rPr>
          <w:sz w:val="20"/>
          <w:szCs w:val="20"/>
          <w:color w:val="auto"/>
        </w:rPr>
      </w:pPr>
      <w:r>
        <w:rPr>
          <w:rFonts w:ascii="Arial" w:cs="Arial" w:eastAsia="Arial" w:hAnsi="Arial"/>
          <w:sz w:val="16"/>
          <w:szCs w:val="16"/>
          <w:u w:val="single" w:color="auto"/>
          <w:color w:val="auto"/>
        </w:rPr>
        <w:t>PSRAM</w:t>
      </w:r>
      <w:r>
        <w:rPr>
          <w:rFonts w:ascii="Arial" w:cs="Arial" w:eastAsia="Arial" w:hAnsi="Arial"/>
          <w:sz w:val="16"/>
          <w:szCs w:val="16"/>
          <w:color w:val="auto"/>
        </w:rPr>
        <w:t xml:space="preserve"> PSRAM products, marketed by the Company under the name CellularRAM™, are DRAM products with an SRAM-like interface. PSRAM combines the minimal power consumption of SRAM with a much lower cost-per-bit to create an economical alternative to SRAM. PSRAM products are used primarily in cellular phone applications. The Company offers PSRAM products in 16 Meg, 32 Meg,</w:t>
      </w:r>
    </w:p>
    <w:p>
      <w:pPr>
        <w:sectPr>
          <w:pgSz w:w="11900" w:h="16838" w:orient="portrait"/>
          <w:cols w:equalWidth="0" w:num="1">
            <w:col w:w="11420"/>
          </w:cols>
          <w:pgMar w:left="240" w:top="337" w:right="239" w:bottom="0" w:gutter="0" w:footer="0" w:header="0"/>
        </w:sectPr>
      </w:pPr>
    </w:p>
    <w:bookmarkStart w:id="2" w:name="page3"/>
    <w:bookmarkEnd w:id="2"/>
    <w:p>
      <w:pPr>
        <w:ind w:left="1300" w:right="220"/>
        <w:spacing w:after="0" w:line="277" w:lineRule="auto"/>
        <w:rPr>
          <w:sz w:val="20"/>
          <w:szCs w:val="20"/>
          <w:color w:val="auto"/>
        </w:rPr>
      </w:pPr>
      <w:r>
        <w:rPr>
          <w:rFonts w:ascii="Arial" w:cs="Arial" w:eastAsia="Arial" w:hAnsi="Arial"/>
          <w:sz w:val="18"/>
          <w:szCs w:val="18"/>
          <w:color w:val="auto"/>
        </w:rPr>
        <w:t>64 Meg and 128 Meg densities. The Company began selling commercial volumes of PSRAM products in 2004 and sales are expected to increase significantly in 2005.</w:t>
      </w:r>
    </w:p>
    <w:p>
      <w:pPr>
        <w:spacing w:after="0" w:line="170" w:lineRule="exact"/>
        <w:rPr>
          <w:sz w:val="20"/>
          <w:szCs w:val="20"/>
          <w:color w:val="auto"/>
        </w:rPr>
      </w:pPr>
    </w:p>
    <w:p>
      <w:pPr>
        <w:ind w:left="1300" w:right="40" w:firstLine="324"/>
        <w:spacing w:after="0" w:line="259" w:lineRule="auto"/>
        <w:rPr>
          <w:sz w:val="20"/>
          <w:szCs w:val="20"/>
          <w:color w:val="auto"/>
        </w:rPr>
      </w:pPr>
      <w:r>
        <w:rPr>
          <w:rFonts w:ascii="Arial" w:cs="Arial" w:eastAsia="Arial" w:hAnsi="Arial"/>
          <w:sz w:val="18"/>
          <w:szCs w:val="18"/>
          <w:u w:val="single" w:color="auto"/>
          <w:color w:val="auto"/>
        </w:rPr>
        <w:t>Mobile SDRAM</w:t>
      </w:r>
      <w:r>
        <w:rPr>
          <w:rFonts w:ascii="Arial" w:cs="Arial" w:eastAsia="Arial" w:hAnsi="Arial"/>
          <w:sz w:val="18"/>
          <w:szCs w:val="18"/>
          <w:color w:val="auto"/>
        </w:rPr>
        <w:t xml:space="preserve"> Mobile SDRAM products are specialty SDRAM memory devices designed for applications that demand minimal power consumption, primarily handheld electronic devices such as personal digital assistants (PDAs), smart phones, GPS devices, and digital still cameras. The Company began selling commercial volumes of Mobile SDRAM products in 2004 and sales are expected to grow rapidly in 2005.</w:t>
      </w:r>
    </w:p>
    <w:p>
      <w:pPr>
        <w:spacing w:after="0" w:line="187" w:lineRule="exact"/>
        <w:rPr>
          <w:sz w:val="20"/>
          <w:szCs w:val="20"/>
          <w:color w:val="auto"/>
        </w:rPr>
      </w:pPr>
    </w:p>
    <w:p>
      <w:pPr>
        <w:ind w:left="1300" w:right="200" w:firstLine="324"/>
        <w:spacing w:after="0" w:line="308" w:lineRule="auto"/>
        <w:rPr>
          <w:sz w:val="20"/>
          <w:szCs w:val="20"/>
          <w:color w:val="auto"/>
        </w:rPr>
      </w:pPr>
      <w:r>
        <w:rPr>
          <w:rFonts w:ascii="Arial" w:cs="Arial" w:eastAsia="Arial" w:hAnsi="Arial"/>
          <w:sz w:val="17"/>
          <w:szCs w:val="17"/>
          <w:u w:val="single" w:color="auto"/>
          <w:color w:val="auto"/>
        </w:rPr>
        <w:t>RLDRAM</w:t>
      </w:r>
      <w:r>
        <w:rPr>
          <w:rFonts w:ascii="Arial" w:cs="Arial" w:eastAsia="Arial" w:hAnsi="Arial"/>
          <w:sz w:val="17"/>
          <w:szCs w:val="17"/>
          <w:color w:val="auto"/>
        </w:rPr>
        <w:t xml:space="preserve"> RLDRAM products are low-latency DRAM memory devices with high clock rates targeted at network applications. The Company began sampling RLDRAM products in 2004 and expects to begin shipping commercial volumes in 2005.</w:t>
      </w:r>
    </w:p>
    <w:p>
      <w:pPr>
        <w:spacing w:after="0" w:line="14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Flash Memory </w:t>
      </w:r>
      <w:r>
        <w:rPr>
          <w:rFonts w:ascii="Arial" w:cs="Arial" w:eastAsia="Arial" w:hAnsi="Arial"/>
          <w:sz w:val="16"/>
          <w:szCs w:val="16"/>
          <w:color w:val="auto"/>
        </w:rPr>
        <w:t>Flash products are electrically re-writeable, non-volatile semiconductor devices that retain memory content when power is turned off.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Flash memory is used in networking applications, workstations, servers, personal computers, and handheld electronic devices such as digital cellular phones, digital still cameras and digital music players. There are two primary types of flash memory: NOR Flash and NAND Flash. NOR Flash has a random access interface to data that enables fast read speeds, making it ideal for storage of program code that needs to be infrequently updated. NAND Flash only allows sequential access to data, which reduces read time for some applications but offers faster erase and write times, higher density, and lower cost per bit than NOR Flash. In addition, NAND Flash has significantly increased cycle endurance making it ideal for mass-storage devices.</w:t>
      </w:r>
    </w:p>
    <w:p>
      <w:pPr>
        <w:spacing w:after="0" w:line="16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Through 2004, the Company’s commercial Flash memory offerings consisted solely of NOR-based products. The Company’s future plans for Flash memory are focused on NAND Flash, which uses semiconductor technology similar to DRAM. The market for NAND Flash products has grown rapidly and is expected to continue to grow rapidly due to demand for removable and embedded storage devices. Removable storage devices such as USB and Flash memory cards are used with applications such as personal computers, digital still cameras, MP3 players and mobile phones. Embedded NAND-based storage devices are also beginning to be utilized in mobile phones in addition to, or in lieu of, NOR-based Flash storage.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Company has been developing NAND Flash products and expects to begin shipping commercial volumes of its 2 Gig NAND Flash products in 2005.</w:t>
      </w:r>
    </w:p>
    <w:p>
      <w:pPr>
        <w:spacing w:after="0" w:line="237"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The Company plans to leverage its DRAM product and process technologies to compete in the NAND Flash memory market. The Company’s NAND Flash designs feature a small cell structure that enables higher densities for demanding applications. To compete in the NAND Flash market, the Company must successfully introduce new products, rapidly ramp production of products to commercial volumes and manufacture products cost-efficiently.</w:t>
      </w:r>
    </w:p>
    <w:p>
      <w:pPr>
        <w:spacing w:after="0" w:line="14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Complementary Metal-Oxide Semiconductor (“CMOS”) Image Sensors </w:t>
      </w:r>
      <w:r>
        <w:rPr>
          <w:rFonts w:ascii="Arial" w:cs="Arial" w:eastAsia="Arial" w:hAnsi="Arial"/>
          <w:sz w:val="18"/>
          <w:szCs w:val="18"/>
          <w:color w:val="auto"/>
        </w:rPr>
        <w:t>CMOS image sensors are semiconductor devices that capture and process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images into pictures or video for a variety of consumer and industrial applications. The Company’s CMOS image sensors are used in products such as cellular phone cameras, digital still cameras, pill cameras for medical use, automotive and other emerging applications. The Company offers image sensors in a range of pixel resolutions from its VGA (video graphics array) products to its higher-end 3.1 megapixel products. Image sensors are sold either as individual components or combined with integrated circuitry to create complete camera system-on-a-chip (“SOC”) solutions. In 2004, the Company’s primary image sensor product was a VGA SOC sensor. The Company began shipping commercial volumes of its higher resolution 1.3 megapixel, 2.0 megapixel and 3.1 megapixel image sensors in 2004.</w:t>
      </w:r>
    </w:p>
    <w:p>
      <w:pPr>
        <w:spacing w:after="0" w:line="18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Company’s CMOS image sensors incorporating its DigitalClarity™ technology have many advantages over other CMOS image sensors and charge-coupled device (“CCD”) sensors, which have dominated the image sensor market until recent periods. Unlike CCD sensors, which rely on specialized fabrication requiring dedicated, and costly manufacturing processes, CMOS image sensors can be manufactured using standardized semiconductor processes resulting in substantially lower costs. The Company’s low-leakage DRAM processes are particularly well suited for the manufacture of CMOS image sensors. The Company’s CMOS image sensors employ an “active-pixel” design architecture that enables them to achieve performance comparable to high-end CCD devices and higher than competitor’s CMOS image sensors. The Company’s CMOS image sensors consume substantially less power than CCD devices, a critical advantage in the battery-dependent portable device applications where most image sensors are used. The market for image sensors is expected to increase significantly over the next several years due to the growth forecasted for applications such as phone cameras and digital still cameras.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The Company’s manufacturing facilities are located in the United States, Italy, Japan, Puerto Rico, Scotland and Singapore. The Company’s manufacturing facilities operate 24 hours per day, 7 days per week.</w:t>
      </w:r>
    </w:p>
    <w:p>
      <w:pPr>
        <w:spacing w:after="0" w:line="170"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Company’s process for manufacturing semiconductor products is complex, involving a number of precise steps, including wafer fabrication, assembly, burn-in and final test. Efficient production of semiconductor products requires utilization of advanced semiconductor manufacturing techniques and effective deployment of these techniques across multiple facilities. The primary determinants of manufacturing cost are die size, number of mask layers, number of fabrication steps and number of acceptable die produced on each wafer. Other factors that contribute to manufacturing costs are wafer size, cost and sophistication of manufacturing equipment, equipment utilization, process complexity, cost of raw materials, labor productivity, package type and cleanliness of the manufacturing environment. The Company is continuously enhancing production processes, reducing die sizes and transitioning to higher density products. In 2004, the Company substantially completed the migration of its manufacturing operations to its 110 nanometer (“nm”) line-width process technology. The Company expects to begin transitioning its manufacturing operations to 95nm line-width process technology in 2005.</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Wafer fabrication occurs in a highly controlled, clean environment to minimize dust and other yield- and quality-limiting contaminants. Despite stringent manufacturing controls, dust particles, equipment errors, minute impurities in materials, defects in photomasks and circuit design marginalities or other problems cause wafers to be scrapped or individual circuits to be nonfunctional. Success of the Company’s manufacturing operations depends largely on minimizing defects and thereby maximizing yield of high-quality circuits. In this regard, the Company employs rigorous quality controls throughout the manufacturing, screening and testing processes. The Company is able to recover many nonstandard devices by testing and grading them to their highest level of functionality.</w:t>
      </w:r>
    </w:p>
    <w:p>
      <w:pPr>
        <w:spacing w:after="0" w:line="193"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After fabrication, silicon wafers are separated into individual die. Functional die are sorted, connected to external leads and encapsulated in plastic packages. The Company assembles products in a variety of packages, including TSOP (thin small outline package), TQFP (thin quad flat package) and FBGA (fine pitch ball grid array). Each completed package is then inspected and tested. The Company also sells semiconductor products in unpackaged die</w:t>
      </w:r>
    </w:p>
    <w:p>
      <w:pPr>
        <w:sectPr>
          <w:pgSz w:w="11900" w:h="16838" w:orient="portrait"/>
          <w:cols w:equalWidth="0" w:num="1">
            <w:col w:w="11400"/>
          </w:cols>
          <w:pgMar w:left="240" w:top="125" w:right="259" w:bottom="0" w:gutter="0" w:footer="0" w:header="0"/>
        </w:sectPr>
      </w:pPr>
    </w:p>
    <w:bookmarkStart w:id="3" w:name="page4"/>
    <w:bookmarkEnd w:id="3"/>
    <w:p>
      <w:pPr>
        <w:spacing w:after="0" w:line="4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form. The Company tests its products at various stages in the manufacturing process, performs high temperature burn-in on finished products and conducts numerous quality control inspections throughout the entire production flow. In addition, the Company uses its proprietary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AMBYX™ line of intelligent test and burn-in systems to perform simultaneous circuit tests of DRAM die during the burn-in process, capturing quality and reliability data and reducing testing time and cost.</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 significant portion of the Company’s memory products are assembled into memory modules for sale to customers. Memory modules consist of an array of memory components attached to printed circuit boards (“PCBs”) that connect to computer systems or other electronic devices. Memory components are attached to PCBs in a soldering process performed by screen printing machines and high speed automated pick and place machines. Completed modules are tested by custom equipment and visually inspected.</w:t>
      </w:r>
    </w:p>
    <w:p>
      <w:pPr>
        <w:spacing w:after="0" w:line="187"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In 2004, the Company qualified its first product at its 300mm wafer fabrication plant in Virginia. The 512 Meg DDR device was produced on the Company’s 110nm process technology and is the industry’s first memory device in production to utilize copper interconnects. The Company is ramping production at the Virginia wafer fabrication facility. As of the end of 2004, production at the Virginia facility had not reached levels necessary to achieve mature product yield and cost-efficient utilization of the facility. The Company is assessing which of its other facilities will be converted to 300mm wafer fabrication and when those facilities will be converted.</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TECH Semiconductor Singapore Pte. Ltd. (“TECH”) </w:t>
      </w:r>
      <w:r>
        <w:rPr>
          <w:rFonts w:ascii="Arial" w:cs="Arial" w:eastAsia="Arial" w:hAnsi="Arial"/>
          <w:sz w:val="17"/>
          <w:szCs w:val="17"/>
          <w:color w:val="auto"/>
        </w:rPr>
        <w:t>TECH is a memory manufacturing joint venture in Singapore among Micron Technology,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Singapore Economic Development Board, Canon Inc. and Hewlett-Packard Company. TECH’s semiconductor manufacturing facilities use the Company’s product and process technology. Subject to specific terms and conditions, the Company has agreed to purchase all of the products manufactured by TECH. TECH supplied approximately 30%, 30% and 20% of the total megabits of memory produced by the Company in 2004, 2003 and 2002, respectively. The Company generally purchases semiconductor memory products from TECH at prices determined quarterly, based on a discount from average selling prices realized by the Company for the immediately preceding fiscal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29"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The Company’s production processes require raw materials that meet exacting standards, including several that are customized for, or unique to, the Company. The Company generally has multiple sources of supply; however, only a limited number of suppliers are capable of delivering certain raw materials that meet the Company’s standards. Various factors could reduce the availability of raw materials such as silicon wafers, photomasks, chemicals, gases, lead frames, molding compound and other materials. In addition, any transportation problems could delay the Company’s receipt of raw materials. Although raw materials shortages or transportation problems have not interrupted the Company’s operations in the past, shortages may occur from time to time in the future. Also, lead times for the supply of raw materials have been extended in the past. If the Company’s supply of raw materials is interrupted, or lead times are extended, results of operations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Customers</w:t>
      </w:r>
    </w:p>
    <w:p>
      <w:pPr>
        <w:spacing w:after="0" w:line="229"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The Company’s products are sold into computing and consumer, networking and telecommunications, and imaging markets. Approximately 75% of the Company’s net sales for 2004 were to the computing market. Sales to both Dell Computer Corporation and Hewlett-Packard Company exceeded 10% of the Company’s net sales in 2004, 2003 and 2002, and aggregated 27%, 28% and 28% of the Company’s net sales in 2004, 2003 and 2002, respectively.</w:t>
      </w:r>
    </w:p>
    <w:p>
      <w:pPr>
        <w:spacing w:after="0" w:line="14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markets its semiconductor products primarily through its own direct sales force. The Company maintains inventory at locations in close proximity to certain key customers to facilitate rapid delivery of product shipments. The Company’s products are also offered through independent sales representatives, distributors and Crucial Technology, the Company’s web-based customer direct sales division. The Company’s products are offered under the Micron, SpecTek and Crucial brand names, and under other private labels. The Company maintains sales offices in all of its primary markets around the world. Independent sales representatives obtain orders subject to final acceptance by the Company and are compensated on a commission basis. The Company makes shipments against these orders directly to the customer. Distributors carry the Company’s products in inventory and typically sell a variety of other semiconductor products, including competitors’ products.</w:t>
      </w:r>
    </w:p>
    <w:p>
      <w:pPr>
        <w:spacing w:after="0" w:line="178"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Segmentation of the DRAM market continues, with diverse memory needs being driven by the different requirements of desktop and notebook personal computers, servers, workstations, handheld devices, and communications, industrial and other applications that demand specific memory solutions. Many of the Company’s customers require a thorough review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qualification of semiconductor products, which may take several months. As the Company further diversifies its product lines and reduces the die sizes of existing memory products, more products become subject to qualification which may delay volume introduction of specific devices by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Volatile industry conditions make customers reluctant to enter into long-term, fixed-price contracts. Accordingly, new order volumes for the Company’s semiconductor products fluctuate significantly. Orders are typically accepted with acknowledgment that the terms may be adjusted to reflect market conditions at the date of shipment. Customers can change delivery schedules or cancel orders without significant penalty. For these reasons, the Company does not believe that its order backlog as of any particular date is a reliable indicator of actual sales for any succeeding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22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Because the design and manufacturing process for semiconductor products is highly complex, it is possible that the Company may produce products that do not comply with customer specifications, contain defects or are otherwise incompatible with end uses. In accordance with industry practice, the Company</w:t>
      </w:r>
    </w:p>
    <w:p>
      <w:pPr>
        <w:sectPr>
          <w:pgSz w:w="11900" w:h="16881" w:orient="portrait"/>
          <w:cols w:equalWidth="0" w:num="1">
            <w:col w:w="11420"/>
          </w:cols>
          <w:pgMar w:left="240" w:top="125" w:right="239" w:bottom="0" w:gutter="0" w:footer="0" w:header="0"/>
        </w:sectPr>
      </w:pPr>
    </w:p>
    <w:bookmarkStart w:id="4" w:name="page5"/>
    <w:bookmarkEnd w:id="4"/>
    <w:p>
      <w:pPr>
        <w:ind w:right="60"/>
        <w:spacing w:after="0" w:line="257" w:lineRule="auto"/>
        <w:rPr>
          <w:sz w:val="20"/>
          <w:szCs w:val="20"/>
          <w:color w:val="auto"/>
        </w:rPr>
      </w:pPr>
      <w:r>
        <w:rPr>
          <w:rFonts w:ascii="Arial" w:cs="Arial" w:eastAsia="Arial" w:hAnsi="Arial"/>
          <w:sz w:val="18"/>
          <w:szCs w:val="18"/>
          <w:color w:val="auto"/>
        </w:rPr>
        <w:t>generally provides a limited warranty that its products are in compliance with Company specifications existing at the 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impose more extensive liability than that provided under the Company’s general terms and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faces intense competition from a number of companies, including Elpida Memory, Inc., Hynix Semiconductor Inc., Infineon Technologies AG and Samsung Electronics Co., Ltd. Additionally, the Company faces competition from emerging companies in Taiwan and China who have announced plans to significantly expand the scale of their operations. Some of the Company’s competitors are large corporations or conglomerates that may have greater resources to withstand downturns in the semiconductor markets in which the Company competes, invest in technology and capitalize on growth opportunities. The Company’s competitors seek to increase silicon capacity, improve yields, reduce die size and minimize mask levels in their product designs. These factors have significantly increased worldwide supply and put downward pressure on prices.</w:t>
      </w:r>
    </w:p>
    <w:p>
      <w:pPr>
        <w:spacing w:after="0" w:line="17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Historically, various governments have provided economic assistance to international competitors, which has enabled, or artificially supported, competitors’ production of semiconductor memory, particularly DRAM. This factor may continue to affect the supply of DRAM and other semiconductor products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To compete in the semiconductor memory industry, the Company must continue to develop technologically advanced products and processes. The Company believes that expansion of its semiconductor product offerings is necessary to meet expected market demand for specific memory solutions. The Company has several product design centers around the world, the largest located at its corporate headquarters in Boise, Idaho. In addition, the Company has a facility at its Boise site to develop leading edge photolithography mask technology.</w:t>
      </w:r>
    </w:p>
    <w:p>
      <w:pPr>
        <w:spacing w:after="0" w:line="1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R&amp;D expenses vary primarily with the number of development wafers processed, the cost of advanced equipment dedicated to new product and process development, and personnel costs. Because of the lead times necessary to manufacture the Company’s products, the Company typically begins to process wafers before completion of performance and reliability testing. The Company deems development of a product complete once the product has been thoroughly reviewed and tested for performance and reliability and is internally qualified for sale to customers. R&amp;D expenses can vary significantly depending on the timing of product qualification. Product development costs are recorded as R&amp;D expense. The Company’s R&amp;D expenses were $754.9 million, $656.4 million and $561.3 million in 2004, 2003 and 2002, respectively.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Company’s process technology R&amp;D efforts are focused primarily on development of 95nm and 78nm and smaller line-width process technologies, which are designed to facilitate the Company’s transition to next generation products. Additional R&amp;D efforts include process development to support the Company’s 300mm wafer manufacturing, CMOS image sensors, Flash memory, Specialty memory products including PSRAM and RLDRAM and new memory manufacturing materials. Efforts toward the design and development of new products are concentrated on the Company’s 512 Meg and 1 Gig DDR, DDR2 and DDR3 DRAM products as well as NAND Flash memory, CMOS image sensors and Specialty memory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Sales</w:t>
      </w:r>
    </w:p>
    <w:p>
      <w:pPr>
        <w:spacing w:after="0" w:line="229" w:lineRule="exact"/>
        <w:rPr>
          <w:sz w:val="20"/>
          <w:szCs w:val="20"/>
          <w:color w:val="auto"/>
        </w:rPr>
      </w:pPr>
    </w:p>
    <w:p>
      <w:pPr>
        <w:jc w:val="both"/>
        <w:ind w:right="460" w:firstLine="324"/>
        <w:spacing w:after="0" w:line="259" w:lineRule="auto"/>
        <w:rPr>
          <w:sz w:val="20"/>
          <w:szCs w:val="20"/>
          <w:color w:val="auto"/>
        </w:rPr>
      </w:pPr>
      <w:r>
        <w:rPr>
          <w:rFonts w:ascii="Arial" w:cs="Arial" w:eastAsia="Arial" w:hAnsi="Arial"/>
          <w:sz w:val="18"/>
          <w:szCs w:val="18"/>
          <w:color w:val="auto"/>
        </w:rPr>
        <w:t>Sales to customers outside the United States totaled $2.6 billion for 2004 and included $863.7 million in sales to Europe, $559.8 million in sales to China, $354.8 million in sales to Japan and $632.9 million in sales to the rest of the Asia Pacific region, excluding China and Japan. International sales totaled $1.7 billion for 2003 and $1.4 billion for 2002. (See “Item 8. Financial Statements and Supplementary Data – Notes to Consolidated Financial Statements – Geographic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Licenses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of September 2, 2004, the Company owned approximately 11,300 U.S. patents and 1,000 foreign patents. In addition, the Company has numerous U.S. and foreign patent applications pending. The Company’s patents have terms expiring through 2023.</w:t>
      </w:r>
    </w:p>
    <w:p>
      <w:pPr>
        <w:spacing w:after="0" w:line="170"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The Company has a number of patent and intellectual property license agreements. Some of these license agreements require the Company to make one time or periodic payments. The Company may need to obtain additional patent licenses or renew existing license agreements in the future. The Company is unable to predict whether these license agreements can be obtained or renewed on acceptable terms.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of September 2, 2004, the Company had approximately 17,900 employees, including approximately 11,900 in the United States, 2,700 in Singapore, 1,700 in Italy, 1,100 in Japan and 300 in the United Kingdom. The Company’s employees in Italy are represented by labor organizations that have entered into national and local labor contracts with the Company. The Company’s employment levels can vary depending on market conditions and the level of the Company’s production, research and product and process development. Many of the Company’s employees are highly skilled, and the Company’s continued success depends in part upon its ability to attract and retain such employees. The loss of key Company personnel could have a material adverse effect on the Company’s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Government regulations impose various environmental controls on discharges, emissions and solid wastes from the Company’s manufacturing processes. In 2004, the Company’s wafer fabrication facilities continued to conform to the requirements of ISO 14001 certification. To continue certification, the Company met annual requirements in environmental policy, compliance,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regulations, changes in the regulations could necessitate additional capital expenditures, modification of operations or other compliance actions.</w:t>
      </w:r>
    </w:p>
    <w:p>
      <w:pPr>
        <w:sectPr>
          <w:pgSz w:w="11900" w:h="16838" w:orient="portrait"/>
          <w:cols w:equalWidth="0" w:num="1">
            <w:col w:w="11380"/>
          </w:cols>
          <w:pgMar w:left="240" w:top="125" w:right="27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Registrant</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Officers of the Company are appointed annually by the Board of Directors. Directors of the Company are elected annually by the shareholders of the Company.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pacing w:after="0" w:line="16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of September 2, 2004, the following executive officers and directors of the Company were subject to the reporting requirements of Section 16(a) of the Securities Exchange Act of 1934, as amended.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Age</w:t>
            </w:r>
          </w:p>
        </w:tc>
        <w:tc>
          <w:tcPr>
            <w:tcW w:w="6640" w:type="dxa"/>
            <w:vAlign w:val="bottom"/>
          </w:tcPr>
          <w:p>
            <w:pPr>
              <w:ind w:left="30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32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Chief Executive Officer and President</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Kipp A. Bedard</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3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Vice President of Investor Relations</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M. Donnelly</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32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Computing and Consumer Group</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Jan du Preez</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Vice President of Networking and Communications Group</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Mark Durcan</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32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Chief Technical Officer and Vice President of Research and Development</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Robert J. Gove</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Vice President of Imaging Group</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L. Hawkins</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32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Operations</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Roderic W. Lewis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3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Vice President of Legal Affairs, General Counsel and Corporate Secretary</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 Sadler</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32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Worldwide Sales</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Wilbur G. Stover, Jr.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3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32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Ronald C. Foster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3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Lothrop</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w:t>
            </w:r>
          </w:p>
        </w:tc>
        <w:tc>
          <w:tcPr>
            <w:tcW w:w="32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Thomas T. Nicholson</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3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C. Smith</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32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William P. Weber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3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i w:val="1"/>
          <w:iCs w:val="1"/>
          <w:color w:val="auto"/>
        </w:rPr>
        <w:t xml:space="preserve">Steven R. Appleton </w:t>
      </w:r>
      <w:r>
        <w:rPr>
          <w:rFonts w:ascii="Arial" w:cs="Arial" w:eastAsia="Arial" w:hAnsi="Arial"/>
          <w:sz w:val="17"/>
          <w:szCs w:val="17"/>
          <w:color w:val="auto"/>
        </w:rPr>
        <w:t>joined the Company in February 1983 and has served in various capacities with the Company and its subsidiaries. Mr. Appleton first</w:t>
      </w:r>
      <w:r>
        <w:rPr>
          <w:rFonts w:ascii="Arial" w:cs="Arial" w:eastAsia="Arial" w:hAnsi="Arial"/>
          <w:sz w:val="17"/>
          <w:szCs w:val="17"/>
          <w:i w:val="1"/>
          <w:iCs w:val="1"/>
          <w:color w:val="auto"/>
        </w:rPr>
        <w:t xml:space="preserve"> </w:t>
      </w:r>
      <w:r>
        <w:rPr>
          <w:rFonts w:ascii="Arial" w:cs="Arial" w:eastAsia="Arial" w:hAnsi="Arial"/>
          <w:sz w:val="17"/>
          <w:szCs w:val="17"/>
          <w:color w:val="auto"/>
        </w:rPr>
        <w:t>became an officer of the Company in August 1989 and has served in various officer positions with the Company since that time. From April 1991 until July 1992 and since May 1994, Mr. Appleton has served on the Company’s Board of Directors. Since September 1994, Mr. Appleton has served as the Chief Executive Officer, President and Chairman of the Board of Directors of the Company. Mr. Appleton is a member of the Board of Directors of National Semiconductor Corporation. Mr. Appleton holds a BA in Business Management from Boise State University.</w:t>
      </w:r>
    </w:p>
    <w:p>
      <w:pPr>
        <w:spacing w:after="0" w:line="173"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i w:val="1"/>
          <w:iCs w:val="1"/>
          <w:color w:val="auto"/>
        </w:rPr>
        <w:t xml:space="preserve">Kipp A. Bedard </w:t>
      </w:r>
      <w:r>
        <w:rPr>
          <w:rFonts w:ascii="Arial" w:cs="Arial" w:eastAsia="Arial" w:hAnsi="Arial"/>
          <w:sz w:val="17"/>
          <w:szCs w:val="17"/>
          <w:color w:val="auto"/>
        </w:rPr>
        <w:t>joined the Company in November 1983 and has served in various capacities with the Company and its subsidiaries. Mr. Bedard first</w:t>
      </w:r>
      <w:r>
        <w:rPr>
          <w:rFonts w:ascii="Arial" w:cs="Arial" w:eastAsia="Arial" w:hAnsi="Arial"/>
          <w:sz w:val="17"/>
          <w:szCs w:val="17"/>
          <w:i w:val="1"/>
          <w:iCs w:val="1"/>
          <w:color w:val="auto"/>
        </w:rPr>
        <w:t xml:space="preserve"> </w:t>
      </w:r>
      <w:r>
        <w:rPr>
          <w:rFonts w:ascii="Arial" w:cs="Arial" w:eastAsia="Arial" w:hAnsi="Arial"/>
          <w:sz w:val="17"/>
          <w:szCs w:val="17"/>
          <w:color w:val="auto"/>
        </w:rPr>
        <w:t>became an officer of the Company in April 1990 and has served in various officer positions since that time. Since January 1994, Mr. Bedard has served as Vice President of Investor Relations for the Company. Mr. Bedard holds a BBA in Accounting from Boise State University.</w:t>
      </w:r>
    </w:p>
    <w:p>
      <w:pPr>
        <w:spacing w:after="0" w:line="166"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i w:val="1"/>
          <w:iCs w:val="1"/>
          <w:color w:val="auto"/>
        </w:rPr>
        <w:t xml:space="preserve">Robert M. Donnelly </w:t>
      </w:r>
      <w:r>
        <w:rPr>
          <w:rFonts w:ascii="Arial" w:cs="Arial" w:eastAsia="Arial" w:hAnsi="Arial"/>
          <w:sz w:val="18"/>
          <w:szCs w:val="18"/>
          <w:color w:val="auto"/>
        </w:rPr>
        <w:t>joined the Company in September 1988 and has served in various technical positions with the Company and its subsidiaries. Mr.</w:t>
      </w:r>
      <w:r>
        <w:rPr>
          <w:rFonts w:ascii="Arial" w:cs="Arial" w:eastAsia="Arial" w:hAnsi="Arial"/>
          <w:sz w:val="18"/>
          <w:szCs w:val="18"/>
          <w:i w:val="1"/>
          <w:iCs w:val="1"/>
          <w:color w:val="auto"/>
        </w:rPr>
        <w:t xml:space="preserve"> </w:t>
      </w:r>
      <w:r>
        <w:rPr>
          <w:rFonts w:ascii="Arial" w:cs="Arial" w:eastAsia="Arial" w:hAnsi="Arial"/>
          <w:sz w:val="18"/>
          <w:szCs w:val="18"/>
          <w:color w:val="auto"/>
        </w:rPr>
        <w:t>Donnelly first became an officer of the Company in August 1989 and has served in various officer positions since that time. Mr. Donnelly holds a BS in Electrical Engineering from the University of Louisville.</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Jan du Preez </w:t>
      </w:r>
      <w:r>
        <w:rPr>
          <w:rFonts w:ascii="Arial" w:cs="Arial" w:eastAsia="Arial" w:hAnsi="Arial"/>
          <w:sz w:val="18"/>
          <w:szCs w:val="18"/>
          <w:color w:val="auto"/>
        </w:rPr>
        <w:t>joined the Company in June 2002 as Vice President of Networking and Communications Group. Mr. du Preez served as the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Infineon Technologies North America Corporation from August 2000 until he joined the Company in June 2002. From October 1996 through July 2000, Mr. du Preez served as the Vice President of Memory Products Group for Infineon Technologies North America Corporation (formerly Siemens Semiconductors). Mr. du Preez holds Bachelors Degrees in Public Administration and Business Economics from the University of Pretoria and a Masters Degree in Commerce from Rand University.</w:t>
      </w:r>
    </w:p>
    <w:p>
      <w:pPr>
        <w:spacing w:after="0" w:line="188"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i w:val="1"/>
          <w:iCs w:val="1"/>
          <w:color w:val="auto"/>
        </w:rPr>
        <w:t xml:space="preserve">D. Mark Durcan </w:t>
      </w:r>
      <w:r>
        <w:rPr>
          <w:rFonts w:ascii="Arial" w:cs="Arial" w:eastAsia="Arial" w:hAnsi="Arial"/>
          <w:sz w:val="16"/>
          <w:szCs w:val="16"/>
          <w:color w:val="auto"/>
        </w:rPr>
        <w:t>joined the Company in June 1984 and has served in various technical positions with the Company and its subsidiaries since that time.</w:t>
      </w:r>
      <w:r>
        <w:rPr>
          <w:rFonts w:ascii="Arial" w:cs="Arial" w:eastAsia="Arial" w:hAnsi="Arial"/>
          <w:sz w:val="16"/>
          <w:szCs w:val="16"/>
          <w:i w:val="1"/>
          <w:iCs w:val="1"/>
          <w:color w:val="auto"/>
        </w:rPr>
        <w:t xml:space="preserve"> </w:t>
      </w:r>
      <w:r>
        <w:rPr>
          <w:rFonts w:ascii="Arial" w:cs="Arial" w:eastAsia="Arial" w:hAnsi="Arial"/>
          <w:sz w:val="16"/>
          <w:szCs w:val="16"/>
          <w:color w:val="auto"/>
        </w:rPr>
        <w:t>Mr. Durcan served as Vice President, Process Research and Development from June 1996 through June 1997, at which time he became Chief Technical Officer and Vice President of Research and Development. Mr. Durcan holds a BS and MChE in Chemical Engineering from Rice University.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 xml:space="preserve">Robert J. Gove </w:t>
      </w:r>
      <w:r>
        <w:rPr>
          <w:rFonts w:ascii="Arial" w:cs="Arial" w:eastAsia="Arial" w:hAnsi="Arial"/>
          <w:sz w:val="18"/>
          <w:szCs w:val="18"/>
          <w:color w:val="auto"/>
        </w:rPr>
        <w:t>joined the Company in March 1999 as Senior Director of Engineering and has served in various positions with the Company. In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2002, he was appointed Vice President of Imaging. Prior to joining the Company, Mr. Gove served as Vice President, Engineering, of Equator Technologies, Inc. Mr. Gove holds a BS in Electrical Engineering from the University of Washington and an MS in Electrical Engineering and Ph.D. in Electrical Engineering from Southern Methodist University.</w:t>
      </w:r>
    </w:p>
    <w:p>
      <w:pPr>
        <w:spacing w:after="0" w:line="187" w:lineRule="exact"/>
        <w:rPr>
          <w:sz w:val="20"/>
          <w:szCs w:val="20"/>
          <w:color w:val="auto"/>
        </w:rPr>
      </w:pPr>
    </w:p>
    <w:p>
      <w:pPr>
        <w:jc w:val="both"/>
        <w:ind w:right="640" w:firstLine="324"/>
        <w:spacing w:after="0" w:line="264" w:lineRule="auto"/>
        <w:rPr>
          <w:sz w:val="20"/>
          <w:szCs w:val="20"/>
          <w:color w:val="auto"/>
        </w:rPr>
      </w:pPr>
      <w:r>
        <w:rPr>
          <w:rFonts w:ascii="Arial" w:cs="Arial" w:eastAsia="Arial" w:hAnsi="Arial"/>
          <w:sz w:val="18"/>
          <w:szCs w:val="18"/>
          <w:i w:val="1"/>
          <w:iCs w:val="1"/>
          <w:color w:val="auto"/>
        </w:rPr>
        <w:t xml:space="preserve">Jay L. Hawkins </w:t>
      </w:r>
      <w:r>
        <w:rPr>
          <w:rFonts w:ascii="Arial" w:cs="Arial" w:eastAsia="Arial" w:hAnsi="Arial"/>
          <w:sz w:val="18"/>
          <w:szCs w:val="18"/>
          <w:color w:val="auto"/>
        </w:rPr>
        <w:t>joined the Company in March 1984 and has served in various manufacturing positions for the Company and its subsidiaries. Mr.</w:t>
      </w:r>
      <w:r>
        <w:rPr>
          <w:rFonts w:ascii="Arial" w:cs="Arial" w:eastAsia="Arial" w:hAnsi="Arial"/>
          <w:sz w:val="18"/>
          <w:szCs w:val="18"/>
          <w:i w:val="1"/>
          <w:iCs w:val="1"/>
          <w:color w:val="auto"/>
        </w:rPr>
        <w:t xml:space="preserve"> </w:t>
      </w:r>
      <w:r>
        <w:rPr>
          <w:rFonts w:ascii="Arial" w:cs="Arial" w:eastAsia="Arial" w:hAnsi="Arial"/>
          <w:sz w:val="18"/>
          <w:szCs w:val="18"/>
          <w:color w:val="auto"/>
        </w:rPr>
        <w:t>Hawkins served as Vice President, Manufacturing Administration from February 1996 through June 1997, at which time he became Vice President of Operations. Mr. Hawkins holds a BBA in Marketing from Boise State University.</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 xml:space="preserve">Roderic W. Lewis </w:t>
      </w:r>
      <w:r>
        <w:rPr>
          <w:rFonts w:ascii="Arial" w:cs="Arial" w:eastAsia="Arial" w:hAnsi="Arial"/>
          <w:sz w:val="18"/>
          <w:szCs w:val="18"/>
          <w:color w:val="auto"/>
        </w:rPr>
        <w:t>joined the Company in August 1991 and has served in various capacities with the Company and its subsidiaries. Mr. Lewis has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Vice President of Legal Affairs, General Counsel and Corporate Secretary since July 1996. Mr. Lewis holds a BA in Economics and Asian Studies from Brigham Young University and a JD from Columbia University School of Law.</w:t>
      </w:r>
    </w:p>
    <w:p>
      <w:pPr>
        <w:spacing w:after="0" w:line="181"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i w:val="1"/>
          <w:iCs w:val="1"/>
          <w:color w:val="auto"/>
        </w:rPr>
        <w:t xml:space="preserve">Michael W. Sadler </w:t>
      </w:r>
      <w:r>
        <w:rPr>
          <w:rFonts w:ascii="Arial" w:cs="Arial" w:eastAsia="Arial" w:hAnsi="Arial"/>
          <w:sz w:val="18"/>
          <w:szCs w:val="18"/>
          <w:color w:val="auto"/>
        </w:rPr>
        <w:t>joined the Company in September 1992 as a Regional Sales Manager and has held various sales and marketing positions since that</w:t>
      </w:r>
      <w:r>
        <w:rPr>
          <w:rFonts w:ascii="Arial" w:cs="Arial" w:eastAsia="Arial" w:hAnsi="Arial"/>
          <w:sz w:val="18"/>
          <w:szCs w:val="18"/>
          <w:i w:val="1"/>
          <w:iCs w:val="1"/>
          <w:color w:val="auto"/>
        </w:rPr>
        <w:t xml:space="preserve"> </w:t>
      </w:r>
      <w:r>
        <w:rPr>
          <w:rFonts w:ascii="Arial" w:cs="Arial" w:eastAsia="Arial" w:hAnsi="Arial"/>
          <w:sz w:val="18"/>
          <w:szCs w:val="18"/>
          <w:color w:val="auto"/>
        </w:rPr>
        <w:t>time. Mr. Sadler became an officer of the Company in July 1997 and has served as Vice President of Worldwide Sales since November 2001. Mr. Sadler holds a BS in Information Systems and an MBA from the University of Santa Clara.</w:t>
      </w:r>
    </w:p>
    <w:p>
      <w:pPr>
        <w:sectPr>
          <w:pgSz w:w="11900" w:h="16838" w:orient="portrait"/>
          <w:cols w:equalWidth="0" w:num="1">
            <w:col w:w="11420"/>
          </w:cols>
          <w:pgMar w:left="240" w:top="341" w:right="239" w:bottom="0" w:gutter="0" w:footer="0" w:header="0"/>
        </w:sectPr>
      </w:pPr>
    </w:p>
    <w:bookmarkStart w:id="6" w:name="page7"/>
    <w:bookmarkEnd w:id="6"/>
    <w:p>
      <w:pPr>
        <w:ind w:right="600" w:firstLine="324"/>
        <w:spacing w:after="0" w:line="264" w:lineRule="auto"/>
        <w:rPr>
          <w:sz w:val="20"/>
          <w:szCs w:val="20"/>
          <w:color w:val="auto"/>
        </w:rPr>
      </w:pPr>
      <w:r>
        <w:rPr>
          <w:rFonts w:ascii="Arial" w:cs="Arial" w:eastAsia="Arial" w:hAnsi="Arial"/>
          <w:sz w:val="18"/>
          <w:szCs w:val="18"/>
          <w:i w:val="1"/>
          <w:iCs w:val="1"/>
          <w:color w:val="auto"/>
        </w:rPr>
        <w:t xml:space="preserve">Wilbur G. Stover, Jr. </w:t>
      </w:r>
      <w:r>
        <w:rPr>
          <w:rFonts w:ascii="Arial" w:cs="Arial" w:eastAsia="Arial" w:hAnsi="Arial"/>
          <w:sz w:val="18"/>
          <w:szCs w:val="18"/>
          <w:color w:val="auto"/>
        </w:rPr>
        <w:t>joined the Company in June 1989 and has served in various financial positions with the Company and its subsidiaries. Since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1994, Mr. Stover has served as the Company’s Vice President of Finance and Chief Financial Officer. Mr. Stover holds a BA in Business Administration from Washington State University.</w:t>
      </w:r>
    </w:p>
    <w:p>
      <w:pPr>
        <w:spacing w:after="0" w:line="18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i w:val="1"/>
          <w:iCs w:val="1"/>
          <w:color w:val="auto"/>
        </w:rPr>
        <w:t xml:space="preserve">James W. Bagley </w:t>
      </w:r>
      <w:r>
        <w:rPr>
          <w:rFonts w:ascii="Arial" w:cs="Arial" w:eastAsia="Arial" w:hAnsi="Arial"/>
          <w:sz w:val="18"/>
          <w:szCs w:val="18"/>
          <w:color w:val="auto"/>
        </w:rPr>
        <w:t>became the Chairman and Chief Executive Officer of Lam Research Corporation (“Lam”), a supplier of semiconductor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in August 1997. Mr. Bagley is a member of the Board of Directors of Teradyne, Inc. He has served on the Company’s Board of Directors since June 1997. Mr. Bagley holds a BS and MS in Electrical Engineering from Mississippi State University.</w:t>
      </w:r>
    </w:p>
    <w:p>
      <w:pPr>
        <w:spacing w:after="0" w:line="18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 xml:space="preserve">Ronald C. Foster </w:t>
      </w:r>
      <w:r>
        <w:rPr>
          <w:rFonts w:ascii="Arial" w:cs="Arial" w:eastAsia="Arial" w:hAnsi="Arial"/>
          <w:sz w:val="18"/>
          <w:szCs w:val="18"/>
          <w:color w:val="auto"/>
        </w:rPr>
        <w:t>joined the Board of Directors in June 2004. Since February 2003, Mr. Foster has served as Executive Vice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JDS Uniphase Corporation. From November 1998 to February 2003, Mr. Foster served in various management positions with Novell Corporation, including three years as Senior Vice President and Chief Financial Officer. Mr. Foster has an MBA from the University of Chicago and a BA in Economics from Whitman College.</w:t>
      </w:r>
    </w:p>
    <w:p>
      <w:pPr>
        <w:spacing w:after="0" w:line="18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i w:val="1"/>
          <w:iCs w:val="1"/>
          <w:color w:val="auto"/>
        </w:rPr>
        <w:t xml:space="preserve">Robert A. Lothrop </w:t>
      </w:r>
      <w:r>
        <w:rPr>
          <w:rFonts w:ascii="Arial" w:cs="Arial" w:eastAsia="Arial" w:hAnsi="Arial"/>
          <w:sz w:val="18"/>
          <w:szCs w:val="18"/>
          <w:color w:val="auto"/>
        </w:rPr>
        <w:t>served as Senior Vice President of J.R. Simplot Company, an agribusiness company, from January 1986 until his retirement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1991. From August 1986 until July 1992 and since May 1994, Mr. Lothrop has served on the Board of Directors of the Company. Mr. Lothrop holds a BS in Engineering from the University of Idaho.</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 xml:space="preserve">Thomas T. Nicholson </w:t>
      </w:r>
      <w:r>
        <w:rPr>
          <w:rFonts w:ascii="Arial" w:cs="Arial" w:eastAsia="Arial" w:hAnsi="Arial"/>
          <w:sz w:val="18"/>
          <w:szCs w:val="18"/>
          <w:color w:val="auto"/>
        </w:rPr>
        <w:t>has served as Vice President and a Director of Honda of Seattle and Toyota of Seattle since 1988. Mr. Nicholson served from 1982</w:t>
      </w:r>
      <w:r>
        <w:rPr>
          <w:rFonts w:ascii="Arial" w:cs="Arial" w:eastAsia="Arial" w:hAnsi="Arial"/>
          <w:sz w:val="18"/>
          <w:szCs w:val="18"/>
          <w:i w:val="1"/>
          <w:iCs w:val="1"/>
          <w:color w:val="auto"/>
        </w:rPr>
        <w:t xml:space="preserve"> </w:t>
      </w:r>
      <w:r>
        <w:rPr>
          <w:rFonts w:ascii="Arial" w:cs="Arial" w:eastAsia="Arial" w:hAnsi="Arial"/>
          <w:sz w:val="18"/>
          <w:szCs w:val="18"/>
          <w:color w:val="auto"/>
        </w:rPr>
        <w:t>to May 2000 as President, and since May 2000 as Vice President, of Mountain View Equipment Company. He has served on the Company’s Board of Directors since May 1980. Mr. Nicholson holds a BS in Agriculture from the University of Idaho.</w:t>
      </w:r>
    </w:p>
    <w:p>
      <w:pPr>
        <w:spacing w:after="0" w:line="181"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i w:val="1"/>
          <w:iCs w:val="1"/>
          <w:color w:val="auto"/>
        </w:rPr>
        <w:t xml:space="preserve">Gordon C. Smith </w:t>
      </w:r>
      <w:r>
        <w:rPr>
          <w:rFonts w:ascii="Arial" w:cs="Arial" w:eastAsia="Arial" w:hAnsi="Arial"/>
          <w:sz w:val="17"/>
          <w:szCs w:val="17"/>
          <w:color w:val="auto"/>
        </w:rPr>
        <w:t>has served as Chairman and Chief Executive Officer of G.C. Smith L.L.C., a holding company for ranch operations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since May 2000. From July 1980 to March 1994, Mr. Smith served in various management positions with J. R. Simplot Company, including four years as President and Chief Executive Officer, and seven years as Chief Financial Officer. From February 1982 until February 1984 and since September 1990, he has served on the Company’s Board of Directors. Mr. Smith holds a BS in Accounting from Idaho State University.</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William P. Weber </w:t>
      </w:r>
      <w:r>
        <w:rPr>
          <w:rFonts w:ascii="Arial" w:cs="Arial" w:eastAsia="Arial" w:hAnsi="Arial"/>
          <w:sz w:val="18"/>
          <w:szCs w:val="18"/>
          <w:color w:val="auto"/>
        </w:rPr>
        <w:t>served in various capacities with Texas Instruments Incorporated, a semiconductor manufacturing company, and its subsidiaries from</w:t>
      </w:r>
      <w:r>
        <w:rPr>
          <w:rFonts w:ascii="Arial" w:cs="Arial" w:eastAsia="Arial" w:hAnsi="Arial"/>
          <w:sz w:val="18"/>
          <w:szCs w:val="18"/>
          <w:i w:val="1"/>
          <w:iCs w:val="1"/>
          <w:color w:val="auto"/>
        </w:rPr>
        <w:t xml:space="preserve"> </w:t>
      </w:r>
      <w:r>
        <w:rPr>
          <w:rFonts w:ascii="Arial" w:cs="Arial" w:eastAsia="Arial" w:hAnsi="Arial"/>
          <w:sz w:val="18"/>
          <w:szCs w:val="18"/>
          <w:color w:val="auto"/>
        </w:rPr>
        <w:t>1962 until April 1998. From December 1986 until December 1993 he served as the President of Texas Instruments’ worldwide semiconductor operations and from December 1993 until his retirement in April 1998, he served as Vice Chairman of Texas Instruments Incorporated. He has served on the Company’s Board of Directors since July 1998. Mr. Weber holds a BS in Engineering from Lamar University and a MS in Engineering from Southern Methodist University.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family relationship between any director or executive officer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Company’s corporate headquarters and principal semiconductor manufacturing, engineering, research and development, administrative and support facilities are located in Boise, Idaho. The Company has a number of other properties including wafer fabrication facilities located in Avezzano, Italy, Nishiwaki-City, Japan, and Manassas, Virginia; a semiconductor manufacturing facility located in Lehi, Utah, a portion of which is being used to perform test operations; an assembly and test facility located on leased property in Singapore; a test facility located in Nampa, Idaho; and module assembly and test facilities located in East Kilbride, Scotland, and leased in Aguadilla, Puerto Rico. The Company also owns and leases a number of other facilities in locations throughout the world that are used for design, research and development, and sales and marketing activities.</w:t>
      </w:r>
    </w:p>
    <w:p>
      <w:pPr>
        <w:spacing w:after="0" w:line="178"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The Company’s existing facilities are suitable and adequate for its present purposes. The Company’s manufacturing facilities in Virginia and Utah are only partially utilized. A portion of the Virginia facility is being used for 300mm wafer fabrication and a portion of the Utah facility is being used for component test operations. Increased utilization of these facilities is dependent upon market conditions, including, but not limited to, worldwide market supply of, and demand for, semiconductor products and the Company’s operations, cash flows and alternative capacity utilization opportunities.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On August 28, 2000, the Company filed a complaint against Rambus, Inc. (“Rambus”) in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the Company and Reptronic (a distributor of the Company’s products) in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On August 10, 2001, Rambus filed suit against the Company and Assitec (an electronics retailer) in the Civil Court of Pavia, Italy, alleging that certain DDR SDRAM products infringe the Italian counterpart to European patent 1 022 642. In the European suits against the Company, Rambus is seeking monetary damages and injunctive relief. These lawsuits pertain to certain of the Company’s SDRAM and DDR DRAM products, which account for a significant portion of the Company’s net sales. The Company is unable to predict the outcome of these suits.</w:t>
      </w:r>
    </w:p>
    <w:p>
      <w:pPr>
        <w:spacing w:after="0" w:line="175"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On January 8, 2004, Motorola, Inc. (“Motorola”) filed suit against the Company in the U.S. District Court for the Western District of Texas (Austin) alleging infringement of ten Motorola patents. On March 15, 2004, the Company filed an answer and a counterclaim alleging infringement of seventeen of the Company’s patents. Freescale Semiconductor, Inc., a subsidiary of Motorola (“Freescale”), was later added as a party with Motorola. On March 30,</w:t>
      </w:r>
    </w:p>
    <w:p>
      <w:pPr>
        <w:sectPr>
          <w:pgSz w:w="11900" w:h="16838" w:orient="portrait"/>
          <w:cols w:equalWidth="0" w:num="1">
            <w:col w:w="11420"/>
          </w:cols>
          <w:pgMar w:left="240" w:top="341" w:right="239" w:bottom="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2004, the Company filed a separate action against Motorola in the U.S. District Court for the Western District of Wisconsin (Madison) alleging infringement of six additional of the Company’s patents, and the Company added a seventh patent in an amended complaint filed on April 23, 2004. On June 10, 2004, the Wisconsin court granted Motorola’s motion to transfer the case to Texas, and the two cases subsequently were consolidated. These lawsuits pertain to certain of the Company’s SDRAM and DDR DRAM products, which account for a significant portion of the Company’s net sales. The Company is unable to predict the outcome of these suits.</w:t>
      </w:r>
    </w:p>
    <w:p>
      <w:pPr>
        <w:spacing w:after="0" w:line="188"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Subsequent to the commencement of the DOJ investigation, a number of purported class action lawsuits were filed against the Company and other DRAM suppliers. Sixteen cases were filed between June 21, 2002, and September 19, 2002, in the following federal district courts: one in the Southern District of New York, five in the District of Idaho and ten in the Northern District of California. The foregoing federal district court cases were transferred to the U.S. District Court for the Northern District of California (San Francisco) for consolidated proceedings. On October 6, 2003, the plaintiffs filed a consolidated amended class action complaint. The consolidated amended complaint purports to be on behalf of a class of individuals and entities who purchased DRAM directly from the various DRAM suppliers during the period from approximately November 1, 2001 through at least June 30, 2002. The consolidated amended complaint alleges price-fixing in violation of the Sherman Act and seeks treble monetary damages, costs, attorneys’ fees, and an injunction against the allegedly unlawful conduct. Eight additional cases were filed between August 2, 2002, and March 11, 2003, in the following California state superior courts: five in San Francisco County, one in Santa Clara County, one in Los Angeles County and one in Humboldt County. The foregoing California state cases were transferred to San Francisco County Superior Court for consolidated proceedings. On October 15, 2003, the plaintiffs filed a consolidated amended class action complaint. The consolidated amended complaint purports to be on behalf of a class of individuals and entities who purchased DRAM indirectly from the various DRAM suppliers during the period from November 1, 2001 through June 30, 2002. The consolidated amended complaint alleges violations of California’s Cartwright Act and state unfair competition law and unjust enrichment and seeks treble monetary damages, costs, attorneys’ fees, and an injunction against the allegedly unlawful conduct. On March 16, 2004, a related case was filed in state court in Salem, Massachusetts. It purports to be on behalf of a class of individuals and entities who indirectly purchased DRAM in Massachusetts between November 1, 2001 and June 30, 2002. The complaint alleges unjust enrichment relating to the sale and pricing of DRAM products and seeks an unspecified amount of restitution. The case was removed to the Massachusetts federal district court and transferred to the U.S. District Court for the Northern District of California (San Francisco) for consolidated proceedings. However, a motion by the plaintiff to remand the case to Massachusetts is still pending. On May 25, 2004, a related case was filed in state court in Collier County, Florida. It purports to be on behalf of a class of individuals and entities who indirectly purchased DRAM in Florida and nineteen other states between November 1, 2001 and June 30, 2002. The complaint alleges violation of the Florida Deceptive and Unfair Trade Practices Act and unjust enrichment relating to the sale and pricing of DRAM products and seeks compensatory damages, costs, attorneys’ fees, and disgorgement or restitution. On August 19, 2004, a related case was filed in state court in Middlesex County, Massachusetts. It purports to be on behalf of a class of individuals and entities who indirectly purchased DRAM in Massachusetts between September 1, 2001 and June 30, 2002. The complaint alleges violations of the Massachusetts Consumer Protection Act relating to the sale and pricing of DRAM products and seeks treble monetary damages, costs, and attorneys’ fees. On September 29, 2004, a related case was filed in state court in Brooke County, West Virginia. It purports to be on behalf of a class of individuals and entities who indirectly purchased DRAM in West Virginia from at least 1999 through the filing of the complaint. The complaint alleges violations of the West Virginia Antitrust Act relating to the sale and pricing of DRAM products and seeks treble monetary damages, costs and attorneys’ fees. On October 4, 2004, a related case was filed in state court in Mecklenburg County, North Carolina. It purports to be on behalf of a class of individuals and entities who indirectly purchase DRAM and/or products containing DRAM in North Carolina between at least 1999 and the filing of the complaint. The complaint alleges violations of the North Carolina Statutes for Antitrust and Unfair Competition relating to the sale and pricing of DRAM products and seeks actual damages, treble damages, interest, costs, and attorneys’ fees. On October 5, 2004, a related case was filed in state court in Wayne County, Michigan. It purports to be on behalf of a class of individuals and entities who indirectly purchase DRAM and/or products containing DRAM in Michigan from at least 1999 through the filing of the complaint. The complaint alleges violations of the Michigan Antitrust Reform Act relating to the sale and pricing of DRAM products and seeks treble monetary damages, costs, interest, and attorneys’ fees. On October 6, 2004, a related case was filed in state court in Broward County, Florida. It purports to be on behalf of a class of individuals and entities who indirectly purchase DRAM in Florida from at least July 1999 through at least June of 2002. The complaint alleges violations of Florida Deceptive and Unfair Trade Practices Act relating to the sale and pricing of DRAM products and seeks monetary damages, restitution, costs, and attorneys’ fees.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Company is unable to predict the outcome of these suits. A court determination against the Company could result in significant liability and could have a material adverse effect on the Company’s business, results of operations or financial condition.</w:t>
      </w:r>
    </w:p>
    <w:p>
      <w:pPr>
        <w:spacing w:after="0" w:line="39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certain causes of action under California state law including a conspiracy to restrict output and fix prices on Rambus DRAM (“RDRAM”), a conspiracy to monopolize various relevant markets, intentional interference with prospective economic advantage relating to RDRAM, and unfair competition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disadvantage RDRAM. The complaint seeks treble damages, punitive damages, attorneys’ fees, costs, and a permanent injunction enjoining the defendants from the conduct alleged in the complaint. The Company is unable to predict the outcome of the suit. A court determination against the Company could result in significant liability and could have a material adverse effect on the Company’s business, results of operations or financial condition.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7. Management’s Discussion and Analysis of Financial Condition and Results of Operations - Certain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matters submitted to a vote of security holders during the fourth quarter of 2004.</w:t>
      </w:r>
    </w:p>
    <w:p>
      <w:pPr>
        <w:sectPr>
          <w:pgSz w:w="11900" w:h="16838" w:orient="portrait"/>
          <w:cols w:equalWidth="0" w:num="1">
            <w:col w:w="11400"/>
          </w:cols>
          <w:pgMar w:left="240" w:top="125" w:right="259" w:bottom="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Company’s common stock is listed on the New York Stock Exchange and is traded under the symbol “MU.” The following table represents the high and low closing sales prices for the Company’s common stock for each quarter of 2004 and 2003, as reported by Bloomberg L.P.</w:t>
      </w:r>
    </w:p>
    <w:p>
      <w:pPr>
        <w:spacing w:after="0" w:line="138"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2004:</w:t>
            </w:r>
          </w:p>
        </w:tc>
        <w:tc>
          <w:tcPr>
            <w:tcW w:w="1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4th quarter</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15.31</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3rd quarter</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2nd quarter</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1st quarter</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4th quarter</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15.38</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3rd quarter</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2nd quarter</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1st quarter</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5, 2004, there were 3,944 shareholders of record of the Company’s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Company has not declared or paid cash dividends since 1996 and does not intend to pay cash dividends on its common stock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The information required by this item is incorporated by reference to the information set forth in Item 12 of this Annual Report on Form 10-K.</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2004</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2003</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2002</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2001</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80" w:type="dxa"/>
            <w:vAlign w:val="bottom"/>
            <w:gridSpan w:val="5"/>
          </w:tcPr>
          <w:p>
            <w:pPr>
              <w:jc w:val="right"/>
              <w:ind w:right="591"/>
              <w:spacing w:after="0"/>
              <w:rPr>
                <w:sz w:val="20"/>
                <w:szCs w:val="20"/>
                <w:color w:val="auto"/>
              </w:rPr>
            </w:pPr>
            <w:r>
              <w:rPr>
                <w:rFonts w:ascii="Arial" w:cs="Arial" w:eastAsia="Arial" w:hAnsi="Arial"/>
                <w:sz w:val="14"/>
                <w:szCs w:val="14"/>
                <w:b w:val="1"/>
                <w:bCs w:val="1"/>
                <w:color w:val="auto"/>
                <w:w w:val="99"/>
              </w:rPr>
              <w:t>(amounts in millions except per share amounts)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4,404.2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3,091.3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2,589.0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3,935.9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1,314.7</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(110.6)</w:t>
            </w:r>
          </w:p>
        </w:tc>
        <w:tc>
          <w:tcPr>
            <w:tcW w:w="3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110.7</w:t>
            </w:r>
          </w:p>
        </w:tc>
        <w:tc>
          <w:tcPr>
            <w:tcW w:w="3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249.7</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(1,025.3)</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157.2</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(1,273.2)</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(907.0)</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(521.2)</w:t>
            </w:r>
          </w:p>
        </w:tc>
        <w:tc>
          <w:tcPr>
            <w:tcW w:w="3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1,547.7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from discontinued PC Operations, net of</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and minority interest</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157.2</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(1,273.2)</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(907.0)</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(625.0)</w:t>
            </w:r>
          </w:p>
        </w:tc>
        <w:tc>
          <w:tcPr>
            <w:tcW w:w="3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(0.18)</w:t>
            </w: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1,231.0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921.8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985.7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1,678.3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2,638.7</w:t>
            </w:r>
          </w:p>
        </w:tc>
        <w:tc>
          <w:tcPr>
            <w:tcW w:w="3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2,037.0</w:t>
            </w:r>
          </w:p>
        </w:tc>
        <w:tc>
          <w:tcPr>
            <w:tcW w:w="3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2,118.8</w:t>
            </w:r>
          </w:p>
        </w:tc>
        <w:tc>
          <w:tcPr>
            <w:tcW w:w="3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3,137.7</w:t>
            </w:r>
          </w:p>
        </w:tc>
        <w:tc>
          <w:tcPr>
            <w:tcW w:w="3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4,712.7</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4,510.5</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4,699.5</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4,704.1</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7,760.0</w:t>
            </w:r>
          </w:p>
        </w:tc>
        <w:tc>
          <w:tcPr>
            <w:tcW w:w="3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7,158.2</w:t>
            </w:r>
          </w:p>
        </w:tc>
        <w:tc>
          <w:tcPr>
            <w:tcW w:w="3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7,555.4</w:t>
            </w:r>
          </w:p>
        </w:tc>
        <w:tc>
          <w:tcPr>
            <w:tcW w:w="3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8,363.2</w:t>
            </w:r>
          </w:p>
        </w:tc>
        <w:tc>
          <w:tcPr>
            <w:tcW w:w="3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972.1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993.0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752.7</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687.0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1,027.9</w:t>
            </w:r>
          </w:p>
        </w:tc>
        <w:tc>
          <w:tcPr>
            <w:tcW w:w="3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997.1</w:t>
            </w:r>
          </w:p>
        </w:tc>
        <w:tc>
          <w:tcPr>
            <w:tcW w:w="3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360.8</w:t>
            </w:r>
          </w:p>
        </w:tc>
        <w:tc>
          <w:tcPr>
            <w:tcW w:w="3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445.0</w:t>
            </w:r>
          </w:p>
        </w:tc>
        <w:tc>
          <w:tcPr>
            <w:tcW w:w="3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66.5</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5,614.8</w:t>
            </w:r>
          </w:p>
        </w:tc>
        <w:tc>
          <w:tcPr>
            <w:tcW w:w="38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4,971.0</w:t>
            </w:r>
          </w:p>
        </w:tc>
        <w:tc>
          <w:tcPr>
            <w:tcW w:w="36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6,306.4</w:t>
            </w:r>
          </w:p>
        </w:tc>
        <w:tc>
          <w:tcPr>
            <w:tcW w:w="36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7,134.8</w:t>
            </w:r>
          </w:p>
        </w:tc>
        <w:tc>
          <w:tcPr>
            <w:tcW w:w="3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6,432.0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August 6, 2001, Micron Electronics, Inc. (“MEI”) completed its merger with Interland, Inc., in a stock-for-stock acquisition (the “Interland Merger”). Upon completion of the Interland Merger, MEI changed its name to Interland, Inc. (“Interland”) and the Company’s ownership interest was reduced from 61% to 43% of Interland’s outstanding common stock. On August 30, 2001, the Company contributed all of its shares of Interland common stock to the Micron Technology Foundation.</w:t>
      </w:r>
    </w:p>
    <w:p>
      <w:pPr>
        <w:spacing w:after="0" w:line="18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On May 31, 2001, MEI, then a 61% owned subsidiary of the Company, completed the disposition of its PC business. The selected financial data above presents the net effect of discontinued PC operations separate from the results of the Company’s continuing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 share amounts reflect a two-for-one stock dividend on May 1, 2000.</w:t>
      </w:r>
    </w:p>
    <w:p>
      <w:pPr>
        <w:sectPr>
          <w:pgSz w:w="11900" w:h="16838" w:orient="portrait"/>
          <w:cols w:equalWidth="0" w:num="1">
            <w:col w:w="11380"/>
          </w:cols>
          <w:pgMar w:left="240" w:top="337" w:right="279" w:bottom="0" w:gutter="0" w:footer="0" w:header="0"/>
        </w:sectPr>
      </w:pPr>
    </w:p>
    <w:bookmarkStart w:id="9" w:name="page10"/>
    <w:bookmarkEnd w:id="9"/>
    <w:p>
      <w:pPr>
        <w:ind w:right="640" w:firstLine="324"/>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Certain Factors” and “Item 8. Financial Statements and Supplementary Data – Notes to Consolidated Financial Statements.”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growth for CMOS image sensor and NAND Flash markets and allocation of wafer starts to products other than Core DRAM; “Net Sales” regarding future megabit production growth, production increases and allocation of wafer starts to DDR2 products, CMOS image sensors, PSRAM products and Flash memory products; “Gross Margin” regarding manufacturing cost reductions in future periods and relative selling prices of DDR2 and Specialty memory products; in “Selling, General and Administrative” regarding the level of expected selling, general and administrative expenses in the first quarter of 2005; in “Research and Development” regarding the level of expected research and development expenses in the first quarter of 2005; in “Income Taxes” regarding future provisions for income taxes and in “Liquidity and Capital Resources” regarding capital spending in 2005.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for the year ended September 2, 2004. All period references are to the Company’s fiscal periods unless otherwise indicated. All per share amounts are presented on a diluted basis. All tabular dollar amounts are in millions. Unless otherwise stated, all production data reflects production of the Company and its TECH joint venture.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The Company is a global manufacturer and marketer of semiconductor memory devices, principally DRAM and Flash, and CMOS image sensor devices. Its products are used in a broad range of electronic applications including personal computers, workstations, servers, cell phones, digital still cameras, and other consumer and industrial products. The Company’s customers are principally original equipment manufacturers and memory module retailers located around the globe.</w:t>
      </w:r>
    </w:p>
    <w:p>
      <w:pPr>
        <w:spacing w:after="0" w:line="187" w:lineRule="exact"/>
        <w:rPr>
          <w:sz w:val="20"/>
          <w:szCs w:val="20"/>
          <w:color w:val="auto"/>
        </w:rPr>
      </w:pPr>
    </w:p>
    <w:p>
      <w:pPr>
        <w:jc w:val="both"/>
        <w:ind w:right="20" w:firstLine="324"/>
        <w:spacing w:after="0" w:line="288" w:lineRule="auto"/>
        <w:rPr>
          <w:sz w:val="20"/>
          <w:szCs w:val="20"/>
          <w:color w:val="auto"/>
        </w:rPr>
      </w:pPr>
      <w:r>
        <w:rPr>
          <w:rFonts w:ascii="Arial" w:cs="Arial" w:eastAsia="Arial" w:hAnsi="Arial"/>
          <w:sz w:val="16"/>
          <w:szCs w:val="16"/>
          <w:color w:val="auto"/>
        </w:rPr>
        <w:t>The markets for the Company’s products behave in a manner similar to commodity markets as the products are generally standardized with selling prices that fluctuate based on industry-wide relationships of supply and demand. Enhancing operating results and strengthening financial condition in these types of markets is likely dependent upon leading the industry in low cost production, capital efficiency and return on research and development investments.</w:t>
      </w:r>
    </w:p>
    <w:p>
      <w:pPr>
        <w:ind w:right="520"/>
        <w:spacing w:after="0" w:line="261" w:lineRule="auto"/>
        <w:rPr>
          <w:sz w:val="20"/>
          <w:szCs w:val="20"/>
          <w:color w:val="auto"/>
        </w:rPr>
      </w:pPr>
      <w:r>
        <w:rPr>
          <w:rFonts w:ascii="Arial" w:cs="Arial" w:eastAsia="Arial" w:hAnsi="Arial"/>
          <w:sz w:val="18"/>
          <w:szCs w:val="18"/>
          <w:color w:val="auto"/>
        </w:rPr>
        <w:t>Historically, the semiconductor memory market has been subject to subsidization, thereby leading to the entry of new competitors and, at times, excess supply.</w:t>
      </w:r>
    </w:p>
    <w:p>
      <w:pPr>
        <w:spacing w:after="0" w:line="18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Company’s proprietary product and process technology allows sophisticated semiconductor memory and imaging devices to be manufactured with progressively smaller die sizes. Historically, the Company has been able to reduce the cost of its memory products by implementing new product and process technologies. These new technologies enable the Company to produce more megabits of memory on each wafer, primarily by reducing the size of the circuits (“shrinking”) that make up each memory cell. In 2004, the Company introduced products featuring its 6F² Hypershrink™ array architecture technology that enables it to further increase megabits produced per wafer. This 6F² technology reduces the size of memory cells approximately 20% from industry standard 8F² products without significant additional investment in equipment. The Company continually introduces new generations of products that offer lower costs per megabit and improved performance characteristics such as higher data transfer rates, reduced package size per megabit and lower power consumption.</w:t>
      </w:r>
    </w:p>
    <w:p>
      <w:pPr>
        <w:spacing w:after="0" w:line="167" w:lineRule="exact"/>
        <w:rPr>
          <w:sz w:val="20"/>
          <w:szCs w:val="20"/>
          <w:color w:val="auto"/>
        </w:rPr>
      </w:pPr>
    </w:p>
    <w:p>
      <w:pPr>
        <w:ind w:right="120" w:firstLine="366"/>
        <w:spacing w:after="0" w:line="273" w:lineRule="auto"/>
        <w:rPr>
          <w:sz w:val="20"/>
          <w:szCs w:val="20"/>
          <w:color w:val="auto"/>
        </w:rPr>
      </w:pPr>
      <w:r>
        <w:rPr>
          <w:rFonts w:ascii="Arial" w:cs="Arial" w:eastAsia="Arial" w:hAnsi="Arial"/>
          <w:sz w:val="17"/>
          <w:szCs w:val="17"/>
          <w:color w:val="auto"/>
        </w:rPr>
        <w:t>The Company has made substantial investments in its manufacturing facilities in the United States, Europe and Asia. A significant portion of semiconductor manufacturing equipment is replaced every three to five years with more advanced equipment to process leading edge technology and reduce cost per part. Because the Company owns most of its manufacturing capacity, a significant portion of the Company’s operating costs are fixed. In general, these costs do not vary with changes in the Company’s utilization of its manufacturing capacity and, accordingly, margins fluctuate with utilization. The Company must generate sufficient cash flow from operations for reinvestment in manufacturing capability or obtain external financing. Historically, the Company has accessed external markets to fund a portion of its cash requirements.</w:t>
      </w:r>
    </w:p>
    <w:p>
      <w:pPr>
        <w:spacing w:after="0" w:line="178"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Maximizing returns from investments in research and development (“R&amp;D”) is dependent on developing process technology that effectively reduces production costs, leveraging required investments across a substantial scale of production, and designing new products that can be successfully brought to market. The Company must invest heavily in R&amp;D to expand its product offering and enable development of leading-edge product and process technologies. The Company has made significant R&amp;D investments in recent periods to develop products that will enable it to enter new markets.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recent years, approximately 80% of the Company’s products were sold into computer and computer peripheral markets. The computing market for a number of decades has had an extremely high growth rate. As with any maturing market, it is likely that future growth rates will more closely parallel broader macroeconomic trends.</w:t>
      </w:r>
    </w:p>
    <w:p>
      <w:pPr>
        <w:spacing w:after="0" w:line="18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Company is strategically diversifying its business into semiconductor products other than Core DRAM. The Company’s non-Core DRAM products include Specialty memory, Flash memory and CMOS image sensors. These products leverage the Company’s competencies in semiconductor memory manufacturing and product and process technology. Non-Core DRAM products are typically of lower density and are manufactured in lower volumes than Core DRAM, and allow the Company to use prior generation processes and equipment. Unlike Core DRAM, these products are typically used in electronic devices other than computers and in many cases the Company can differentiate them from competitor’s products based on performance characteristics.</w:t>
      </w:r>
    </w:p>
    <w:p>
      <w:pPr>
        <w:spacing w:after="0" w:line="158" w:lineRule="exact"/>
        <w:rPr>
          <w:sz w:val="20"/>
          <w:szCs w:val="20"/>
          <w:color w:val="auto"/>
        </w:rPr>
      </w:pPr>
    </w:p>
    <w:p>
      <w:pPr>
        <w:ind w:right="360" w:firstLine="324"/>
        <w:spacing w:after="0" w:line="302" w:lineRule="auto"/>
        <w:rPr>
          <w:sz w:val="20"/>
          <w:szCs w:val="20"/>
          <w:color w:val="auto"/>
        </w:rPr>
      </w:pPr>
      <w:r>
        <w:rPr>
          <w:rFonts w:ascii="Arial" w:cs="Arial" w:eastAsia="Arial" w:hAnsi="Arial"/>
          <w:sz w:val="16"/>
          <w:szCs w:val="16"/>
          <w:color w:val="auto"/>
        </w:rPr>
        <w:t>Markets for some of the Company’s non-DRAM products are expected to grow rapidly, in particular the markets for NAND Flash and CMOS image sensors. The Company believes that its product and process technology and manufacturing competencies position it well to compete in these markets. Accordingly, the Company plans to allocate an increasing portion of its manufacturing capacity to these products in 2005. Success in these markets is dependent in part on the Company’s ability to timely develop new products that are well received by customers and gain sufficient market share.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ectPr>
          <w:pgSz w:w="11900" w:h="16838" w:orient="portrait"/>
          <w:cols w:equalWidth="0" w:num="1">
            <w:col w:w="11400"/>
          </w:cols>
          <w:pgMar w:left="240" w:top="125" w:right="259" w:bottom="0" w:gutter="0" w:footer="0" w:header="0"/>
        </w:sectPr>
      </w:pPr>
    </w:p>
    <w:bookmarkStart w:id="10" w:name="page11"/>
    <w:bookmarkEnd w:id="10"/>
    <w:tbl>
      <w:tblPr>
        <w:tblLayout w:type="fixed"/>
        <w:tblInd w:w="58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80" w:type="dxa"/>
            <w:vAlign w:val="bottom"/>
            <w:gridSpan w:val="5"/>
          </w:tcPr>
          <w:p>
            <w:pPr>
              <w:jc w:val="right"/>
              <w:ind w:right="90"/>
              <w:spacing w:after="0" w:line="142" w:lineRule="exact"/>
              <w:rPr>
                <w:sz w:val="20"/>
                <w:szCs w:val="20"/>
                <w:color w:val="auto"/>
              </w:rPr>
            </w:pPr>
            <w:r>
              <w:rPr>
                <w:rFonts w:ascii="Arial" w:cs="Arial" w:eastAsia="Arial" w:hAnsi="Arial"/>
                <w:sz w:val="14"/>
                <w:szCs w:val="14"/>
                <w:b w:val="1"/>
                <w:bCs w:val="1"/>
                <w:color w:val="auto"/>
              </w:rPr>
              <w:t>(amounts in millions and as a percent of net sales)</w:t>
            </w: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4,404.2</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3,091.3</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2,589.0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373"/>
              <w:spacing w:after="0"/>
              <w:rPr>
                <w:sz w:val="20"/>
                <w:szCs w:val="20"/>
                <w:color w:val="auto"/>
              </w:rPr>
            </w:pPr>
            <w:r>
              <w:rPr>
                <w:rFonts w:ascii="Arial" w:cs="Arial" w:eastAsia="Arial" w:hAnsi="Arial"/>
                <w:sz w:val="18"/>
                <w:szCs w:val="18"/>
                <w:color w:val="auto"/>
              </w:rPr>
              <w:t>1,314.7</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29.9%</w:t>
            </w:r>
          </w:p>
        </w:tc>
        <w:tc>
          <w:tcPr>
            <w:tcW w:w="300" w:type="dxa"/>
            <w:vAlign w:val="bottom"/>
          </w:tcPr>
          <w:p>
            <w:pPr>
              <w:spacing w:after="0"/>
              <w:rPr>
                <w:sz w:val="18"/>
                <w:szCs w:val="18"/>
                <w:color w:val="auto"/>
              </w:rPr>
            </w:pPr>
          </w:p>
        </w:tc>
        <w:tc>
          <w:tcPr>
            <w:tcW w:w="1180" w:type="dxa"/>
            <w:vAlign w:val="bottom"/>
          </w:tcPr>
          <w:p>
            <w:pPr>
              <w:jc w:val="right"/>
              <w:ind w:right="273"/>
              <w:spacing w:after="0"/>
              <w:rPr>
                <w:sz w:val="20"/>
                <w:szCs w:val="20"/>
                <w:color w:val="auto"/>
              </w:rPr>
            </w:pPr>
            <w:r>
              <w:rPr>
                <w:rFonts w:ascii="Arial" w:cs="Arial" w:eastAsia="Arial" w:hAnsi="Arial"/>
                <w:sz w:val="18"/>
                <w:szCs w:val="18"/>
                <w:color w:val="auto"/>
              </w:rPr>
              <w:t>(20.7)</w:t>
            </w: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(110.6)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9"/>
              </w:rPr>
              <w:t>Selling, general and administrative</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332.0</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358.2</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332.3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373"/>
              <w:spacing w:after="0"/>
              <w:rPr>
                <w:sz w:val="20"/>
                <w:szCs w:val="20"/>
                <w:color w:val="auto"/>
              </w:rPr>
            </w:pPr>
            <w:r>
              <w:rPr>
                <w:rFonts w:ascii="Arial" w:cs="Arial" w:eastAsia="Arial" w:hAnsi="Arial"/>
                <w:sz w:val="18"/>
                <w:szCs w:val="18"/>
                <w:color w:val="auto"/>
              </w:rPr>
              <w:t>754.9</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1180" w:type="dxa"/>
            <w:vAlign w:val="bottom"/>
          </w:tcPr>
          <w:p>
            <w:pPr>
              <w:jc w:val="right"/>
              <w:ind w:right="333"/>
              <w:spacing w:after="0"/>
              <w:rPr>
                <w:sz w:val="20"/>
                <w:szCs w:val="20"/>
                <w:color w:val="auto"/>
              </w:rPr>
            </w:pPr>
            <w:r>
              <w:rPr>
                <w:rFonts w:ascii="Arial" w:cs="Arial" w:eastAsia="Arial" w:hAnsi="Arial"/>
                <w:sz w:val="18"/>
                <w:szCs w:val="18"/>
                <w:color w:val="auto"/>
              </w:rPr>
              <w:t>656.4</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18"/>
                <w:szCs w:val="18"/>
                <w:color w:val="auto"/>
              </w:rPr>
            </w:pPr>
          </w:p>
        </w:tc>
        <w:tc>
          <w:tcPr>
            <w:tcW w:w="1160" w:type="dxa"/>
            <w:vAlign w:val="bottom"/>
          </w:tcPr>
          <w:p>
            <w:pPr>
              <w:jc w:val="right"/>
              <w:ind w:right="313"/>
              <w:spacing w:after="0"/>
              <w:rPr>
                <w:sz w:val="20"/>
                <w:szCs w:val="20"/>
                <w:color w:val="auto"/>
              </w:rPr>
            </w:pPr>
            <w:r>
              <w:rPr>
                <w:rFonts w:ascii="Arial" w:cs="Arial" w:eastAsia="Arial" w:hAnsi="Arial"/>
                <w:sz w:val="18"/>
                <w:szCs w:val="18"/>
                <w:color w:val="auto"/>
              </w:rPr>
              <w:t>561.3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Restructure and other charges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116.3</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73"/>
              <w:spacing w:after="0"/>
              <w:rPr>
                <w:sz w:val="20"/>
                <w:szCs w:val="20"/>
                <w:color w:val="auto"/>
              </w:rPr>
            </w:pPr>
            <w:r>
              <w:rPr>
                <w:rFonts w:ascii="Arial" w:cs="Arial" w:eastAsia="Arial" w:hAnsi="Arial"/>
                <w:sz w:val="18"/>
                <w:szCs w:val="18"/>
                <w:color w:val="auto"/>
              </w:rPr>
              <w:t>249.7</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20"/>
                <w:szCs w:val="20"/>
                <w:color w:val="auto"/>
              </w:rPr>
            </w:pPr>
          </w:p>
        </w:tc>
        <w:tc>
          <w:tcPr>
            <w:tcW w:w="1180" w:type="dxa"/>
            <w:vAlign w:val="bottom"/>
          </w:tcPr>
          <w:p>
            <w:pPr>
              <w:jc w:val="right"/>
              <w:ind w:right="273"/>
              <w:spacing w:after="0"/>
              <w:rPr>
                <w:sz w:val="20"/>
                <w:szCs w:val="20"/>
                <w:color w:val="auto"/>
              </w:rPr>
            </w:pPr>
            <w:r>
              <w:rPr>
                <w:rFonts w:ascii="Arial" w:cs="Arial" w:eastAsia="Arial" w:hAnsi="Arial"/>
                <w:sz w:val="18"/>
                <w:szCs w:val="18"/>
                <w:color w:val="auto"/>
              </w:rPr>
              <w:t>(1,186.5)</w:t>
            </w:r>
          </w:p>
        </w:tc>
        <w:tc>
          <w:tcPr>
            <w:tcW w:w="940" w:type="dxa"/>
            <w:vAlign w:val="bottom"/>
          </w:tcPr>
          <w:p>
            <w:pPr>
              <w:jc w:val="right"/>
              <w:spacing w:after="0"/>
              <w:rPr>
                <w:sz w:val="20"/>
                <w:szCs w:val="20"/>
                <w:color w:val="auto"/>
              </w:rPr>
            </w:pPr>
            <w:r>
              <w:rPr>
                <w:rFonts w:ascii="Arial" w:cs="Arial" w:eastAsia="Arial" w:hAnsi="Arial"/>
                <w:sz w:val="18"/>
                <w:szCs w:val="18"/>
                <w:color w:val="auto"/>
              </w:rPr>
              <w:t>(38.4)%</w:t>
            </w:r>
          </w:p>
        </w:tc>
        <w:tc>
          <w:tcPr>
            <w:tcW w:w="320" w:type="dxa"/>
            <w:vAlign w:val="bottom"/>
          </w:tcPr>
          <w:p>
            <w:pPr>
              <w:spacing w:after="0"/>
              <w:rPr>
                <w:sz w:val="20"/>
                <w:szCs w:val="20"/>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(1,025.3)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(39.6)%</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fiscal year is the 52 or 53-week period ending on the Thursday closest to August 31. The Company’s fiscal 2004 contained 53 weeks.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Net sales for 2004 increased by 42% as compared to 2003 primarily due to a 20% increase in megabits sold and a 16% increase in average per megabit selling prices for the Company’s memory products as a result of generally improved market conditions. During 2004, the Company increased its allocation of manufacturing capacity to Specialty memory products, including pseudo-static RAM (“PSRAM”), CMOS image sensors and legacy DRAM products. The shift in product mix contributed to the increase in average per megabit selling prices for 2004 as Specialty memory products and legacy DRAM products on average had higher selling prices per megabit than the Company’s Core DRAM products. The Company’s overall megabit production for 2004 increased approximately 23% from 2003 primarily due to manufacturing efficiencies. The growth rate in megabit production for 2004 was constrained in part by the allocation of wafers to CMOS image sensors, Specialty memory products and legacy DRAM products which do not require leading edge process technology and therefore inherently have a lower production growth rate than the Company’s advanced Core DRAM products. Megabit output per wafer is also lower for Specialty memory and legacy DRAM products because of their relatively lower density and greater complexity. Further, the Company’s diversification of product mix and prioritization of Specialty memory products necessitated production changes to optimize long-term wafer process efficiency that resulted in a temporary reduction of wafer output in 2004. DDR products constituted 57% of the Company’s net sales for both 2004 and 2003 and 20% of net sales in 2002. For 2004, megabit production was slightly higher than megabit sales. Finished goods inventories at the end of 2004 remained at relatively low levels.</w:t>
      </w:r>
    </w:p>
    <w:p>
      <w:pPr>
        <w:spacing w:after="0" w:line="16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expects to achieve significant growth in megabit production during 2005 from manufacturing efficiencies and increased wafer output resulting from the production ramp of its 300mm wafer fabrication facility. Growth in future megabit production over the next several quarters, however, is expected to be adversely affected by an increased allocation of wafers to the manufacture of DDR2 products, which have a relatively larger die size, CMOS image sensors, Specialty memory products and Flash memory.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Net sales for 2003 increased by 19% as compared to 2002, primarily due to a 44% increase in megabits of memory sold. This increase was partially offset by a 17% decrease in average selling prices in 2003 as compared to 2002 for the Company’s semiconductor memory products. Megabits produced increased 43% in 2003 as compared to 2002, principally due to manufacturing efficiencies.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Company’s reported gross margin percentage for 2004 increased to 30% from a negative 1% for 2003 primarily due to the 16% increase in average per megabit selling prices and reduced costs per megabit. In addition, compared to 2003, reported gross margin for 2004 benefited from relatively higher margins on sales of products purchased from the Company’s TECH joint venture. The Company reduced its overall average cost per megabit for 2004 as compared to 2003 through manufacturing efficiencies achieved by improving product yields and continuing its transition to products utilizing 110nm process technology and 6F² technology. The Company’s 6F² technology enables it to produce approximately 20% more potential die per wafer than standard products, which use 8F² technology. Per megabit cost reductions in the near term will be limited by the effects of increased production of DDR2 products and Specialty memory products but the Company expects that average selling prices per megabit for these products will be higher than its primary DDR product. Per megabit cost reductions will also be limited by higher costs associated with the limited volumes of production at the Company’s 300mm manufacturing facility in Virginia.</w:t>
      </w:r>
    </w:p>
    <w:p>
      <w:pPr>
        <w:spacing w:after="0" w:line="19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Company’s reported gross margin for 2003 improved as compared to 2002, primarily due to a decrease in per megabit manufacturing costs, partially offset by the 17% decrease in average selling prices for the Company’s semiconductor products and the net effects of inventory write-downs. The Company was able to significantly reduce per megabit manufacturing costs in 2003 through improvements in manufacturing efficiencies. During 2003, the Company completed its migration to 130nm process technology and continued to transition to 110nm technology.</w:t>
      </w:r>
    </w:p>
    <w:p>
      <w:pPr>
        <w:spacing w:after="0" w:line="16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b w:val="1"/>
          <w:bCs w:val="1"/>
          <w:color w:val="auto"/>
        </w:rPr>
        <w:t xml:space="preserve">Inventory write-downs: </w:t>
      </w:r>
      <w:r>
        <w:rPr>
          <w:rFonts w:ascii="Arial" w:cs="Arial" w:eastAsia="Arial" w:hAnsi="Arial"/>
          <w:sz w:val="16"/>
          <w:szCs w:val="16"/>
          <w:color w:val="auto"/>
        </w:rPr>
        <w:t>The Company records charges to cost of goods sold in accordance with generally accepted accounting principles to write down</w:t>
      </w:r>
      <w:r>
        <w:rPr>
          <w:rFonts w:ascii="Arial" w:cs="Arial" w:eastAsia="Arial" w:hAnsi="Arial"/>
          <w:sz w:val="16"/>
          <w:szCs w:val="16"/>
          <w:b w:val="1"/>
          <w:bCs w:val="1"/>
          <w:color w:val="auto"/>
        </w:rPr>
        <w:t xml:space="preserve"> </w:t>
      </w:r>
      <w:r>
        <w:rPr>
          <w:rFonts w:ascii="Arial" w:cs="Arial" w:eastAsia="Arial" w:hAnsi="Arial"/>
          <w:sz w:val="16"/>
          <w:szCs w:val="16"/>
          <w:color w:val="auto"/>
        </w:rPr>
        <w:t>the carrying values of work in process and finished goods inventories when they exceed their estimated market values. The inventory write-downs reflect estimates of future market pricing relative to the costs of production and inventory carrying values and projected timing of product sales. Many of the Company’s semiconductor components have characteristics similar to commodities that are generally standardized products with selling prices that fluctuate significantly based on industry-wide relationships of supply and demand. In recent years, a combination of global economic conditions and a slowing growth rate in demand for personal computers, coupled with worldwide increases in semiconductor production capacity, caused significant declines in average selling prices for semiconductor components. In all quarters of fiscal 2002 and 2003, market values of products held in finished goods and work in process inventories at a quarter end date were below the Company’s manufacturing cost of these products and the Company recognized a charge to cost of goods sold to write down the carrying value of inventories to their estimated market values. As such charges are recorded in advance of when inventory subject to the write-down is sold, gross margins in the period of sale are higher than they would be absent the effect of the previous write-downs. No write-down was necessary for 2004 and, as of September 2, 2004, only a de minimis amount of previous write-downs remains in ending inventory. As a result, write-downs of inventories prior to 2004 will not have a significant effect on operating results in future periods.</w:t>
      </w:r>
    </w:p>
    <w:p>
      <w:pPr>
        <w:spacing w:after="0" w:line="17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following table sets forth adjusted gross margins absent the inventory write-downs and the estimated effect of previous write-downs. These write-downs may not be infrequent or nonrecurring in nature but are a result of significant market-driven declines in average selling prices. The presentation of these adjusted amounts vary from numbers presented in accordance with U.S. GAAP and therefore may not be comparable to amounts reported by other companies. However, the Company believes this information is significant to understanding the Company’s gross margins and analyzing the Company’s gross margin trends. This non-GAAP information is important to analyzing the Company’s cost of goods sold since the effect of inventory write-downs must be separated from the manufacturing cost component in order to have a reasonable basis for understanding trends in cost of goods sold. When evaluating</w:t>
      </w:r>
    </w:p>
    <w:p>
      <w:pPr>
        <w:sectPr>
          <w:pgSz w:w="11900" w:h="16838" w:orient="portrait"/>
          <w:cols w:equalWidth="0" w:num="1">
            <w:col w:w="11420"/>
          </w:cols>
          <w:pgMar w:left="240" w:top="333" w:right="239" w:bottom="0" w:gutter="0" w:footer="0" w:header="0"/>
        </w:sectPr>
      </w:pPr>
    </w:p>
    <w:bookmarkStart w:id="11" w:name="page12"/>
    <w:bookmarkEnd w:id="11"/>
    <w:p>
      <w:pPr>
        <w:ind w:right="160"/>
        <w:spacing w:after="0" w:line="277" w:lineRule="auto"/>
        <w:rPr>
          <w:sz w:val="20"/>
          <w:szCs w:val="20"/>
          <w:color w:val="auto"/>
        </w:rPr>
      </w:pPr>
      <w:r>
        <w:rPr>
          <w:rFonts w:ascii="Arial" w:cs="Arial" w:eastAsia="Arial" w:hAnsi="Arial"/>
          <w:sz w:val="18"/>
          <w:szCs w:val="18"/>
          <w:color w:val="auto"/>
        </w:rPr>
        <w:t>performance and making decisions on how to allocate Company resources, management uses this non-GAAP data and believes investors should have access to similar data when making their investment decisions.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2004</w:t>
            </w: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40" w:type="dxa"/>
            <w:vAlign w:val="bottom"/>
            <w:gridSpan w:val="8"/>
          </w:tcPr>
          <w:p>
            <w:pPr>
              <w:jc w:val="right"/>
              <w:ind w:right="265"/>
              <w:spacing w:after="0" w:line="142" w:lineRule="exact"/>
              <w:rPr>
                <w:sz w:val="20"/>
                <w:szCs w:val="20"/>
                <w:color w:val="auto"/>
              </w:rPr>
            </w:pPr>
            <w:r>
              <w:rPr>
                <w:rFonts w:ascii="Arial" w:cs="Arial" w:eastAsia="Arial" w:hAnsi="Arial"/>
                <w:sz w:val="14"/>
                <w:szCs w:val="14"/>
                <w:b w:val="1"/>
                <w:bCs w:val="1"/>
                <w:color w:val="auto"/>
              </w:rPr>
              <w:t>(amounts in millions and as a percent of net sales)</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As reported</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1,314.7</w:t>
            </w: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(20.7)</w:t>
            </w: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(110.6)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write-downs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920" w:type="dxa"/>
            <w:vAlign w:val="bottom"/>
          </w:tcPr>
          <w:p>
            <w:pPr>
              <w:ind w:left="180"/>
              <w:spacing w:after="0" w:line="201" w:lineRule="exact"/>
              <w:rPr>
                <w:sz w:val="20"/>
                <w:szCs w:val="20"/>
                <w:color w:val="auto"/>
              </w:rPr>
            </w:pPr>
            <w:r>
              <w:rPr>
                <w:rFonts w:ascii="Arial" w:cs="Arial" w:eastAsia="Arial" w:hAnsi="Arial"/>
                <w:sz w:val="18"/>
                <w:szCs w:val="18"/>
                <w:color w:val="auto"/>
              </w:rPr>
              <w:t>Estimated effect of previous write-</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360"/>
              <w:spacing w:after="0"/>
              <w:rPr>
                <w:sz w:val="20"/>
                <w:szCs w:val="20"/>
                <w:color w:val="auto"/>
              </w:rPr>
            </w:pPr>
            <w:r>
              <w:rPr>
                <w:rFonts w:ascii="Arial" w:cs="Arial" w:eastAsia="Arial" w:hAnsi="Arial"/>
                <w:sz w:val="18"/>
                <w:szCs w:val="18"/>
                <w:color w:val="auto"/>
              </w:rPr>
              <w:t>downs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(61.0)</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(481.9)</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(700.3)</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9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 adjusted</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1,253.7</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500" w:type="dxa"/>
            <w:vAlign w:val="bottom"/>
            <w:tcBorders>
              <w:top w:val="single" w:sz="8" w:color="CCEEFF"/>
              <w:bottom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440" w:type="dxa"/>
            <w:vAlign w:val="bottom"/>
            <w:tcBorders>
              <w:top w:val="single" w:sz="8" w:color="CCEEFF"/>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580" w:type="dxa"/>
            <w:vAlign w:val="bottom"/>
          </w:tcPr>
          <w:p>
            <w:pPr>
              <w:spacing w:after="0"/>
              <w:rPr>
                <w:sz w:val="19"/>
                <w:szCs w:val="19"/>
                <w:color w:val="auto"/>
              </w:rPr>
            </w:pPr>
          </w:p>
        </w:tc>
      </w:tr>
      <w:tr>
        <w:trPr>
          <w:trHeight w:val="41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“Inventory write-downs” are calculated based on estimates of future market pricing relative to the Company’s costs of production and inventory carrying values and the projected timing of product sales. The reduction in cost of goods sold resulting from sales of written-down inventory is reflected as the “Estimated effect of previous write-downs” in the table above. The estimated effect of previous write-downs is calculated by computing cost of goods sold for each applicable period as if no write-downs had been recorded and comparing it to cost of goods sold as calculated in accordance with generally accepted accounting principles. In calculating the estimated effect of previous write-downs, the Company uses the same judgments and estimates that are used to calculate cost of goods sold.</w:t>
      </w:r>
    </w:p>
    <w:p>
      <w:pPr>
        <w:spacing w:after="0" w:line="189"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b w:val="1"/>
          <w:bCs w:val="1"/>
          <w:color w:val="auto"/>
        </w:rPr>
        <w:t xml:space="preserve">TECH Semiconductor Singapore Pte. Ltd. (“TECH”): </w:t>
      </w:r>
      <w:r>
        <w:rPr>
          <w:rFonts w:ascii="Arial" w:cs="Arial" w:eastAsia="Arial" w:hAnsi="Arial"/>
          <w:sz w:val="18"/>
          <w:szCs w:val="18"/>
          <w:color w:val="auto"/>
        </w:rPr>
        <w:t>The TECH joint venture supplied approximately 30%, 30% and 20% of the total megabits of</w:t>
      </w:r>
      <w:r>
        <w:rPr>
          <w:rFonts w:ascii="Arial" w:cs="Arial" w:eastAsia="Arial" w:hAnsi="Arial"/>
          <w:sz w:val="18"/>
          <w:szCs w:val="18"/>
          <w:b w:val="1"/>
          <w:bCs w:val="1"/>
          <w:color w:val="auto"/>
        </w:rPr>
        <w:t xml:space="preserve"> </w:t>
      </w:r>
      <w:r>
        <w:rPr>
          <w:rFonts w:ascii="Arial" w:cs="Arial" w:eastAsia="Arial" w:hAnsi="Arial"/>
          <w:sz w:val="18"/>
          <w:szCs w:val="18"/>
          <w:color w:val="auto"/>
        </w:rPr>
        <w:t>memory produced by the Company in 2004, 2003 and 2002, respectively. The Company generally purchases memory products from TECH at prices determined quarterly, based on a discount from average selling prices realized by the Company for the immediately preceding quarter. Depending on market conditions, the gross margin from the sale of TECH products may be higher or lower than the gross margin from the sale of products manufactured by the Company’s wholly-owned operations. In 2004, 2003 and 2002, the Company realized higher gross margin percentages on sales of TECH products than for products manufactured by its wholly-owned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Selling, general and administrative (“SG&amp;A”) expenses for 2004 were 7% lower than for 2003 primarily due to lower costs associated with outstanding legal matters and reduced depreciation costs, partially offset by higher levels of performance-based compensation expense and other personnel costs. Selling, general and administrative (“SG&amp;A”) expenses for 2003 were 8% higher than for 2002 primarily due to higher costs associated with outstanding legal matters. SG&amp;A expenses for the first quarter of 2005 are expected to approximate $90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the Company’s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w:t>
      </w:r>
    </w:p>
    <w:p>
      <w:pPr>
        <w:spacing w:after="0" w:line="18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R&amp;D expenses for 2004 increased 15% from 2003 principally due to an increase in development wafers processed during 2004 as the Company increased its product diversification and ramped production at its 300mm wafer fabrication facility, which primarily ran development wafers in 2004. Higher R&amp;D costs in 2004 also reflect a higher level of expenses related to CMOS image sensors, Flash memory and Specialty memory products. R&amp;D expenses for 2003 increased 17% from 2002 primarily due to an increase in development wafers processed as the Company expanded its product development efforts and began ramping production of 300mm development wafers. R&amp;D expenses for the first quarter of 2005 are expected to approximate $175 million.</w:t>
      </w:r>
    </w:p>
    <w:p>
      <w:pPr>
        <w:spacing w:after="0" w:line="158"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The Company’s process technology R&amp;D efforts are focused primarily on development of 95nm, 78nm and smaller line-width process technologies, which are designed to facilitate the Company’s transition to next generation products. Additional R&amp;D efforts include process development to support the Company’s 300mm wafer manufacturing, CMOS image sensors, Flash memory, Specialty memory products including PSRAM and reduced latency DRAM (“RLDRAM”) and new manufacturing materials. Efforts toward the design and development of new products are concentrated on the Company’s 512 Meg and 1 Gig DDR, DDR2 and DDR3 DRAM products as well as NAND Flash memory, CMOS image sensors and Specialty memory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the second quarter of 2003 the Company announced a plan to restructure its operations. The restructure plan included the shutdown of the Company’s 200mm production line in Virginia, the discontinuance of certain memory products, including SRAM and TCAM products, and an approximate 10% reduction of the Company’s worldwide workforce. In connection with the plan, the Company recorded $109.2 million of restructure charges and additional restructure-related charges of $7.1 million, which are included in cost of goods sold for 2003. The credit to restructure in 2004 primarily reflects gains on sales of equipment associated with operations shut down in the restructure. The generally higher equipment sales prices reflect improved market conditions across the semiconductor industry. The Company has substantially completed the restructure plan. As of August 28, 2003, the Company’s accounts payable and accrued expenses included $3.1 million for remaining costs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accrued in connection with the restructure plan. Through September 2, 2004, the Company had paid essentially all of the severance and other termination benefits and other costs incurred in connection with the restructure plan. The components of the restructure charge and additional restructure related charges were as follows:</w:t>
      </w:r>
    </w:p>
    <w:p>
      <w:pPr>
        <w:sectPr>
          <w:pgSz w:w="11900" w:h="16838" w:orient="portrait"/>
          <w:cols w:equalWidth="0" w:num="1">
            <w:col w:w="11440"/>
          </w:cols>
          <w:pgMar w:left="240" w:top="125" w:right="219" w:bottom="0" w:gutter="0" w:footer="0" w:header="0"/>
        </w:sectPr>
      </w:pPr>
    </w:p>
    <w:p>
      <w:pPr>
        <w:spacing w:after="0" w:line="173" w:lineRule="exact"/>
        <w:rPr>
          <w:sz w:val="20"/>
          <w:szCs w:val="20"/>
          <w:color w:val="auto"/>
        </w:rPr>
      </w:pPr>
    </w:p>
    <w:p>
      <w:pPr>
        <w:ind w:left="7700"/>
        <w:spacing w:after="0"/>
        <w:tabs>
          <w:tab w:leader="none" w:pos="8960" w:val="left"/>
        </w:tabs>
        <w:rPr>
          <w:sz w:val="20"/>
          <w:szCs w:val="20"/>
          <w:color w:val="auto"/>
        </w:rPr>
      </w:pPr>
      <w:r>
        <w:rPr>
          <w:rFonts w:ascii="Arial" w:cs="Arial" w:eastAsia="Arial" w:hAnsi="Arial"/>
          <w:sz w:val="12"/>
          <w:szCs w:val="12"/>
          <w:b w:val="1"/>
          <w:bCs w:val="1"/>
          <w:color w:val="auto"/>
        </w:rPr>
        <w:t>2004</w:t>
      </w:r>
      <w:r>
        <w:rPr>
          <w:sz w:val="20"/>
          <w:szCs w:val="20"/>
          <w:color w:val="auto"/>
        </w:rPr>
        <w:tab/>
      </w:r>
      <w:r>
        <w:rPr>
          <w:rFonts w:ascii="Arial" w:cs="Arial" w:eastAsia="Arial" w:hAnsi="Arial"/>
          <w:sz w:val="12"/>
          <w:szCs w:val="12"/>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20955</wp:posOffset>
            </wp:positionV>
            <wp:extent cx="14751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0"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-3175</wp:posOffset>
            </wp:positionV>
            <wp:extent cx="5068570" cy="53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68570" cy="5334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type w:val="continuous"/>
        </w:sectPr>
      </w:pPr>
    </w:p>
    <w:bookmarkStart w:id="12" w:name="page13"/>
    <w:bookmarkEnd w:id="12"/>
    <w:p>
      <w:pPr>
        <w:spacing w:after="0" w:line="8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Restructure charge:</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Write-down of equipment</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Severance and other termination benefits</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Write-down of intangible assets</w:t>
            </w: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ind w:left="160"/>
              <w:spacing w:after="0"/>
              <w:rPr>
                <w:sz w:val="20"/>
                <w:szCs w:val="20"/>
                <w:color w:val="auto"/>
              </w:rPr>
            </w:pPr>
            <w:r>
              <w:rPr>
                <w:rFonts w:ascii="Arial" w:cs="Arial" w:eastAsia="Arial" w:hAnsi="Arial"/>
                <w:sz w:val="18"/>
                <w:szCs w:val="18"/>
                <w:color w:val="auto"/>
              </w:rPr>
              <w:t>Total restructure charge</w:t>
            </w: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tcPr>
          <w:p>
            <w:pPr>
              <w:spacing w:after="0" w:line="201" w:lineRule="exact"/>
              <w:rPr>
                <w:sz w:val="20"/>
                <w:szCs w:val="20"/>
                <w:color w:val="auto"/>
              </w:rPr>
            </w:pPr>
            <w:r>
              <w:rPr>
                <w:rFonts w:ascii="Arial" w:cs="Arial" w:eastAsia="Arial" w:hAnsi="Arial"/>
                <w:sz w:val="18"/>
                <w:szCs w:val="18"/>
                <w:color w:val="auto"/>
              </w:rPr>
              <w:t>Other charges to write down raw materials and</w:t>
            </w: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work in process inventories</w:t>
            </w:r>
          </w:p>
        </w:tc>
        <w:tc>
          <w:tcPr>
            <w:tcW w:w="3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restructure and other charges</w:t>
            </w: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 Net</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Other operating expense for 2004 includes losses of $17.2 million from changes in currency exchange rates. Other operating income for 2004 includes $7.2 million from the Commonwealth of Virginia for meeting investment commitments at the Virginia wafer fabrication facility and net gains of $3.9 million on write-downs and disposals of semiconductor equipment. Other operating expense for 2003 includes net losses on write-downs and disposals of semiconductor equipment of $41.5 million and losses of $10.7 million from changes in currency exchange rates. Other operating expense for 2003 is net of $14.4 million in receipts from the U.S. government in connection with anti-dumping tariffs. Other operating expense for 2002 includes net losses on write-downs and disposals of semiconductor equipment of $27.3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Income taxes for 2004, 2003 and 2002 primarily reflect taxes on the Company’s non-U.S. operations. U.S. operating results are not expected to reflect an income tax provision, until such time as the Company utilizes a substantial portion of its U.S. net operating loss carryforwards and unused tax credits, as any such provision is substantially offset by a corresponding reduction in the deferred tax valuation allowance. As of September 2, 2004, the Company had aggregate U.S. tax net operating loss carryforwards of $2.8 billion and unused U.S. tax credits of $106.7 million, which expire through 2024. The Company also has unused state tax net operating loss carryforwards of $1.7 billion for tax purposes which expire through 2024 and unused state tax credits of $123.9 million for tax and financial reporting purposes which expire through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Company’s liquidity is highly dependent on average selling prices for its semiconductor memory products and the timing of capital expenditures, both of which can vary significantly from period to period. As of September 2, 2004, the Company had cash and marketable investments totaling $1,231.0 million compared to $921.8 million as of August 28, 2003.</w:t>
      </w:r>
    </w:p>
    <w:p>
      <w:pPr>
        <w:spacing w:after="0" w:line="177"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For 2004, net cash provided by operating activities was $1,158.8 million primarily reflecting improved average selling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semiconductor memory products. Cash generated from operations in 2004 principally reflects the Company’s $157.2 million of income adjusted by $1,217.5 million for non-cash depreciation and amortization expense partially offset by a $160.5 million increase in inventories consisting primarily of work in process inventories resulting from transitions in the Company’s product mix and a $130.9 million increase in accounts receivable associated with the Company’s higher level of sales.</w:t>
      </w:r>
    </w:p>
    <w:p>
      <w:pPr>
        <w:spacing w:after="0" w:line="184" w:lineRule="exact"/>
        <w:rPr>
          <w:sz w:val="20"/>
          <w:szCs w:val="20"/>
          <w:color w:val="auto"/>
        </w:rPr>
      </w:pPr>
    </w:p>
    <w:p>
      <w:pPr>
        <w:ind w:right="40" w:firstLine="324"/>
        <w:spacing w:after="0" w:line="277" w:lineRule="auto"/>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For 2004, net cash used by investing activities was $1,312.7 million including expenditures for property, plant and equipment of</w:t>
      </w:r>
      <w:r>
        <w:rPr>
          <w:rFonts w:ascii="Arial" w:cs="Arial" w:eastAsia="Arial" w:hAnsi="Arial"/>
          <w:sz w:val="17"/>
          <w:szCs w:val="17"/>
          <w:b w:val="1"/>
          <w:bCs w:val="1"/>
          <w:color w:val="auto"/>
        </w:rPr>
        <w:t xml:space="preserve"> </w:t>
      </w:r>
      <w:r>
        <w:rPr>
          <w:rFonts w:ascii="Arial" w:cs="Arial" w:eastAsia="Arial" w:hAnsi="Arial"/>
          <w:sz w:val="17"/>
          <w:szCs w:val="17"/>
          <w:color w:val="auto"/>
        </w:rPr>
        <w:t>$1,080.7 million. The Company believes that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expects 2005 capital spending to approximate $1.5 billion. As of September 2, 2004, the Company had commitments extending into 2006 of approximately $360 million for the acquisition of property, plant and equipment.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firstLine="324"/>
        <w:spacing w:after="0" w:line="303" w:lineRule="auto"/>
        <w:rPr>
          <w:sz w:val="20"/>
          <w:szCs w:val="20"/>
          <w:color w:val="auto"/>
        </w:rPr>
      </w:pPr>
      <w:r>
        <w:rPr>
          <w:rFonts w:ascii="Arial" w:cs="Arial" w:eastAsia="Arial" w:hAnsi="Arial"/>
          <w:sz w:val="16"/>
          <w:szCs w:val="16"/>
          <w:b w:val="1"/>
          <w:bCs w:val="1"/>
          <w:color w:val="auto"/>
        </w:rPr>
        <w:t xml:space="preserve">Financing Activities: </w:t>
      </w:r>
      <w:r>
        <w:rPr>
          <w:rFonts w:ascii="Arial" w:cs="Arial" w:eastAsia="Arial" w:hAnsi="Arial"/>
          <w:sz w:val="16"/>
          <w:szCs w:val="16"/>
          <w:color w:val="auto"/>
        </w:rPr>
        <w:t>For 2004, net cash provided by financing activities was $69.7 million including $450 million received from Intel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(“Intel”). Payments on equipment purchase contracts and debt were $450.6 million for 2004. In 2004, the Company received $101.1 million in net proceeds from the issuance of notes payable and sales-leaseback transactions. In the first quarter of 2004, the Company paid $67.5 million to Toshiba Corporation to redeem the 1.5 million shares of common stock issued in connection with the acquisition of the Company’s Virginia facility from Toshiba.</w:t>
      </w:r>
    </w:p>
    <w:p>
      <w:pPr>
        <w:spacing w:after="0" w:line="15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the first quarter of 2004, the Company received $450 million from Intel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300mm wafer processing capacity. In the event the Company fails to achieve certain 2005 milestones and the Company’s common stock price is then below Intel’s per share purchase price of $13.29, the Company could be obligated to pay Intel amounts not to exceed $135 million, a substantial portion of which is payable, at the Company’s election, in the Company’s common stock.</w:t>
      </w:r>
    </w:p>
    <w:p>
      <w:pPr>
        <w:spacing w:after="0" w:line="158"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In the second quarter of 2003, the Company issued $632.5 million of 2.5% Convertible Subordinated Notes (the “Notes”). Holders of the Notes may convert all or some of their Notes at any time prior to maturity, unless previously redeemed or repurchased, into the Company’s common stock at a conversion rate of 84.8320 shares for each $1,000 principal amount of the Notes. This conversion rate is equivalent to a conversion price of approximately $11.79 per share. The Company may redeem the Notes at any time after February 6, 2006, at declining premiums to par.</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Concurrent with the issuance of the Notes, the Company purchased call spread options (the “Call Spread Options”) covering 53.7 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Settlement of the Call Spread Options in cash on January 29, 2008, would result in the Company receiving an amount ranging from zero if the market price per share of the Company’s common stock is at or below $11.79 to a maximum of $343.4 million if the market price per share of the Company’s common stock is at or above $18.19.</w:t>
      </w:r>
    </w:p>
    <w:p>
      <w:pPr>
        <w:spacing w:after="0" w:line="193" w:lineRule="exact"/>
        <w:rPr>
          <w:sz w:val="20"/>
          <w:szCs w:val="20"/>
          <w:color w:val="auto"/>
        </w:rPr>
      </w:pPr>
    </w:p>
    <w:p>
      <w:pPr>
        <w:jc w:val="both"/>
        <w:ind w:right="60" w:firstLine="324"/>
        <w:spacing w:after="0" w:line="342" w:lineRule="auto"/>
        <w:rPr>
          <w:sz w:val="20"/>
          <w:szCs w:val="20"/>
          <w:color w:val="auto"/>
        </w:rPr>
      </w:pPr>
      <w:r>
        <w:rPr>
          <w:rFonts w:ascii="Arial" w:cs="Arial" w:eastAsia="Arial" w:hAnsi="Arial"/>
          <w:sz w:val="16"/>
          <w:szCs w:val="16"/>
          <w:color w:val="auto"/>
        </w:rPr>
        <w:t>During the fourth quarter of 2001, the Company received $480.2 million from the issuance of warrants to purchase 29.1 million shares of the Company’s common stock. The warrants entitle the holders to exercise their warrants and purchase shares of Common Stock for $56.00 per share (the “Exercise Price”)</w:t>
      </w:r>
    </w:p>
    <w:p>
      <w:pPr>
        <w:sectPr>
          <w:pgSz w:w="11900" w:h="16921" w:orient="portrait"/>
          <w:cols w:equalWidth="0" w:num="1">
            <w:col w:w="11400"/>
          </w:cols>
          <w:pgMar w:left="240" w:top="140" w:right="259" w:bottom="0" w:gutter="0" w:footer="0" w:header="0"/>
        </w:sectPr>
      </w:pPr>
    </w:p>
    <w:bookmarkStart w:id="13" w:name="page14"/>
    <w:bookmarkEnd w:id="13"/>
    <w:p>
      <w:pPr>
        <w:spacing w:after="0" w:line="4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September 2, 2004, there have been no exercises of warrants and all warrants issued remain outstanding.</w:t>
      </w:r>
    </w:p>
    <w:p>
      <w:pPr>
        <w:spacing w:after="0" w:line="15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from time to time, issue registered or unregistered securities to raise capital to fund a portion of its operations.</w:t>
      </w:r>
    </w:p>
    <w:p>
      <w:pPr>
        <w:spacing w:after="0" w:line="166"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table summarizes the Company’s significant contractual obligations at September 2, 2004, and the effect such</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are expected to have on the Company’s liquidity and cash flows in future periods.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Less than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4"/>
                <w:szCs w:val="14"/>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w w:val="95"/>
              </w:rPr>
              <w:t>(amounts in millions)</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87.2</w:t>
            </w: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Purchase obligations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504.2</w:t>
            </w: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1,786.7</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439.8</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obligations disclosed above do not include contractual obligations recorded on the Company’s balance sheet as current liabilities except for the current portion of long-term debt. The expected timing of payment amounts of the obligations discussed above is estimated based on current information. Timing of payments and actual amounts paid may be different depending on the time of receipt of goods or services, market prices or changes to agreed-upon amounts for some obligations.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Purchase obligations include all commitments to purchase goods or services of either a fixed or minimum quantity that meet any of the following criteria:</w:t>
      </w:r>
    </w:p>
    <w:p>
      <w:pPr>
        <w:spacing w:after="0" w:line="46" w:lineRule="exact"/>
        <w:rPr>
          <w:sz w:val="20"/>
          <w:szCs w:val="20"/>
          <w:color w:val="auto"/>
        </w:rPr>
      </w:pPr>
    </w:p>
    <w:p>
      <w:pPr>
        <w:ind w:right="180" w:firstLine="8"/>
        <w:spacing w:after="0" w:line="271"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they are noncancelable, (2) the Company would incur a penalty if the agreement was cancelled, or (3) the Company must make specified minimum payments even if it does not take delivery of the contracted products or services (“take-or-pay”). If the obligation to purchase goods or services is noncancelable, the entire value of the contract was included in the above table. If the obligation is cancelable, but the Company would incur a penalty if cancelled, the dollar amount of the penalty was included as a purchase obligation. Contracted minimum amounts specified in take-or-pay contracts are also included in the above table as they represent the portion of each contract that is a firm commitment.</w:t>
      </w:r>
    </w:p>
    <w:p>
      <w:pPr>
        <w:spacing w:after="0" w:line="17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has an agreement with its TECH joint venture to purchase all of TECH’s output of semiconductor memory components subject to specific terms and conditions. As the purchase quantities are based on qualified production output, the agreement does not contain a fixed or minimum purchase quantity and therefore the Company did not include the agreement in its purchase obligations. In addition to purchase quantities, the TECH purchase obligation fluctuates based on average selling prices for semiconductor memory components which can change significantly from period to period. In 2004, the net cost of semiconductor components purchased from TECH was $453.8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December 2003, the Financial Accounting Standards Board (“FASB”) issued a revised Interpretation No. 46, “Consolidation of Variable Interest Entities – an interpretation of ARB No. 51,” which provides guidance on the identification of and reporting for variable interest entities. The Company adopted Interpretation No. 46 in the third quarter of 2004. Adoption of Interpretation No. 46 did not have a significant impact on the Company’s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89"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8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Realizability of deferred tax assets is dependent on the Company’s ability to generate future taxable income.</w:t>
      </w:r>
    </w:p>
    <w:p>
      <w:pPr>
        <w:spacing w:after="0" w:line="188" w:lineRule="exact"/>
        <w:rPr>
          <w:sz w:val="20"/>
          <w:szCs w:val="20"/>
          <w:color w:val="auto"/>
        </w:rPr>
      </w:pPr>
    </w:p>
    <w:p>
      <w:pPr>
        <w:ind w:right="20" w:firstLine="324"/>
        <w:spacing w:after="0" w:line="295"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w:t>
      </w:r>
    </w:p>
    <w:p>
      <w:pPr>
        <w:sectPr>
          <w:pgSz w:w="11900" w:h="16885" w:orient="portrait"/>
          <w:cols w:equalWidth="0" w:num="1">
            <w:col w:w="11400"/>
          </w:cols>
          <w:pgMar w:left="240" w:top="125" w:right="259" w:bottom="0" w:gutter="0" w:footer="0" w:header="0"/>
        </w:sectPr>
      </w:pPr>
    </w:p>
    <w:bookmarkStart w:id="14" w:name="page15"/>
    <w:bookmarkEnd w:id="14"/>
    <w:p>
      <w:pPr>
        <w:ind w:right="260"/>
        <w:spacing w:after="0" w:line="277" w:lineRule="auto"/>
        <w:rPr>
          <w:sz w:val="20"/>
          <w:szCs w:val="20"/>
          <w:color w:val="auto"/>
        </w:rPr>
      </w:pPr>
      <w:r>
        <w:rPr>
          <w:rFonts w:ascii="Arial" w:cs="Arial" w:eastAsia="Arial" w:hAnsi="Arial"/>
          <w:sz w:val="18"/>
          <w:szCs w:val="18"/>
          <w:color w:val="auto"/>
        </w:rPr>
        <w:t>market adjustments can result in significant changes in the estimated net realizable value of product inventories and accordingly the amount of write-down recorded. Due to the volatile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nature of the semiconductor memory industry, actual selling prices and volumes often vary significantly from projected prices and volumes and, as a result, the timing of when product costs are charged to operations can vary significantly.</w:t>
      </w:r>
    </w:p>
    <w:p>
      <w:pPr>
        <w:spacing w:after="0" w:line="170"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U.S. GAAP provides for products to be grouped into categories in order to compare costs to market values. The amount of any inventory write-down can vary significantly depending on the determination of inventory categories. The Company’s inventory has been categorized as semiconductor memory products or CMOS image sensors. The major characteristics the Company considers in determining inventory categories are product type and markets.</w:t>
      </w:r>
    </w:p>
    <w:p>
      <w:pPr>
        <w:spacing w:after="0" w:line="143"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6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72" w:lineRule="exact"/>
        <w:rPr>
          <w:sz w:val="20"/>
          <w:szCs w:val="20"/>
          <w:color w:val="auto"/>
        </w:rPr>
      </w:pPr>
    </w:p>
    <w:p>
      <w:pPr>
        <w:ind w:right="60" w:firstLine="324"/>
        <w:spacing w:after="0" w:line="289"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when incurred. Determining when product development is complete requires judgment by the Company. The Company deems development of a product complete once the product has been thoroughly reviewed and tested for performance and reliability.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10-K, the following are important factors which could cause actual results or events to differ materially from those contained in any forward- looking statements made by or on behalf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experienced dramatic declines in average selling prices for our memory products which have adversely affected our business.</w:t>
      </w:r>
    </w:p>
    <w:p>
      <w:pPr>
        <w:spacing w:after="0" w:line="241"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In several recent years, we experienced annual decreases in per megabit average selling prices for our semiconductor memory products including: 17% in 2003, 53% in 2002, 60% in 2001, 37% in 1999, 60% in 1998 and 75% in 1997. At times, average selling prices for our semiconductor products have been below our costs. If average selling prices for our memory products decrease faster than we can decrease per megabit costs, our business, results of operations or financial condition could be materially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Increased worldwide DRAM production or lack of demand for DRAM could lead to further declines in average selling prices for DRAM.</w:t>
      </w:r>
    </w:p>
    <w:p>
      <w:pPr>
        <w:spacing w:after="0" w:line="24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transition to smaller line-width process technologies and 300mm wafers in the industry could, depending upon the rate of transition,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Several of our competitors have announced plans to increase production through construction of new facilities or expansion of existing facilities. Increases in worldwide supply of DRAM, if not offset by increases in demand, could lead to further declines in average selling prices for our products and could materially adversely affect our business, results of operations or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As the computer industry matures and the growth rate of computers sold or growth rate of the amount of semiconductor memory included in each computer decreases, sales of our semiconductor products could decrease.</w:t>
      </w:r>
    </w:p>
    <w:p>
      <w:pPr>
        <w:spacing w:after="0" w:line="166"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We are dependent on the computing market as most of the semiconductor products we sell are used in computers, servers or peripheral products. Approximately 75% of our sales of semiconductor products for 2004 were to the computing market. DRAMs are the most widely used semiconductor memory components in computers. In recent years, the growth rate of computers sold has slowed or declined largely due to the maturation of the computer industry. The reduction in the growth rate of computers sold or growth rate of the average amount of semiconductor memory included in each computer could reduce sales of our semiconductor products and our business, results of operations or financial condition could be materially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megabit manufacturing costs at the same rate as we have in the past.</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Historically, we have decreased per megabit manufacturing costs through improvements in our manufacturing processes, including reducing the die size of our existing products. In future periods, we may be unable to reduce our per megabit manufacturing costs or reduce costs at historical rates. We manufacture products using highly complex processes that require technologically advanced equipment and continuous modification to improve yields and performance. Each generation of new products adds complexity to the manufacturing process and the initial production of new products is typically characterized by relatively high costs due to lower product yields, reduced wafer throughput and less efficient use of assets. Reduction of per megabit manufacturing costs in future periods is dependent on our ability to:</w:t>
      </w:r>
    </w:p>
    <w:p>
      <w:pPr>
        <w:spacing w:after="0" w:line="209" w:lineRule="exact"/>
        <w:rPr>
          <w:sz w:val="20"/>
          <w:szCs w:val="20"/>
          <w:color w:val="auto"/>
        </w:rPr>
      </w:pPr>
    </w:p>
    <w:p>
      <w:pPr>
        <w:ind w:left="980" w:hanging="324"/>
        <w:spacing w:after="0"/>
        <w:tabs>
          <w:tab w:leader="none" w:pos="980" w:val="left"/>
        </w:tabs>
        <w:numPr>
          <w:ilvl w:val="0"/>
          <w:numId w:val="4"/>
        </w:numPr>
        <w:rPr>
          <w:rFonts w:ascii="Arial" w:cs="Arial" w:eastAsia="Arial" w:hAnsi="Arial"/>
          <w:sz w:val="21"/>
          <w:szCs w:val="21"/>
          <w:color w:val="auto"/>
        </w:rPr>
      </w:pPr>
      <w:r>
        <w:rPr>
          <w:rFonts w:ascii="Arial" w:cs="Arial" w:eastAsia="Arial" w:hAnsi="Arial"/>
          <w:sz w:val="17"/>
          <w:szCs w:val="17"/>
          <w:color w:val="auto"/>
        </w:rPr>
        <w:t>successfully develop product and process technology, including future transitions to 95nm and smaller line-width process technologies;</w:t>
      </w:r>
    </w:p>
    <w:p>
      <w:pPr>
        <w:sectPr>
          <w:pgSz w:w="11900" w:h="16838" w:orient="portrait"/>
          <w:cols w:equalWidth="0" w:num="1">
            <w:col w:w="11400"/>
          </w:cols>
          <w:pgMar w:left="240" w:top="125" w:right="259" w:bottom="0" w:gutter="0" w:footer="0" w:header="0"/>
        </w:sectPr>
      </w:pPr>
    </w:p>
    <w:bookmarkStart w:id="15" w:name="page16"/>
    <w:bookmarkEnd w:id="15"/>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ramp product and process technology improvements rapidly and effectively to commercial volumes across facilities;</w:t>
      </w:r>
    </w:p>
    <w:p>
      <w:pPr>
        <w:spacing w:after="0" w:line="228" w:lineRule="exact"/>
        <w:rPr>
          <w:rFonts w:ascii="Arial" w:cs="Arial" w:eastAsia="Arial" w:hAnsi="Arial"/>
          <w:sz w:val="22"/>
          <w:szCs w:val="22"/>
          <w:color w:val="auto"/>
        </w:rPr>
      </w:pPr>
    </w:p>
    <w:p>
      <w:pPr>
        <w:ind w:left="980" w:right="660" w:hanging="324"/>
        <w:spacing w:after="0" w:line="232" w:lineRule="auto"/>
        <w:tabs>
          <w:tab w:leader="none" w:pos="975" w:val="left"/>
        </w:tabs>
        <w:numPr>
          <w:ilvl w:val="0"/>
          <w:numId w:val="5"/>
        </w:numPr>
        <w:rPr>
          <w:rFonts w:ascii="Arial" w:cs="Arial" w:eastAsia="Arial" w:hAnsi="Arial"/>
          <w:sz w:val="22"/>
          <w:szCs w:val="22"/>
          <w:color w:val="auto"/>
        </w:rPr>
      </w:pPr>
      <w:r>
        <w:rPr>
          <w:rFonts w:ascii="Arial" w:cs="Arial" w:eastAsia="Arial" w:hAnsi="Arial"/>
          <w:sz w:val="18"/>
          <w:szCs w:val="18"/>
          <w:color w:val="auto"/>
        </w:rPr>
        <w:t>achieve acceptable levels of manufacturing wafer output and yields, which may decrease as we implement more complex technologies, including our transition to 300mm wafer processing; and</w:t>
      </w:r>
    </w:p>
    <w:p>
      <w:pPr>
        <w:spacing w:after="0" w:line="230" w:lineRule="exact"/>
        <w:rPr>
          <w:rFonts w:ascii="Arial" w:cs="Arial" w:eastAsia="Arial" w:hAnsi="Arial"/>
          <w:sz w:val="22"/>
          <w:szCs w:val="22"/>
          <w:color w:val="auto"/>
        </w:rPr>
      </w:pPr>
    </w:p>
    <w:p>
      <w:pPr>
        <w:ind w:left="980" w:right="240" w:hanging="324"/>
        <w:spacing w:after="0" w:line="232" w:lineRule="auto"/>
        <w:tabs>
          <w:tab w:leader="none" w:pos="975" w:val="left"/>
        </w:tabs>
        <w:numPr>
          <w:ilvl w:val="0"/>
          <w:numId w:val="5"/>
        </w:numPr>
        <w:rPr>
          <w:rFonts w:ascii="Arial" w:cs="Arial" w:eastAsia="Arial" w:hAnsi="Arial"/>
          <w:sz w:val="22"/>
          <w:szCs w:val="22"/>
          <w:color w:val="auto"/>
        </w:rPr>
      </w:pPr>
      <w:r>
        <w:rPr>
          <w:rFonts w:ascii="Arial" w:cs="Arial" w:eastAsia="Arial" w:hAnsi="Arial"/>
          <w:sz w:val="18"/>
          <w:szCs w:val="18"/>
          <w:color w:val="auto"/>
        </w:rPr>
        <w:t>offset increases in per megabit manufacturing costs resulting from shifts in product mix to CMOS image sensors, Specialty memory products and Flash memory.</w:t>
      </w:r>
    </w:p>
    <w:p>
      <w:pPr>
        <w:spacing w:after="0" w:line="20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we are unable to timely and efficiently convert our manufacturing operations to 300mm wafer processing, our business, results of operations or financial condition could be materially adversely affected.</w:t>
      </w:r>
    </w:p>
    <w:p>
      <w:pPr>
        <w:spacing w:after="0" w:line="166"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In 2004, we began ramping production of 300mm wafers at our wafer fabrication facility in Virginia. As of the end of 2004, production at the Virginia facility had not reached levels necessary to achieve mature product yield and cost-efficient utilization of the facility. Until such time that production at the Virginia facility reaches mature product yields and significant volume with regards to capacity utilization, it will adversely affect our results of operations. We are assessing which of our other facilities will be converted to 300mm wafer fabrication and when those facilities will be converted. We may also experience disruptions in manufacturing operations, reduced wafer output and reduced yields during our conversion of other facilities to 300mm wafers.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flows to fund our operations and make adequate capital investments.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cash flows from operations depend primarily on the volume of semiconductor memory sold, average selling prices and per megabit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In addition to cash provided by operations, we have from time to time utilized external sources of financing. Depending on general market and economic conditions or other factors, we may not be able to generate sufficient cash flows to fund our operations and make adequate capital investments or access capital markets for funds on acceptable terms.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face intense competition from a number of companies, including Elpida Memory, Inc., Hynix Semiconductor Inc., Infineon Technologies AG and Samsung Electronics Co., Ltd. Additionally, we face competition from emerging companies in Taiwan and China who have announced plans to significantly expand the scale of their operations. Some of our competitors are large corporations or conglomerates that may have greater resources to withstand downturns in the semiconductor markets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which we compete, invest in technology and capitalize on growth opportunities. Our competitors seek to increase silicon capacity, improve yields, reduce die size and minimize mask levels in their product designs. These factors have significantly increased worldwide supply and put downward pressure on prices.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Historically, various governments have provided economic assistance to international competitors, which has enabled, or artificially supported, competitors’ production of semiconductor memory, particularly DRAM. This factor may continue to increase the supply of DRAM and other semiconductor products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Our financial statements are prepared in accordance with U.S. GAAP and are reported in U.S. dollars. Across our multi-national operations there are transactions and balances denominated in other currencies, primarily the Japanese yen and euro. In the event that the U.S. dollar weakens significantly compared to the Japanese yen or euro, reported results of operations or financial condition will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Throughout most of the 1980s and 1990s, industry revenue for the DRAM market grew at a much faster rate than the overall economy, driven by both growth in sales of computers and the amount of memory included in each computer sold. In recent years, the DRAM market has grown at a significantly slower rate as the computer industry has continued to mature. As a result, we expect that trends in the DRAM and computer industries will more closely parallel broader macroeconomic events and trends. 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business, results of operations or financial condition could be materially adversely affected. If, for any reason, we are unable to access the capital markets over an extended period of time, we may be unable to make property, plant and equipment expenditures, implement our research and development efforts or fund our operations, which could materially adversely affect our business, results of operations or financial condition.</w:t>
      </w:r>
    </w:p>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business, results of operations or financial condition could be materially adversely affected.</w:t>
      </w:r>
    </w:p>
    <w:p>
      <w:pPr>
        <w:spacing w:after="0" w:line="16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TECH supplied approximately 30% of our total megabits of memory produced in 2004. We have agreements to purchase all of the products manufactured by TECH subject to specific terms and conditions. In recent periods, we have realized higher margins on products purchased from TECH than products manufactured by our wholly-owned facilities. Any reduction in supply could materially adversely affect our business, results of operations or financial condition. As of September 2, 2004, we had intangible assets with a net book value of $62.0 million relating to the supply arrangement to purchase product from TECH. In the event that our supply of semiconductor products from TECH is reduced or eliminated, we may be required to write off part or all of these assets and our revenues and results of operations would be adversely affected.</w:t>
      </w:r>
    </w:p>
    <w:p>
      <w:pPr>
        <w:spacing w:after="0" w:line="174"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If we are unable to respond to customer demand for diversified semiconductor memory products or are unable to do so in a cost-effective manner, we may lose market share and our business, results of operations or financial condition could be materially adversely affected.</w:t>
      </w:r>
    </w:p>
    <w:p>
      <w:pPr>
        <w:sectPr>
          <w:pgSz w:w="11900" w:h="16838" w:orient="portrait"/>
          <w:cols w:equalWidth="0" w:num="1">
            <w:col w:w="11380"/>
          </w:cols>
          <w:pgMar w:left="240" w:top="130" w:right="279" w:bottom="0" w:gutter="0" w:footer="0" w:header="0"/>
        </w:sectPr>
      </w:pPr>
    </w:p>
    <w:bookmarkStart w:id="16" w:name="page17"/>
    <w:bookmarkEnd w:id="16"/>
    <w:p>
      <w:pPr>
        <w:spacing w:after="0" w:line="1"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In recent periods, the semiconductor memory market has become increasingly segmented, with diverse memory needs being driven by the different requirements of desktop and notebook computers, servers, workstations, handheld devices, and communications, industrial and other applications that demand specific memory solutions. We offer customers a variety of semiconductor memory products, including DDR, DDR2, SDRAM, EDO, Flash and PSRAM.</w:t>
      </w:r>
    </w:p>
    <w:p>
      <w:pPr>
        <w:spacing w:after="0" w:line="187"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business, results of operations or financial condition could be materially adversely affected.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66"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their intellectual property rights. We are engaged in litigation with Rambus, Inc. (“Rambus”) relating to certain of Rambus’ patents and certain of our claims and defenses. On August 28, 2000, we filed a complaint (amended) against Rambus in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w:t>
      </w:r>
    </w:p>
    <w:p>
      <w:pPr>
        <w:spacing w:after="0" w:line="2" w:lineRule="exact"/>
        <w:rPr>
          <w:sz w:val="20"/>
          <w:szCs w:val="20"/>
          <w:color w:val="auto"/>
        </w:rPr>
      </w:pPr>
    </w:p>
    <w:p>
      <w:pPr>
        <w:ind w:firstLine="8"/>
        <w:spacing w:after="0" w:line="266" w:lineRule="auto"/>
        <w:tabs>
          <w:tab w:leader="none" w:pos="24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currently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us and Reptronic (a distributor of our products) in Court of First Instance of Paris, France;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On August 10, 2001, Rambus filed suit against us and Assitec (an electronics retailer) in the Civil Court of Pavia, Italy, alleging that certain DDR SDRAM products infringe the Italian counterpart to European patent 1 022 642. In the European suits against us, Rambus is seeking monetary damages and injunctive relief. We also are engaged in litigation with Motorola, Inc. (“Motorola”) and Freescale Semiconductor, Inc., a subsidiary of Motorola (“Freescale”), relating to certain of our patents and certain of Freescale’s patents. On January 8, 2004, Motorola filed suit against us in the U.S. District Court for the Western District of Texas (Austin) alleging infringement of ten Motorola patents. On March 15, 2004, we filed an answer and a counterclaim alleging infringement of seventeen of our patents. Freescale was later added as a party with Motorola. On March 30, 2004, we filed a separate action against Motorola in the U.S. District Court for the Western District of Wisconsin (Madison) alleging infringement of six additional of our patents, and we added a seventh patent in an amended complaint filed on April 23, 2004. On June 10, 2004, the Wisconsin court granted Motorola’s motion to transfer the case to Texas, and the two cases subsequently were consolidated. The above lawsuits pertain to certain of our SDRAM and DDR DRAM products, which account for a significant portion of our net sales. We are unable to predict the outcome of these suits.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89"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antitrust violations.</w:t>
      </w:r>
    </w:p>
    <w:p>
      <w:pPr>
        <w:spacing w:after="0" w:line="229"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w:t>
      </w:r>
    </w:p>
    <w:p>
      <w:pPr>
        <w:spacing w:after="0" w:line="166"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were filed against us and other DRAM suppliers. Sixteen cases were filed between June 21, 2002, and September 19, 2002, in the following federal district courts: one in the Southern District of New York, five in the District of Idaho and ten in the Northern District of California. The foregoing federal district court cases were transferred to the U.S. District Court for the Northern District of California (San Francisco) for consolidated proceedings. On October 6, 2003, the plaintiffs filed a consolidated amended class action complaint. The consolidated amended complaint purports to be on behalf of a class of individuals and entities who purchased DRAM directly from the various DRAM suppliers during the period from approximately November 1, 2001 through at least June 30, 2002. The consolidated amended complaint alleges price-fixing in violation of the Sherman Act and seeks treble monetary damages, costs, attorneys’ fees, and an injunction against the allegedly unlawful conduct. Eight additional cases were filed between August 2, 2002, and March 11, 2003, in the following California state superior courts: five in San Francisco County, one in Santa Clara County, one in Los Angeles County and one in Humboldt County. Each of the California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state cases purports to be on behalf of a class of individuals and entities who indirectly purchased DRAM during a specified time period commencing December 1, 2001. The complaints allege violations of California’s Cartwright Act and state unfair competition law and unjust enrichment and seek treble monetary damages, restitution, costs, attorneys’ fees, and an injunction against the allegedly unlawful conduct. The foregoing California state cases were transferred to San Francisco County Superior Court for consolidated proceedings. On October 15, 2003, the plaintiffs filed a consolidated amended class action complaint. The consolidated amended complaint purports to be on behalf of a class of individuals and entities who purchased DRAM indirectly from the various DRAM suppliers during the period from November 1, 2001 through June 30, 2002. The consolidated amended complaint alleges violations of</w:t>
      </w:r>
    </w:p>
    <w:p>
      <w:pPr>
        <w:sectPr>
          <w:pgSz w:w="11900" w:h="16840" w:orient="portrait"/>
          <w:cols w:equalWidth="0" w:num="1">
            <w:col w:w="11420"/>
          </w:cols>
          <w:pgMar w:left="240" w:top="125" w:right="239" w:bottom="0" w:gutter="0" w:footer="0" w:header="0"/>
        </w:sectPr>
      </w:pPr>
    </w:p>
    <w:bookmarkStart w:id="17" w:name="page18"/>
    <w:bookmarkEnd w:id="17"/>
    <w:p>
      <w:pPr>
        <w:spacing w:after="0" w:line="284" w:lineRule="auto"/>
        <w:rPr>
          <w:sz w:val="20"/>
          <w:szCs w:val="20"/>
          <w:color w:val="auto"/>
        </w:rPr>
      </w:pPr>
      <w:r>
        <w:rPr>
          <w:rFonts w:ascii="Arial" w:cs="Arial" w:eastAsia="Arial" w:hAnsi="Arial"/>
          <w:sz w:val="16"/>
          <w:szCs w:val="16"/>
          <w:color w:val="auto"/>
        </w:rPr>
        <w:t>California’s Cartwright Act and state unfair competition law and unjust enrichment and seeks treble monetary damages, costs, attorneys’ fees, and an injunction against the allegedly unlawful conduct. On March 16, 2004, a related case was filed in state court in Salem, Massachusetts. It purports to be on behalf of a class of individuals and entities who indirectly purchased DRAM in Massachusetts between November 1, 2001 and June 30, 2002. The complaint alleges unjust enrichment relating to the sale and pricing of DRAM products and seeks an unspecified amount of restitution. The case was removed to the Massachusetts federal district court and transferred to the U.S. District Court for the Northern District of California (San Francisco) for consolidated proceedings. However, a motion by the plaintiff to remand the case to Massachusetts is still pending. On May 25, 2004, a related case was filed in state court in Collier County, Florida. It purports to be on behalf of a class of individuals and entities who indirectly purchased DRAM in Florida and nineteen other states between November 1, 2001 and June 30, 2002. The complaint alleges violation of the Florida Deceptive and Unfair Trade Practices Act and unjust enrichment relating to the sale and pricing of DRAM products and seeks compensatory damages, costs, attorneys’ fees, and disgorgement or restitution. On August 19, 2004, a related case was filed in state court in Middlesex County, Massachusetts. It purports to be on behalf of a class of individuals and entities who indirectly purchased DRAM in Massachusetts between September 1, 2001 and June 30, 2002. The complaint alleges violations of the Massachusetts Consumer Protection Act relating to the sale and pricing of DRAM products and seeks treble monetary damages, costs, and attorneys’ fees. On September 29, 2004, a related case was filed in state court in Brooke County, West Virginia. It purports to be on behalf of a class of individuals and entities who indirectly purchase DRAM in West Virginia from at least 1999 through the filing of the complaint. The complaint alleges violations of the West Virginia Antitrust Act relating to the sale and pricing of DRAM products and seeks treble monetary damages, costs and attorneys’ fees. On October 4, 2004, a related case was filed in state court in Mecklenburg County, North Carolina. It purports to be on behalf of a class of individuals and entities who indirectly purchase DRAM and/or products containing DRAM in North Carolina between at least 1999 and the filing of the complaint. The complaint alleges violations of the North Carolina Statutes for Antitrust and Unfair Competition relating to the sale and pricing of DRAM products and seeks actual damages, treble damages, interest, costs, and attorneys’ fees. On October 5, 2004, a related case was filed in state court in Wayne County, Michigan. It purports to be on behalf of a class of individuals and entities who indirectly purchase DRAM and /or products containing DRAM in Michigan from at least 1999 through the filing of the complaint. The complaint alleges violations of the Michigan Antitrust Reform Act relating to the sale and pricing of DRAM products and seeks treble monetary damages, costs, interest, and attorneys’ fees. On October 6, 2004, a related case was filed in state court in Broward County, Florida. It purports to be on behalf of a class of individuals and entities who indirectly purchase DRAM in Florida from at least July 1999 through at least June of 2002. The complaint alleges violations of Florida Deceptive and Unfair Trade Practices Act relating to the sale and pricing of DRAM products and seeks monetary damages, restitution, costs, and attorneys’ fees. We are unable to predict the outcome of these suits. Based upon our analysis of the claims made and the nature of the DRAM industry, we believe that class treatment of these cases is not appropriate and that any purported injury alleged by plaintiffs would be more appropriately resolved on a customer-by-customer basis. We can give no assurance that final resolution of these civil suits will not result in significant liability and will not have a material adverse effect on our business, results of operations or financial condition.</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us and other DRAM suppliers. The complaint alleges certain causes of action under California state law including conspiracy to restrict output and fix prices on Rambus DRAM (“RDRAM”), conspiracy to monopolize various relevant markets, intentional interference with prospective economic advantage relating to RDRAM, and unfair competition to disadvantage RDRAM. The complaint seeks treble damages, punitive damages, attorneys’ fees, costs, and a permanent injunction enjoining the defendants from the conduct alleged in the complaint. We are unable to predict the outcome of the suit. A court determination against us could result in significant liability and could have a material adverse effect on our business, results of operations or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6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to customers outside the United States approximated 59% of our consolidated net sales for 2004. In addition, we have manufacturing operations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Italy, Japan, Puerto Rico, Scotland and Singapore. Our international sales and operations are subject to a variety of risks, including:</w:t>
      </w:r>
    </w:p>
    <w:p>
      <w:pPr>
        <w:spacing w:after="0" w:line="21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currency exchange rate fluctuations,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export duties, changes to import and export regulations, and restrictions on the transfer of funds,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political and economic instability,</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problems with the transportation or delivery of our products,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issues arising from cultural or language differences and labor unrest,</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longer payment cycles and greater difficulty in collecting accounts receivable, and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compliance with trade and other laws in a variety of jurisdictions.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w:t>
      </w:r>
    </w:p>
    <w:p>
      <w:pPr>
        <w:sectPr>
          <w:pgSz w:w="11900" w:h="16838" w:orient="portrait"/>
          <w:cols w:equalWidth="0" w:num="1">
            <w:col w:w="11400"/>
          </w:cols>
          <w:pgMar w:left="240" w:top="125" w:right="259" w:bottom="0" w:gutter="0" w:footer="0" w:header="0"/>
        </w:sectPr>
      </w:pPr>
    </w:p>
    <w:bookmarkStart w:id="18" w:name="page19"/>
    <w:bookmarkEnd w:id="18"/>
    <w:p>
      <w:pPr>
        <w:spacing w:after="0" w:line="3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costs.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Disruptions in our supply of raw materials could materially adversely affect our business, results of operations or financial condition.</w:t>
      </w:r>
    </w:p>
    <w:p>
      <w:pPr>
        <w:spacing w:after="0" w:line="24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any transportation problems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achieve certain milestones, we could be obligated to pay Intel Corporation amounts up to $135 million.</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conjunction with the issuance of stock rights to Intel in September 2003, we agreed to achieve operational objectives through May 2005, including certain levels of DDR2 production and 300mm wafer processing capacity. If we fail to achieve certain 2005 milestones and our common stock price is then below Intel’s purchase price of $13.29, we could be obligated to pay Intel amounts up to $135 million, a substantial portion of which is payable, at our election, in our common stock.</w:t>
      </w:r>
    </w:p>
    <w:p>
      <w:pPr>
        <w:spacing w:after="0" w:line="183" w:lineRule="exact"/>
        <w:rPr>
          <w:sz w:val="20"/>
          <w:szCs w:val="20"/>
          <w:color w:val="auto"/>
        </w:rPr>
      </w:pPr>
    </w:p>
    <w:p>
      <w:pPr>
        <w:ind w:right="120"/>
        <w:spacing w:after="0" w:line="386" w:lineRule="auto"/>
        <w:rPr>
          <w:sz w:val="20"/>
          <w:szCs w:val="20"/>
          <w:color w:val="auto"/>
        </w:rPr>
      </w:pPr>
      <w:r>
        <w:rPr>
          <w:rFonts w:ascii="Arial" w:cs="Arial" w:eastAsia="Arial" w:hAnsi="Arial"/>
          <w:sz w:val="15"/>
          <w:szCs w:val="15"/>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9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the following ways:</w:t>
      </w:r>
    </w:p>
    <w:p>
      <w:pPr>
        <w:spacing w:after="0" w:line="21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9"/>
          <w:szCs w:val="19"/>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18" w:lineRule="exact"/>
        <w:rPr>
          <w:rFonts w:ascii="Arial" w:cs="Arial" w:eastAsia="Arial" w:hAnsi="Arial"/>
          <w:sz w:val="19"/>
          <w:szCs w:val="19"/>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we may encounter adverse publicity, which could cause a decrease in sales of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expect to make future acquisitions where we believe it is advisable to enhance shareholder value. Acquisitions involve numerous risks, including:</w:t>
      </w:r>
    </w:p>
    <w:p>
      <w:pPr>
        <w:spacing w:after="0" w:line="25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increasing our exposure to changes in average selling prices for semiconductor memory products,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difficulties in integrating the operations, technologies and products of the acquired companies,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increasing capital expenditures to upgrade and maintain facilities,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increasing debt to finance any acquisition,</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diverting management’s attention from normal daily operations,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managing larger operations and facilities and employees in separate geographic areas, and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hiring and retaining key employees.</w:t>
      </w:r>
    </w:p>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Substantially all of the Company’s investments are at fixed interest rates; therefore, the fair value of these instruments is affected by changes in market interest rates. The Company believes that the market risk arising from its holdings of investments is minimal as the Company’s investments generally mature within one year.</w:t>
      </w:r>
    </w:p>
    <w:p>
      <w:pPr>
        <w:spacing w:after="0" w:line="18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Substantially all of the Company’s debt is at fixed interest rates; therefore, the fair value of the debt fluctuates based on changes in market interest rates. The estimated fair market value of the Company’s debt approximated $1.2 billion as of September 2, 2004 and $1.3 billion as of August 28, 2003. The Company entered into an interest rate swap agreement (the “Swap”) that effectively converted, beginning August 29, 2003, the 2.5% fixed interest rate on the Company’s $632.5 million Convertible Subordinated Notes (the “Notes”) to a variable interest rate based on the 3-month London Interbank Offering Rate (“LIBOR”) less 65 basis points. The Swap qualifies as a fair-value hedge under SFAS No. 133, “Accounting for Derivative Instruments and Hedging</w:t>
      </w:r>
    </w:p>
    <w:p>
      <w:pPr>
        <w:sectPr>
          <w:pgSz w:w="11900" w:h="16874" w:orient="portrait"/>
          <w:cols w:equalWidth="0" w:num="1">
            <w:col w:w="11380"/>
          </w:cols>
          <w:pgMar w:left="240" w:top="125" w:right="279" w:bottom="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Activities.” The gain or loss from changes in the fair value of the Swap is expected to be highly effective at offsetting the gain or loss from changes in the fair value of the Notes attributable to changes in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functional currency for substantially all of the Company’s operations is the U.S. dollar. The Company held aggregate cash and other assets in foreign currency valued at U.S. $118.9 million as of September 2, 2004, and U.S. $203.1 million as of August 28, 2003 (including deferred income tax assets denominated in Japanese yen valued at U.S. $52.4 million as of September 2, 2004, and U.S. $105.4 million as of August 28, 2003). The Company also held aggregate foreign currency liabilities valued at U.S. $403.6 million as of September 2, 2004, and U.S. $513.2 million as of August 28, 2003 (including debt denominated in Japanese yen valued at U.S. $113.1 million as of September 2, 2004, and U.S. $170.5 million as of August 28, 2003). Foreign currency receivables and payables as of September 2, 2004, were comprised primarily of Japanese yen, euros, Singapore dollars and British pounds. The Company estimates that, based on its assets and liabilities denominated in currencies other than U.S. dollar as of September 2, 2004, a 1% change in the exchange rate versus the U.S. dollar would result in foreign currency gains or losses of approximately $2 million for the Japanese yen and $1 million for the euro.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Consolidated Financial Statements as of September 2, 2004, and August 28, 2003, and for the fiscal years ended September 2, 2004, August 28, 2003 and August 29, 2002:</w:t>
      </w:r>
    </w:p>
    <w:p>
      <w:pPr>
        <w:spacing w:after="0" w:line="170" w:lineRule="exact"/>
        <w:rPr>
          <w:sz w:val="20"/>
          <w:szCs w:val="20"/>
          <w:color w:val="auto"/>
        </w:rPr>
      </w:pPr>
    </w:p>
    <w:p>
      <w:pPr>
        <w:ind w:left="3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Consolidated Statements of Operations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Consolidated Balance Sheets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Consolidated Statements of Shareholders’ Equity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7223125</wp:posOffset>
            </wp:positionH>
            <wp:positionV relativeFrom="paragraph">
              <wp:posOffset>126365</wp:posOffset>
            </wp:positionV>
            <wp:extent cx="285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3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Consolidated Statements of Cash Flows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Notes to Consolidated Financial Statements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Report of Independent Registered Public Accounting Firm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w:t>
      </w:r>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Schedule II – Valuation and Qualifying Accounts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20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August 28,</w:t>
            </w:r>
          </w:p>
        </w:tc>
        <w:tc>
          <w:tcPr>
            <w:tcW w:w="22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August 29,</w:t>
            </w:r>
          </w:p>
        </w:tc>
        <w:tc>
          <w:tcPr>
            <w:tcW w:w="0" w:type="dxa"/>
            <w:vAlign w:val="bottom"/>
          </w:tcPr>
          <w:p>
            <w:pPr>
              <w:spacing w:after="0"/>
              <w:rPr>
                <w:sz w:val="1"/>
                <w:szCs w:val="1"/>
                <w:color w:val="auto"/>
              </w:rPr>
            </w:pPr>
          </w:p>
        </w:tc>
      </w:tr>
      <w:tr>
        <w:trPr>
          <w:trHeight w:val="171"/>
        </w:trPr>
        <w:tc>
          <w:tcPr>
            <w:tcW w:w="6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Other operating expense, net</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(1,186.5)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Income (loss) before taxes</w:t>
            </w: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232.0</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(1,200.2)</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(998.5)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(73.0)</w:t>
            </w: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used in per share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Basic</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641.5</w:t>
            </w:r>
          </w:p>
        </w:tc>
        <w:tc>
          <w:tcPr>
            <w:tcW w:w="1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607.5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601.5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645.7</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601.5</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20" w:type="dxa"/>
            <w:vAlign w:val="bottom"/>
            <w:gridSpan w:val="3"/>
          </w:tcPr>
          <w:p>
            <w:pPr>
              <w:jc w:val="center"/>
              <w:ind w:left="2970"/>
              <w:spacing w:after="0"/>
              <w:rPr>
                <w:sz w:val="20"/>
                <w:szCs w:val="20"/>
                <w:color w:val="auto"/>
              </w:rPr>
            </w:pPr>
            <w:r>
              <w:rPr>
                <w:rFonts w:ascii="Arial" w:cs="Arial" w:eastAsia="Arial" w:hAnsi="Arial"/>
                <w:sz w:val="18"/>
                <w:szCs w:val="18"/>
                <w:i w:val="1"/>
                <w:iCs w:val="1"/>
                <w:color w:val="auto"/>
                <w:w w:val="89"/>
              </w:rPr>
              <w:t>See accompanying notes to consolidated financial statements.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80" w:type="dxa"/>
            <w:vAlign w:val="bottom"/>
            <w:gridSpan w:val="2"/>
          </w:tcPr>
          <w:p>
            <w:pPr>
              <w:jc w:val="center"/>
              <w:ind w:left="3759"/>
              <w:spacing w:after="0"/>
              <w:rPr>
                <w:sz w:val="20"/>
                <w:szCs w:val="20"/>
                <w:color w:val="auto"/>
              </w:rPr>
            </w:pPr>
            <w:r>
              <w:rPr>
                <w:rFonts w:ascii="Arial" w:cs="Arial" w:eastAsia="Arial" w:hAnsi="Arial"/>
                <w:sz w:val="18"/>
                <w:szCs w:val="18"/>
                <w:color w:val="auto"/>
                <w:w w:val="89"/>
              </w:rPr>
              <w:t>29</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5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67"/>
        </w:trPr>
        <w:tc>
          <w:tcPr>
            <w:tcW w:w="20" w:type="dxa"/>
            <w:vAlign w:val="bottom"/>
          </w:tcPr>
          <w:p>
            <w:pPr>
              <w:spacing w:after="0"/>
              <w:rPr>
                <w:sz w:val="24"/>
                <w:szCs w:val="24"/>
                <w:color w:val="auto"/>
              </w:rPr>
            </w:pPr>
          </w:p>
        </w:tc>
        <w:tc>
          <w:tcPr>
            <w:tcW w:w="7560" w:type="dxa"/>
            <w:vAlign w:val="bottom"/>
          </w:tcPr>
          <w:p>
            <w:pPr>
              <w:jc w:val="center"/>
              <w:ind w:left="3730"/>
              <w:spacing w:after="0"/>
              <w:rPr>
                <w:sz w:val="20"/>
                <w:szCs w:val="20"/>
                <w:color w:val="auto"/>
              </w:rPr>
            </w:pPr>
            <w:r>
              <w:rPr>
                <w:rFonts w:ascii="Arial" w:cs="Arial" w:eastAsia="Arial" w:hAnsi="Arial"/>
                <w:sz w:val="18"/>
                <w:szCs w:val="18"/>
                <w:b w:val="1"/>
                <w:bCs w:val="1"/>
                <w:color w:val="auto"/>
              </w:rPr>
              <w:t>MICRON TECHNOLOGY, INC.</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560" w:type="dxa"/>
            <w:vAlign w:val="bottom"/>
          </w:tcPr>
          <w:p>
            <w:pPr>
              <w:jc w:val="center"/>
              <w:ind w:left="3750"/>
              <w:spacing w:after="0"/>
              <w:rPr>
                <w:sz w:val="20"/>
                <w:szCs w:val="20"/>
                <w:color w:val="auto"/>
              </w:rPr>
            </w:pPr>
            <w:r>
              <w:rPr>
                <w:rFonts w:ascii="Arial" w:cs="Arial" w:eastAsia="Arial" w:hAnsi="Arial"/>
                <w:sz w:val="18"/>
                <w:szCs w:val="18"/>
                <w:b w:val="1"/>
                <w:bCs w:val="1"/>
                <w:color w:val="auto"/>
                <w:w w:val="99"/>
              </w:rPr>
              <w:t>CONSOLIDATED BALANCE SHEETS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jc w:val="center"/>
              <w:ind w:left="3750"/>
              <w:spacing w:after="0"/>
              <w:rPr>
                <w:sz w:val="20"/>
                <w:szCs w:val="20"/>
                <w:color w:val="auto"/>
              </w:rPr>
            </w:pPr>
            <w:r>
              <w:rPr>
                <w:rFonts w:ascii="Arial" w:cs="Arial" w:eastAsia="Arial" w:hAnsi="Arial"/>
                <w:sz w:val="18"/>
                <w:szCs w:val="18"/>
                <w:color w:val="auto"/>
                <w:w w:val="92"/>
              </w:rPr>
              <w:t>(Amounts in millions except par value amounts)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September 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August 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5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1"/>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1"/>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and equivalents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486.1</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570.3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351.5</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Receivables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773.7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642.5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417.4</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Prepaid expenses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289.6</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4,712.7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4,510.5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Restricted cash</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112.2</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7,158.2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796.2</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714.7</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Deferred income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166.7</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1,027.9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997.1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liabilities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$0.10 par value, authorized 3.0 billion shares,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and outstanding 611.5 million and 609.9 million shares</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Additional capital</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4,663.9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4,176.3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7,760.0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-6555740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-6555740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(Amounts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48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248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6"/>
                <w:szCs w:val="6"/>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28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4"/>
                <w:szCs w:val="4"/>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of Shares</w:t>
            </w: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August 30, 2001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Net change in unrealized gain (loss)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0" w:gutter="0" w:footer="0" w:header="0"/>
        </w:sectPr>
      </w:pPr>
    </w:p>
    <w:bookmarkStart w:id="21" w:name="page22"/>
    <w:bookmarkEnd w:id="21"/>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on investments, net of tax</w:t>
            </w:r>
          </w:p>
        </w:tc>
        <w:tc>
          <w:tcPr>
            <w:tcW w:w="10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comprehensive income (loss)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stock plans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Stock issued in connection with purchase of</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DRAM assets from Toshiba Corporation</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accretion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August 29, 2002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604.4</w:t>
            </w:r>
          </w:p>
        </w:tc>
        <w:tc>
          <w:tcPr>
            <w:tcW w:w="2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4,229.6</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2,015.5</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(1,273.2)</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change in unrealized gain (loss)</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on investments, net of tax</w:t>
            </w: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ind w:left="160"/>
              <w:spacing w:after="0"/>
              <w:rPr>
                <w:sz w:val="20"/>
                <w:szCs w:val="20"/>
                <w:color w:val="auto"/>
              </w:rPr>
            </w:pPr>
            <w:r>
              <w:rPr>
                <w:rFonts w:ascii="Arial" w:cs="Arial" w:eastAsia="Arial" w:hAnsi="Arial"/>
                <w:sz w:val="18"/>
                <w:szCs w:val="18"/>
                <w:color w:val="auto"/>
              </w:rPr>
              <w:t>Total comprehensive income (loss)</w:t>
            </w: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(1,274.1)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Stock issued under stock plans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56.9</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Purchase of call spread options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Repurchase and retirement of common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accretion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August 28, 2003</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609.9</w:t>
            </w:r>
          </w:p>
        </w:tc>
        <w:tc>
          <w:tcPr>
            <w:tcW w:w="2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4,176.3</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4,971.0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Comprehensive income: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157.2</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change in unrealized gain (loss)</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on investments, net of tax</w:t>
            </w: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comprehensive income</w:t>
            </w:r>
          </w:p>
        </w:tc>
        <w:tc>
          <w:tcPr>
            <w:tcW w:w="10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Stock issued under stock plans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rights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Redemption of common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Redeemable common stock accretion and</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adjustment</w:t>
            </w: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Balance at September 2, 2004</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2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4,663.9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890.1</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20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August 28,</w:t>
            </w: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29,</w:t>
            </w:r>
          </w:p>
        </w:tc>
        <w:tc>
          <w:tcPr>
            <w:tcW w:w="0" w:type="dxa"/>
            <w:vAlign w:val="bottom"/>
          </w:tcPr>
          <w:p>
            <w:pPr>
              <w:spacing w:after="0"/>
              <w:rPr>
                <w:sz w:val="1"/>
                <w:szCs w:val="1"/>
                <w:color w:val="auto"/>
              </w:rPr>
            </w:pPr>
          </w:p>
        </w:tc>
      </w:tr>
      <w:tr>
        <w:trPr>
          <w:trHeight w:val="171"/>
        </w:trPr>
        <w:tc>
          <w:tcPr>
            <w:tcW w:w="6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157.2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(1,273.2)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(loss) to net cash provided by operating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Noncash restructure and other charges (benefits)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Arial" w:cs="Arial" w:eastAsia="Arial" w:hAnsi="Arial"/>
                <w:sz w:val="18"/>
                <w:szCs w:val="18"/>
                <w:color w:val="auto"/>
              </w:rPr>
              <w:t>Provision to write down inventories to estimated market values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(gain) from write-down or disposition of equipment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Arial" w:cs="Arial" w:eastAsia="Arial" w:hAnsi="Arial"/>
                <w:sz w:val="18"/>
                <w:szCs w:val="18"/>
                <w:color w:val="auto"/>
              </w:rPr>
              <w:t>Loss (gain) from write-down or disposition of investments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20"/>
              <w:spacing w:after="0"/>
              <w:rPr>
                <w:sz w:val="20"/>
                <w:szCs w:val="20"/>
                <w:color w:val="auto"/>
              </w:rPr>
            </w:pPr>
            <w:r>
              <w:rPr>
                <w:rFonts w:ascii="Arial" w:cs="Arial" w:eastAsia="Arial" w:hAnsi="Arial"/>
                <w:sz w:val="18"/>
                <w:szCs w:val="18"/>
                <w:color w:val="auto"/>
              </w:rPr>
              <w:t>(Increase) decrease in receivables</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(103.8)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Increase in inventories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20"/>
              <w:spacing w:after="0"/>
              <w:rPr>
                <w:sz w:val="20"/>
                <w:szCs w:val="20"/>
                <w:color w:val="auto"/>
              </w:rPr>
            </w:pPr>
            <w:r>
              <w:rPr>
                <w:rFonts w:ascii="Arial" w:cs="Arial" w:eastAsia="Arial" w:hAnsi="Arial"/>
                <w:sz w:val="18"/>
                <w:szCs w:val="18"/>
                <w:color w:val="auto"/>
              </w:rPr>
              <w:t>Increase in accounts payable and accrued expenses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Purchases of available-for-sale securities</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(1,799.4)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(758.0)</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available-for-sale securities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(Increase) decrease in restricted cash</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Purchase of DRAM assets from Toshiba Corporation</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gridSpan w:val="2"/>
            <w:vMerge w:val="restart"/>
          </w:tcPr>
          <w:p>
            <w:pPr>
              <w:ind w:left="160"/>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(518.1)</w:t>
            </w: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bl>
    <w:p>
      <w:pPr>
        <w:sectPr>
          <w:pgSz w:w="11900" w:h="16925" w:orient="portrait"/>
          <w:cols w:equalWidth="0" w:num="1">
            <w:col w:w="11420"/>
          </w:cols>
          <w:pgMar w:left="240" w:top="125"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7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stock rights</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Proceeds from issuance of debt</w:t>
            </w: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equipment sale-leaseback transactions</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Repayments of debt</w:t>
            </w:r>
          </w:p>
        </w:tc>
        <w:tc>
          <w:tcPr>
            <w:tcW w:w="5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(106.0)</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common stock</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Debt issuance costs</w:t>
            </w:r>
          </w:p>
        </w:tc>
        <w:tc>
          <w:tcPr>
            <w:tcW w:w="5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Purchase of call spread options</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160"/>
              <w:spacing w:after="0"/>
              <w:rPr>
                <w:sz w:val="20"/>
                <w:szCs w:val="20"/>
                <w:color w:val="auto"/>
              </w:rPr>
            </w:pPr>
            <w:r>
              <w:rPr>
                <w:rFonts w:ascii="Arial" w:cs="Arial" w:eastAsia="Arial" w:hAnsi="Arial"/>
                <w:sz w:val="18"/>
                <w:szCs w:val="18"/>
                <w:color w:val="auto"/>
              </w:rPr>
              <w:t>Net cash provided by (used for) financing activities</w:t>
            </w: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increase (decrease) in cash and equivalents</w:t>
            </w:r>
          </w:p>
        </w:tc>
        <w:tc>
          <w:tcPr>
            <w:tcW w:w="5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beginning of year</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equivalents at end of year</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570.3</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refunded, net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60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5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Equipment acquisitions on contracts payable and capital leases</w:t>
            </w:r>
          </w:p>
        </w:tc>
        <w:tc>
          <w:tcPr>
            <w:tcW w:w="5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292.1</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(All tabular dollar amounts in millions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manufacture and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DRAMs, Flash memory, CMOS image sensors and other semiconductor components. The accompanying consolidated financial statements have been prepared in accordance with generally accepted accounting principles and include the accounts of the Company and its consolidated subsidiaries. All significant intercompany transactions and balances have been eliminated.</w:t>
      </w:r>
    </w:p>
    <w:p>
      <w:pPr>
        <w:spacing w:after="0" w:line="184"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The Company’s fiscal year is the 52 or 53-week period ending on the Thursday closest to August 31. The Company’s fiscal year 2004, which ended on September 2, 2004, contained 53 weeks and its first quarter of fiscal 2004 contained 14 weeks. Fiscal years 2003 and 2002 each contained 52 weeks and ended on August 28, 2003, and August 29, 2002, respectively. All period references are to the Company’s fiscal periods unless otherwise indicated.</w:t>
      </w:r>
    </w:p>
    <w:p>
      <w:pPr>
        <w:spacing w:after="0" w:line="143" w:lineRule="exact"/>
        <w:rPr>
          <w:sz w:val="20"/>
          <w:szCs w:val="20"/>
          <w:color w:val="auto"/>
        </w:rPr>
      </w:pPr>
    </w:p>
    <w:p>
      <w:pPr>
        <w:ind w:right="600" w:firstLine="324"/>
        <w:spacing w:after="0" w:line="282"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have been made, none of which affected results of operations, to present the financial statements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basis.</w:t>
      </w:r>
    </w:p>
    <w:p>
      <w:pPr>
        <w:spacing w:after="0" w:line="16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financial statements and related disclosures in conformity with U.S. generally accepted accounting principles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differ under different assumptions or conditions. The Company evaluates its estimates and judgments on an ongoing basis. Actual results could differ from estimates.</w:t>
      </w:r>
    </w:p>
    <w:p>
      <w:pPr>
        <w:spacing w:after="0" w:line="168"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color w:val="auto"/>
        </w:rPr>
        <w:t xml:space="preserve">Certain concentrations: </w:t>
      </w:r>
      <w:r>
        <w:rPr>
          <w:rFonts w:ascii="Arial" w:cs="Arial" w:eastAsia="Arial" w:hAnsi="Arial"/>
          <w:sz w:val="18"/>
          <w:szCs w:val="18"/>
          <w:color w:val="auto"/>
        </w:rPr>
        <w:t>Approximately 75% of the Company’s net sales for 2004 were to the computing market. Sales to one customer were 14.1 %,</w:t>
      </w:r>
      <w:r>
        <w:rPr>
          <w:rFonts w:ascii="Arial" w:cs="Arial" w:eastAsia="Arial" w:hAnsi="Arial"/>
          <w:sz w:val="18"/>
          <w:szCs w:val="18"/>
          <w:b w:val="1"/>
          <w:bCs w:val="1"/>
          <w:color w:val="auto"/>
        </w:rPr>
        <w:t xml:space="preserve"> </w:t>
      </w:r>
      <w:r>
        <w:rPr>
          <w:rFonts w:ascii="Arial" w:cs="Arial" w:eastAsia="Arial" w:hAnsi="Arial"/>
          <w:sz w:val="18"/>
          <w:szCs w:val="18"/>
          <w:color w:val="auto"/>
        </w:rPr>
        <w:t>14.9% and 16.5% of the Company’s net sales in 2004, 2003 and 2002, respectively. Sales to another customer were 13.2%, 13.2% and 12.0% of the Company’s net sales in 2004, 2003 and 2002, respectively. Certain components used by the Company in manufacturing semiconductor products are available from a limited number of suppliers.</w:t>
      </w:r>
    </w:p>
    <w:p>
      <w:pPr>
        <w:spacing w:after="0" w:line="184"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investment securities and trade accounts receivable. The Company invests through high-credit-quality financial institutions and, by policy, limits the concentration of credit exposure by restricting investments with any single obligor. A concentration of credit risk may exist with respect to trade receivables as a substantial portion of the Company’s customers are affiliated with the computing industry. The Company performs ongoing credit evaluations of customers worldwide and generally does not require collateral from its customers. Historically, the Company has not experienced significant losses on receivables.</w:t>
      </w:r>
    </w:p>
    <w:p>
      <w:pPr>
        <w:spacing w:after="0" w:line="154" w:lineRule="exact"/>
        <w:rPr>
          <w:sz w:val="20"/>
          <w:szCs w:val="20"/>
          <w:color w:val="auto"/>
        </w:rPr>
      </w:pPr>
    </w:p>
    <w:p>
      <w:pPr>
        <w:ind w:right="60" w:firstLine="324"/>
        <w:spacing w:after="0" w:line="277" w:lineRule="auto"/>
        <w:rPr>
          <w:sz w:val="20"/>
          <w:szCs w:val="20"/>
          <w:color w:val="auto"/>
        </w:rPr>
      </w:pPr>
      <w:r>
        <w:rPr>
          <w:rFonts w:ascii="Arial" w:cs="Arial" w:eastAsia="Arial" w:hAnsi="Arial"/>
          <w:sz w:val="17"/>
          <w:szCs w:val="17"/>
          <w:b w:val="1"/>
          <w:bCs w:val="1"/>
          <w:color w:val="auto"/>
        </w:rPr>
        <w:t xml:space="preserve">Product warranty: </w:t>
      </w:r>
      <w:r>
        <w:rPr>
          <w:rFonts w:ascii="Arial" w:cs="Arial" w:eastAsia="Arial" w:hAnsi="Arial"/>
          <w:sz w:val="17"/>
          <w:szCs w:val="17"/>
          <w:color w:val="auto"/>
        </w:rPr>
        <w:t>The Company generally provides a limited warranty that its products are in compliance with Company specifications existing at the</w:t>
      </w:r>
      <w:r>
        <w:rPr>
          <w:rFonts w:ascii="Arial" w:cs="Arial" w:eastAsia="Arial" w:hAnsi="Arial"/>
          <w:sz w:val="17"/>
          <w:szCs w:val="17"/>
          <w:b w:val="1"/>
          <w:bCs w:val="1"/>
          <w:color w:val="auto"/>
        </w:rPr>
        <w:t xml:space="preserve"> </w:t>
      </w:r>
      <w:r>
        <w:rPr>
          <w:rFonts w:ascii="Arial" w:cs="Arial" w:eastAsia="Arial" w:hAnsi="Arial"/>
          <w:sz w:val="17"/>
          <w:szCs w:val="17"/>
          <w:color w:val="auto"/>
        </w:rPr>
        <w:t>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impose upon the Company more extensive liability than that provided under the Company’s general terms and conditions. The Company’s warranty obligations are not material.</w:t>
      </w:r>
    </w:p>
    <w:p>
      <w:pPr>
        <w:spacing w:after="0" w:line="168" w:lineRule="exact"/>
        <w:rPr>
          <w:sz w:val="20"/>
          <w:szCs w:val="20"/>
          <w:color w:val="auto"/>
        </w:rPr>
      </w:pPr>
    </w:p>
    <w:p>
      <w:pPr>
        <w:ind w:right="240" w:firstLine="324"/>
        <w:spacing w:after="0" w:line="314"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The Company recognizes revenue when persuasive evidence of a sales arrangement exists, delivery has occurred, the price is</w:t>
      </w:r>
      <w:r>
        <w:rPr>
          <w:rFonts w:ascii="Arial" w:cs="Arial" w:eastAsia="Arial" w:hAnsi="Arial"/>
          <w:sz w:val="16"/>
          <w:szCs w:val="16"/>
          <w:b w:val="1"/>
          <w:bCs w:val="1"/>
          <w:color w:val="auto"/>
        </w:rPr>
        <w:t xml:space="preserve"> </w:t>
      </w:r>
      <w:r>
        <w:rPr>
          <w:rFonts w:ascii="Arial" w:cs="Arial" w:eastAsia="Arial" w:hAnsi="Arial"/>
          <w:sz w:val="16"/>
          <w:szCs w:val="16"/>
          <w:color w:val="auto"/>
        </w:rPr>
        <w:t>fixed or determinable and collectibility is reasonably assured. Because of frequent changes in market prices for the Company’s products, sales made under agreements allowing pricing protection or rights of return (other than for product warranty) are deferred until customers have sold the product.</w:t>
      </w:r>
    </w:p>
    <w:p>
      <w:pPr>
        <w:sectPr>
          <w:pgSz w:w="11900" w:h="16838" w:orient="portrait"/>
          <w:cols w:equalWidth="0" w:num="1">
            <w:col w:w="11420"/>
          </w:cols>
          <w:pgMar w:left="240" w:top="120" w:right="239" w:bottom="0" w:gutter="0" w:footer="0" w:header="0"/>
        </w:sectPr>
      </w:pPr>
    </w:p>
    <w:bookmarkStart w:id="23" w:name="page24"/>
    <w:bookmarkEnd w:id="23"/>
    <w:p>
      <w:pPr>
        <w:ind w:right="780" w:firstLine="324"/>
        <w:spacing w:after="0" w:line="282" w:lineRule="auto"/>
        <w:rPr>
          <w:sz w:val="20"/>
          <w:szCs w:val="20"/>
          <w:color w:val="auto"/>
        </w:rPr>
      </w:pPr>
      <w:r>
        <w:rPr>
          <w:rFonts w:ascii="Arial" w:cs="Arial" w:eastAsia="Arial" w:hAnsi="Arial"/>
          <w:sz w:val="18"/>
          <w:szCs w:val="18"/>
          <w:b w:val="1"/>
          <w:bCs w:val="1"/>
          <w:color w:val="auto"/>
        </w:rPr>
        <w:t xml:space="preserve">Advertising: </w:t>
      </w:r>
      <w:r>
        <w:rPr>
          <w:rFonts w:ascii="Arial" w:cs="Arial" w:eastAsia="Arial" w:hAnsi="Arial"/>
          <w:sz w:val="18"/>
          <w:szCs w:val="18"/>
          <w:color w:val="auto"/>
        </w:rPr>
        <w:t>Advertising costs are charged to operations as incurred. The Company incurred $5.2 million, $11.1 million and $13.6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 costs in 2004, 2003 and 2002, respectively.</w:t>
      </w:r>
    </w:p>
    <w:p>
      <w:pPr>
        <w:spacing w:after="0" w:line="162"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Costs related to the conceptual formulation and design of products and processes are expensed as research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as incurred. Determining when product development is complete requires judgment by the Company. The Company deems development of a product complete once the product has been thoroughly reviewed and tested for performance and reliability. Subsequent to product qualification, product costs are valued in inventory.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The Company has determined, based on the nature of its operations and products offered to customers, that its only reportable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is Semiconductor Operations. The Semiconductor Operations segment’s primary product is DRAM.</w:t>
      </w:r>
    </w:p>
    <w:p>
      <w:pPr>
        <w:spacing w:after="0" w:line="162"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Employee stock plans are accounted for using the intrinsic value method prescribed by APB No. 25, “Accounting for Stock</w:t>
      </w:r>
      <w:r>
        <w:rPr>
          <w:rFonts w:ascii="Arial" w:cs="Arial" w:eastAsia="Arial" w:hAnsi="Arial"/>
          <w:sz w:val="16"/>
          <w:szCs w:val="16"/>
          <w:b w:val="1"/>
          <w:bCs w:val="1"/>
          <w:color w:val="auto"/>
        </w:rPr>
        <w:t xml:space="preserve"> </w:t>
      </w:r>
      <w:r>
        <w:rPr>
          <w:rFonts w:ascii="Arial" w:cs="Arial" w:eastAsia="Arial" w:hAnsi="Arial"/>
          <w:sz w:val="16"/>
          <w:szCs w:val="16"/>
          <w:color w:val="auto"/>
        </w:rPr>
        <w:t>Issued to Employees.” The Company utilizes the Black-Scholes option valuation model to value stock options for pro forma presentation of income and per share data as if the fair value-based accounting method in Statement of Financial Accounting Standards (“SFAS”) No. 123, “Accounting for Stock-Based Compensation,” had been used to account for stock-based compensation. The following presents the Black-Scholes based pro forma loss and per share data:</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Net income (loss) available to common shareholders</w:t>
            </w: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(1,279.5)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(909.1)</w:t>
            </w: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Stock-based employee compensation expense included in reported net income</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8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auto"/>
                <w:w w:val="93"/>
              </w:rPr>
              <w:t>Less total stock-based employee compensation expense determined under a fair</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value-based method for all awards</w:t>
            </w:r>
          </w:p>
        </w:tc>
        <w:tc>
          <w:tcPr>
            <w:tcW w:w="8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(203.9)</w:t>
            </w:r>
          </w:p>
        </w:tc>
        <w:tc>
          <w:tcPr>
            <w:tcW w:w="2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17"/>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 (loss) available to common shareholders</w:t>
            </w:r>
          </w:p>
        </w:tc>
        <w:tc>
          <w:tcPr>
            <w:tcW w:w="80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Basic, as reported</w:t>
            </w: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pro forma</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as reported</w:t>
            </w: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Diluted, pro forma</w:t>
            </w:r>
          </w:p>
        </w:tc>
        <w:tc>
          <w:tcPr>
            <w:tcW w:w="8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2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Stock-based employee compensation expense in the above presentation does not reflect a benefit for income taxes, which is consistent with the Company’s treatment of income or loss from its U.S. operations. (See “Income Taxes” note.)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Functional currency: </w:t>
      </w:r>
      <w:r>
        <w:rPr>
          <w:rFonts w:ascii="Arial" w:cs="Arial" w:eastAsia="Arial" w:hAnsi="Arial"/>
          <w:sz w:val="18"/>
          <w:szCs w:val="18"/>
          <w:color w:val="auto"/>
        </w:rPr>
        <w:t>The U.S. dollar is the Company’s functional currency for substantially all of its operations.</w:t>
      </w:r>
    </w:p>
    <w:p>
      <w:pPr>
        <w:spacing w:after="0" w:line="225"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computed based on the weighted average number of common shares and stock rights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earnings per share is computed based on the weighted 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Basic and diluted earnings per share computations reflect the effect of accretion of, and fair value adjustment to, redeemable common stock.</w:t>
      </w:r>
    </w:p>
    <w:p>
      <w:pPr>
        <w:spacing w:after="0" w:line="184" w:lineRule="exact"/>
        <w:rPr>
          <w:sz w:val="20"/>
          <w:szCs w:val="20"/>
          <w:color w:val="auto"/>
        </w:rPr>
      </w:pPr>
    </w:p>
    <w:p>
      <w:pPr>
        <w:ind w:right="420" w:firstLine="324"/>
        <w:spacing w:after="0" w:line="258"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Cash equivalents include highly liquid short-term investments with original maturities of three months or less, readily</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to known amounts of cash. Investments with original maturities greater than three months and remaining maturities less than one year are classified as short-term investments. Investments with remaining maturities greater than one year are classified as other noncurrent assets. Securities classified as available-for-sale are stated at market value. The carrying value of investment securities sold is determined using the specific identification method.</w:t>
      </w:r>
    </w:p>
    <w:p>
      <w:pPr>
        <w:spacing w:after="0" w:line="188" w:lineRule="exact"/>
        <w:rPr>
          <w:sz w:val="20"/>
          <w:szCs w:val="20"/>
          <w:color w:val="auto"/>
        </w:rPr>
      </w:pPr>
    </w:p>
    <w:p>
      <w:pPr>
        <w:ind w:right="100" w:firstLine="324"/>
        <w:spacing w:after="0" w:line="320" w:lineRule="auto"/>
        <w:rPr>
          <w:sz w:val="20"/>
          <w:szCs w:val="20"/>
          <w:color w:val="auto"/>
        </w:rPr>
      </w:pPr>
      <w:r>
        <w:rPr>
          <w:rFonts w:ascii="Arial" w:cs="Arial" w:eastAsia="Arial" w:hAnsi="Arial"/>
          <w:sz w:val="15"/>
          <w:szCs w:val="15"/>
          <w:color w:val="auto"/>
        </w:rPr>
        <w:t>The amounts reported as cash and equivalents, short-term investments, receivables, other assets, accounts payable and accrued expenses and equipment purchase contracts approximate their fair values. The estimated fair value of the Company’s debt as of September 2, 2004, and August 28, 2003, was $1.2 billion and $1.3 billion, respectively.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The approximate fair values do not take into consideration expenses that could be incurred in an actual settlement.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firstLine="324"/>
        <w:spacing w:after="0" w:line="281"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stated at the lower of average cost or market value. Cost includes labor, material and overhead costs, including product and</w:t>
      </w:r>
      <w:r>
        <w:rPr>
          <w:rFonts w:ascii="Arial" w:cs="Arial" w:eastAsia="Arial" w:hAnsi="Arial"/>
          <w:sz w:val="17"/>
          <w:szCs w:val="17"/>
          <w:b w:val="1"/>
          <w:bCs w:val="1"/>
          <w:color w:val="auto"/>
        </w:rPr>
        <w:t xml:space="preserve"> </w:t>
      </w:r>
      <w:r>
        <w:rPr>
          <w:rFonts w:ascii="Arial" w:cs="Arial" w:eastAsia="Arial" w:hAnsi="Arial"/>
          <w:sz w:val="17"/>
          <w:szCs w:val="17"/>
          <w:color w:val="auto"/>
        </w:rPr>
        <w:t>process technology costs. Determining market value of inventories involves numerous judgments, including projecting average selling prices and sales volumes for future periods and costs to complete products in work in process inventories. As a result of these analyses, when market values are below the Company’s costs, the Company records a charge to cost of goods sold in advance of when the inventory is actually sold.</w:t>
      </w:r>
    </w:p>
    <w:p>
      <w:pPr>
        <w:spacing w:after="0" w:line="165"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Product and process technology: </w:t>
      </w:r>
      <w:r>
        <w:rPr>
          <w:rFonts w:ascii="Arial" w:cs="Arial" w:eastAsia="Arial" w:hAnsi="Arial"/>
          <w:sz w:val="18"/>
          <w:szCs w:val="18"/>
          <w:color w:val="auto"/>
        </w:rPr>
        <w:t>Costs incurred to acquire product and process technology or to patent technology developed by the Company are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 Fully-amortized costs are removed from product and process technology and accumulated amortization.</w:t>
      </w:r>
    </w:p>
    <w:p>
      <w:pPr>
        <w:sectPr>
          <w:pgSz w:w="11900" w:h="16838" w:orient="portrait"/>
          <w:cols w:equalWidth="0" w:num="1">
            <w:col w:w="11420"/>
          </w:cols>
          <w:pgMar w:left="240" w:top="121" w:right="239" w:bottom="0" w:gutter="0" w:footer="0" w:header="0"/>
        </w:sectPr>
      </w:pPr>
    </w:p>
    <w:bookmarkStart w:id="24" w:name="page25"/>
    <w:bookmarkEnd w:id="24"/>
    <w:p>
      <w:pPr>
        <w:ind w:right="260" w:firstLine="324"/>
        <w:spacing w:after="0" w:line="303"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are stated at cost and depreciated using the straight-line method over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useful lives of 5 to 30 years for buildings, 2 to 20 years for equipment and 2 to 5 years for software. Assets held for sale are carried at the lower of cost or estimated fair value and are included in other noncurrent assets. When property or equipment is retired or otherwise disposed of, the net book value of the asset is removed from the Company’s accounts and any net gain or loss is included in the Company’s results of operations.</w:t>
      </w:r>
    </w:p>
    <w:p>
      <w:pPr>
        <w:spacing w:after="0" w:line="155"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Company capitalizes interest on borrowings during the active construction period of major capital projects. Capitalized interest is added to the cost of the underlying assets and is amortized over the useful lives of the assets. The Company capitalized interest costs of $1.1 million, $3.4 million and $10.2 million in 2004, 2003 and 2002, respectively, in connection with various capital projects.</w:t>
      </w:r>
    </w:p>
    <w:p>
      <w:pPr>
        <w:spacing w:after="0" w:line="17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color w:val="auto"/>
        </w:rPr>
        <w:t>In December 2003, the Financial Accounting Standards Board (“FASB”) issued a revised Interpretation No. 46,</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of Variable Interest Entities – an interpretation of ARB No. 51,” which provides guidance on the identification of and reporting for variable interest entities. The Company adopted Interpretation No. 46 in the third quarter of 2004. Adoption of Interpretation No. 46 did not have a significant impact on the Company’s results of operations or financial condition.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Investment Securities</w:t>
            </w:r>
          </w:p>
        </w:tc>
        <w:tc>
          <w:tcPr>
            <w:tcW w:w="280" w:type="dxa"/>
            <w:vAlign w:val="bottom"/>
          </w:tcPr>
          <w:p>
            <w:pPr>
              <w:spacing w:after="0"/>
              <w:rPr>
                <w:sz w:val="14"/>
                <w:szCs w:val="1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7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U.S. government and agencies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664.2</w:t>
            </w:r>
          </w:p>
        </w:tc>
        <w:tc>
          <w:tcPr>
            <w:tcW w:w="200" w:type="dxa"/>
            <w:vAlign w:val="bottom"/>
          </w:tcPr>
          <w:p>
            <w:pPr>
              <w:spacing w:after="0"/>
              <w:rPr>
                <w:sz w:val="18"/>
                <w:szCs w:val="18"/>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391.1</w:t>
            </w:r>
          </w:p>
        </w:tc>
        <w:tc>
          <w:tcPr>
            <w:tcW w:w="80" w:type="dxa"/>
            <w:vAlign w:val="bottom"/>
          </w:tcPr>
          <w:p>
            <w:pPr>
              <w:spacing w:after="0"/>
              <w:rPr>
                <w:sz w:val="18"/>
                <w:szCs w:val="18"/>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222.1</w:t>
            </w:r>
          </w:p>
        </w:tc>
        <w:tc>
          <w:tcPr>
            <w:tcW w:w="8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118.9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Repurchase agreements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r>
      <w:tr>
        <w:trPr>
          <w:trHeight w:val="210"/>
        </w:trPr>
        <w:tc>
          <w:tcPr>
            <w:tcW w:w="7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Less cash equivalents</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(418.0)</w:t>
            </w: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noncurrent investments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7"/>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Gross unrealized gains and losses as of the end of the periods shown above were de minimis as were gross realized gains and losses in 2004, 2003 and 2002. Debt securities of $1,056.9 million held by the Company as of September 2, 2004, have contractual maturities within one year.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Receivables</w:t>
            </w:r>
          </w:p>
        </w:tc>
        <w:tc>
          <w:tcPr>
            <w:tcW w:w="28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r>
      <w:tr>
        <w:trPr>
          <w:trHeight w:val="210"/>
        </w:trPr>
        <w:tc>
          <w:tcPr>
            <w:tcW w:w="7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552.5</w:t>
            </w:r>
          </w:p>
        </w:tc>
      </w:tr>
      <w:tr>
        <w:trPr>
          <w:trHeight w:val="216"/>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Joint venture</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Taxes other than income</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7"/>
        </w:trPr>
        <w:tc>
          <w:tcPr>
            <w:tcW w:w="7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65"/>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Inventories</w:t>
            </w:r>
          </w:p>
        </w:tc>
        <w:tc>
          <w:tcPr>
            <w:tcW w:w="280" w:type="dxa"/>
            <w:vAlign w:val="bottom"/>
          </w:tcPr>
          <w:p>
            <w:pPr>
              <w:spacing w:after="0"/>
              <w:rPr>
                <w:sz w:val="24"/>
                <w:szCs w:val="2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4"/>
                <w:szCs w:val="24"/>
                <w:color w:val="auto"/>
              </w:rPr>
            </w:pPr>
          </w:p>
        </w:tc>
      </w:tr>
      <w:tr>
        <w:trPr>
          <w:trHeight w:val="210"/>
        </w:trPr>
        <w:tc>
          <w:tcPr>
            <w:tcW w:w="7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r>
      <w:tr>
        <w:trPr>
          <w:trHeight w:val="216"/>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Raw materials and supplies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r>
      <w:tr>
        <w:trPr>
          <w:trHeight w:val="216"/>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Allowance for obsolescence</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17"/>
        </w:trPr>
        <w:tc>
          <w:tcPr>
            <w:tcW w:w="7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Company recognized write-downs aggregating $307.0 million and $376.1 million in 2003 and 2002, respectively, to record work in process and finished goods inventories at their estimated market values.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2, 2004</w:t>
            </w:r>
          </w:p>
        </w:tc>
        <w:tc>
          <w:tcPr>
            <w:tcW w:w="220" w:type="dxa"/>
            <w:vAlign w:val="bottom"/>
          </w:tcPr>
          <w:p>
            <w:pPr>
              <w:spacing w:after="0"/>
              <w:rPr>
                <w:sz w:val="14"/>
                <w:szCs w:val="14"/>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August 28, 2003</w:t>
            </w:r>
          </w:p>
        </w:tc>
      </w:tr>
      <w:tr>
        <w:trPr>
          <w:trHeight w:val="119"/>
        </w:trPr>
        <w:tc>
          <w:tcPr>
            <w:tcW w:w="46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117"/>
              <w:spacing w:after="0" w:line="119"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r>
      <w:tr>
        <w:trPr>
          <w:trHeight w:val="171"/>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r>
      <w:tr>
        <w:trPr>
          <w:trHeight w:val="210"/>
        </w:trPr>
        <w:tc>
          <w:tcPr>
            <w:tcW w:w="4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Joint venture supply arrangement</w:t>
            </w: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46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447.8</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7"/>
        </w:trPr>
        <w:tc>
          <w:tcPr>
            <w:tcW w:w="4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During 2004, the Company capitalized $37.0 million for product and process technology with a weighted average useful life of ten years. During 2003, the Company capitalized $32.8 million for product and process technology and $2.5 million for other intangible assets with weighted average useful lives of ten and three years, respectively. As part of a restructure plan announced in the second quarter of 2003, the Company wrote off net carrying values of $16.1 million of product and process technology and $2.5 million of other intangible assets associated with discontinued products, including SRAM and TCAM products. (See “Restructure and Other Charges” note.)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37" w:right="259" w:bottom="0" w:gutter="0" w:footer="0" w:header="0"/>
        </w:sectPr>
      </w:pPr>
    </w:p>
    <w:bookmarkStart w:id="25" w:name="page26"/>
    <w:bookmarkEnd w:id="25"/>
    <w:p>
      <w:pPr>
        <w:ind w:right="160" w:firstLine="324"/>
        <w:spacing w:after="0" w:line="264" w:lineRule="auto"/>
        <w:rPr>
          <w:sz w:val="20"/>
          <w:szCs w:val="20"/>
          <w:color w:val="auto"/>
        </w:rPr>
      </w:pPr>
      <w:r>
        <w:rPr>
          <w:rFonts w:ascii="Arial" w:cs="Arial" w:eastAsia="Arial" w:hAnsi="Arial"/>
          <w:sz w:val="18"/>
          <w:szCs w:val="18"/>
          <w:color w:val="auto"/>
        </w:rPr>
        <w:t>Amortization expense for intangible assets was $50.3 million, $51.1 million and $47.1 million in 2004, 2003 and 2002, respectively. Annual amortization expense is estimated to be $49.3 million for 2005, $47.6 million for 2006, $45.8 million for 2007, $45.0 million for 2008 and $34.0 million for 2009.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Property, Plant and Equipment</w:t>
            </w:r>
          </w:p>
        </w:tc>
        <w:tc>
          <w:tcPr>
            <w:tcW w:w="280" w:type="dxa"/>
            <w:vAlign w:val="bottom"/>
          </w:tcPr>
          <w:p>
            <w:pPr>
              <w:spacing w:after="0"/>
              <w:rPr>
                <w:sz w:val="14"/>
                <w:szCs w:val="1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r>
      <w:tr>
        <w:trPr>
          <w:trHeight w:val="210"/>
        </w:trPr>
        <w:tc>
          <w:tcPr>
            <w:tcW w:w="7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r>
      <w:tr>
        <w:trPr>
          <w:trHeight w:val="216"/>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Buildings</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2,311.0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2,305.9</w:t>
            </w: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6,488.2</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240.8</w:t>
            </w: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w:t>
            </w:r>
          </w:p>
        </w:tc>
      </w:tr>
      <w:tr>
        <w:trPr>
          <w:trHeight w:val="210"/>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9,346.4</w:t>
            </w: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(4,835.9)</w:t>
            </w:r>
          </w:p>
        </w:tc>
      </w:tr>
      <w:tr>
        <w:trPr>
          <w:trHeight w:val="217"/>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4,712.7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4,510.5</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$1,166.3 million, $1,157.8 million and $1,127.5 million for 2004, 2003 and 2002, respectively.</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has manufacturing facilities in Virginia and Utah that are only partially utilized. As of September 2, 2004, the Virginia and Utah facilities had net book values of $663.3 million and $743.4 million, respectively. A portion of the Virginia facility is being used for 300mm wafer fabrication and a portion of the Utah facility is being used for component test operations. The Company is depreciating substantially all assets at the Virginia and Utah facilities other than $195.3 million of construction in progress in Utah as of September 2, 2004. Increased utilization of these facilities is dependent upon market conditions, including, but not limited to, worldwide market supply of, and demand for, semiconductor products and the Company’s operations, cash flows and alternative capacity utilization opportunities.</w:t>
      </w:r>
    </w:p>
    <w:p>
      <w:pPr>
        <w:spacing w:after="0" w:line="19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As part of a restructure plan announced in the second quarter of 2003, the Company recorded impairment charges of $42.6 million in 2003 to writedown the carrying value of certain assets used in the Company’s 200mm production line in Virginia, which was shut down as part of the restructure plan. (See “Restructure and Other Charges” note.)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280" w:type="dxa"/>
            <w:vAlign w:val="bottom"/>
          </w:tcPr>
          <w:p>
            <w:pPr>
              <w:spacing w:after="0"/>
              <w:rPr>
                <w:sz w:val="14"/>
                <w:szCs w:val="1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r>
      <w:tr>
        <w:trPr>
          <w:trHeight w:val="210"/>
        </w:trPr>
        <w:tc>
          <w:tcPr>
            <w:tcW w:w="7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340.8</w:t>
            </w:r>
          </w:p>
        </w:tc>
      </w:tr>
      <w:tr>
        <w:trPr>
          <w:trHeight w:val="216"/>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Salaries, wages and benefits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116.9</w:t>
            </w: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Joint venture</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r>
      <w:tr>
        <w:trPr>
          <w:trHeight w:val="216"/>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Taxes other than income</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r>
      <w:tr>
        <w:trPr>
          <w:trHeight w:val="217"/>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714.7</w:t>
            </w:r>
          </w:p>
        </w:tc>
        <w:tc>
          <w:tcPr>
            <w:tcW w:w="100" w:type="dxa"/>
            <w:vAlign w:val="bottom"/>
          </w:tcPr>
          <w:p>
            <w:pPr>
              <w:spacing w:after="0"/>
              <w:rPr>
                <w:sz w:val="18"/>
                <w:szCs w:val="18"/>
                <w:color w:val="auto"/>
              </w:rPr>
            </w:pPr>
          </w:p>
        </w:tc>
      </w:tr>
      <w:tr>
        <w:trPr>
          <w:trHeight w:val="365"/>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24"/>
                <w:szCs w:val="2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4"/>
                <w:szCs w:val="24"/>
                <w:color w:val="auto"/>
              </w:rPr>
            </w:pPr>
          </w:p>
        </w:tc>
      </w:tr>
      <w:tr>
        <w:trPr>
          <w:trHeight w:val="210"/>
        </w:trPr>
        <w:tc>
          <w:tcPr>
            <w:tcW w:w="7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Convertible subordinated notes payable, interest rate of 2.5%, due February 2010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632.5</w:t>
            </w:r>
          </w:p>
        </w:tc>
      </w:tr>
      <w:tr>
        <w:trPr>
          <w:trHeight w:val="202"/>
        </w:trPr>
        <w:tc>
          <w:tcPr>
            <w:tcW w:w="75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Subordinated notes payable, face amount of $210.0 million and stated interest rate of 6.5%, due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20" w:type="dxa"/>
            <w:vAlign w:val="bottom"/>
            <w:gridSpan w:val="2"/>
          </w:tcPr>
          <w:p>
            <w:pPr>
              <w:ind w:left="360"/>
              <w:spacing w:after="0"/>
              <w:rPr>
                <w:sz w:val="20"/>
                <w:szCs w:val="20"/>
                <w:color w:val="auto"/>
              </w:rPr>
            </w:pPr>
            <w:r>
              <w:rPr>
                <w:rFonts w:ascii="Arial" w:cs="Arial" w:eastAsia="Arial" w:hAnsi="Arial"/>
                <w:sz w:val="18"/>
                <w:szCs w:val="18"/>
                <w:color w:val="auto"/>
                <w:w w:val="97"/>
              </w:rPr>
              <w:t>September 2005, with an effective yield to maturity of 10.7%, net of unamortized discount of</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$8.5 million and $15.8 million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194.2</w:t>
            </w:r>
          </w:p>
        </w:tc>
      </w:tr>
      <w:tr>
        <w:trPr>
          <w:trHeight w:val="202"/>
        </w:trPr>
        <w:tc>
          <w:tcPr>
            <w:tcW w:w="75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Notes payable in periodic installments through July 2015, weighted average interest rate of 3.0%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2.3%</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r>
      <w:tr>
        <w:trPr>
          <w:trHeight w:val="202"/>
        </w:trPr>
        <w:tc>
          <w:tcPr>
            <w:tcW w:w="75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7"/>
              </w:rPr>
              <w:t>Capital lease obligations payable in monthly installments through May 2008, weighted average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imputed interest rate of 6.6% and 6.0%</w:t>
            </w: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r>
      <w:tr>
        <w:trPr>
          <w:trHeight w:val="210"/>
        </w:trPr>
        <w:tc>
          <w:tcPr>
            <w:tcW w:w="7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(70.6)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(88.9)</w:t>
            </w:r>
          </w:p>
        </w:tc>
      </w:tr>
      <w:tr>
        <w:trPr>
          <w:trHeight w:val="217"/>
        </w:trPr>
        <w:tc>
          <w:tcPr>
            <w:tcW w:w="7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September 2, 2004, notes payable and capital lease obligations of $111.7 million and $1.4 million, respectively, denominated in Japanese yen, were at weighted average interest rates of 1.3% and 1.8%,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February 2003, the Company issued $632.5 million of 2.5% Convertible Subordinated Notes due February 1, 2010 (the “Notes”). The issuance costs associated with the Notes totaled $16.6 million and the net proceeds to the Company from the offering of the Notes were $615.9 million. Holders of the Notes may convert all or some of their Notes at any time prior to maturity, unless previously redeemed or repurchased, into the Company’s common stock at a conversion rate of 84.8320 shares for each $1,000 principal amount of Notes. This conversion rate is equivalent to a conversion price of approximately $11.79 per share. The Company may redeem the notes at any time after February 6, 2006, at declining premiums to par.</w:t>
      </w:r>
    </w:p>
    <w:p>
      <w:pPr>
        <w:spacing w:after="0" w:line="173"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Certain notes payable are collateralized by property, plant and equipment with a carrying value of $150.5 million as of September 2, 2004. Equipment under capital leases and accumulated amortization thereon were $108.1 million and $38.0 million, respectively, as of September 2, 2004, and $72.5 million and $19.2 million, respectively, as of August 28, 2003.</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2, 2004, maturities of notes payable and future minimum lease payments under capital lease obligations were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9"/>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Payable</w:t>
            </w: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Obligations</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0" w:gutter="0" w:footer="0" w:header="0"/>
        </w:sectPr>
      </w:pPr>
    </w:p>
    <w:bookmarkStart w:id="26" w:name="page27"/>
    <w:bookmarkEnd w:id="26"/>
    <w:p>
      <w:pPr>
        <w:spacing w:after="0" w:line="69"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2006</w:t>
            </w:r>
          </w:p>
        </w:tc>
        <w:tc>
          <w:tcPr>
            <w:tcW w:w="3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261.2</w:t>
            </w:r>
          </w:p>
        </w:tc>
        <w:tc>
          <w:tcPr>
            <w:tcW w:w="4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40" w:type="dxa"/>
            <w:vAlign w:val="bottom"/>
          </w:tcPr>
          <w:p>
            <w:pPr>
              <w:spacing w:after="0"/>
              <w:rPr>
                <w:sz w:val="20"/>
                <w:szCs w:val="20"/>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4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2010 and thereafter</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642.5</w:t>
            </w:r>
          </w:p>
        </w:tc>
        <w:tc>
          <w:tcPr>
            <w:tcW w:w="4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and interest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4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7"/>
        </w:trPr>
        <w:tc>
          <w:tcPr>
            <w:tcW w:w="54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1,021.1</w:t>
            </w: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 Spread Options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Concurrent with the issuance of the Notes, the Company purchased call spread options (the “Call Spread Options”) covering 53.7 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Settlement of the Call Spread Options in cash on January 29, 2008, the expiration date, would result in the Company receiving an amount ranging from zero if the market price per share of the Company’s common stock is at or below $11.79 to a maximum of $343.4 million if the market price per share of the Company’s common stock is at or above $18.19. Settlement of the Call Spread Options in net shares on the expiration date would result in the Company receiving a number of shares of the Company’s common stock, not to exceed 18.9 million shares, with a value equal to the amount otherwise receivable on cash settlement. Should there be an early unwind of the Call Spread Options, the amount of cash or net shares potentially received by the Company will be dependent upon then existing overall market conditions, and on the Company’s stock price, the volatility of the Company’s stock and the amount of time remaining on the Call Spread Options. The Call Spread Options therefore have the potential of limiting the dilution associated with the conversion of the Notes from 53.7 million shares to as few as 34.8 million shares. The Call Spread Option transactions, including fees and costs of $109.1 million, are accounted for as capital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Company entered into an interest rate swap agreement (the “Swap”) that effectively converted, beginning August 29, 2003, the fixed interest rate on the Notes to a variable interest rate based on the 3-month London Interbank Offering Rate (“LIBOR”) less 65 basis points (average rate of 0.56% for 2004). The Swap qualifies as a fair-value hedge under SFAS No. 133, “Accounting for Derivative Instruments and Hedging Activities.” The gain or loss from changes in the fair value of the Swap is expected to be highly effective at offsetting the gain or loss from changes in the fair value of the Notes attributable to changes in interest rates. The Company measures the effectiveness of the Swap using regression analysis. The Company recognizes changes in the fair value of the Swap and changes in the fair value of the Notes since inception of the Swap in the consolidated balance sheets. In 2004, the Company recognized a net gain of $0.2 million, which is included in other non-operating income, representing the difference between the change in the fair value of the Notes and the change in the fair value of the Swap. As of September 2, 2004, the Company had pledged $25.8 million as collateral for the Swap, which is included in restricted cash in the accompanying consolidated balance sheet. The amount of collateral fluctuates based on the fair value of the Swap. The Swap will terminate if the closing price of the Company’s common stock is at or exceeds $14.15 after February 6, 2006.</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September 2, 2004, the Company had commitments of approximately $360.0 million for the acquisition of property, plant and equipment. The Company leases certain facilities, equipment and software under operating leases. Total rental expense on all operating leases was $21.1 million, $24.6 million and $16.2 million for 2004, 2003 and 2002, respectively. Minimum future rental commitments under operating leases aggregated $62.5 million as of September 2, 2004, and are payable as follows: $16.3 million in 2005, $12.7 million in 2006; $3.7 million in 2007; $3.3 million in 2008; $2.7 million in 2009; and $23.8 million in 2010 and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As is typical in the semiconductor and other high technology industries, from time to time, others have asserted, and may in the future assert, that the Company’s products or manufacturing processes infringe their intellectual property rights. The Company is engaged in litigation with Rambus, Inc. (“Rambus”) relating to certain of Rambus’ patents and certain of the Company’s claims and defenses. Lawsuits between Rambus and the Company are pending in the United States, Germany, France, the United Kingdom and Italy. The Company also is engaged in litigation with Motorola, Inc. (“Motorola”) and Freescale Semiconductor, Inc., a subsidiary of Motorola (“Freescale”), relating to certain of the Company’s patents and certain of Freescale’s patents. A lawsuit between Motorola and Freescale and the Company is pending in the U.S. District Courts for the Western District of Texas (Austin). The above lawsuits pertain to certain of the Company’s SDRAM and DDR DRAM products, which account for a significant portion of net sales. The Company is unable to predict the outcome of these suits or of other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8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Subsequent to the commencement of the DOJ investigation, thirty-one purported class action lawsuits were filed against the Company and other DRAM suppliers in various federal and state courts alleging violations of the Sherman Act, violations of state unfair competition law and consumer protection law, and unjust enrichment relating to the sale and pricing of DRAM products. The complaints seek treble damages for the alleged damages sustained by purported class members, in addition to restitution, costs and attorneys’ fees, as well as an injunction against the allegedly unlawful conduct.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final resolution of these alleged violations of federal or state antitrust laws could result in significant liability and could have a material adverse effect on the Company’s business, results of operations or financial condition.</w:t>
      </w:r>
    </w:p>
    <w:p>
      <w:pPr>
        <w:spacing w:after="0" w:line="183"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certain causes of action under California state law including conspiracy to restrict output and fix prices on Rambus</w:t>
      </w:r>
    </w:p>
    <w:p>
      <w:pPr>
        <w:sectPr>
          <w:pgSz w:w="11900" w:h="16908" w:orient="portrait"/>
          <w:cols w:equalWidth="0" w:num="1">
            <w:col w:w="11380"/>
          </w:cols>
          <w:pgMar w:left="240" w:top="125" w:right="279" w:bottom="0" w:gutter="0" w:footer="0" w:header="0"/>
        </w:sectPr>
      </w:pPr>
    </w:p>
    <w:bookmarkStart w:id="27" w:name="page28"/>
    <w:bookmarkEnd w:id="27"/>
    <w:p>
      <w:pPr>
        <w:ind w:right="60"/>
        <w:spacing w:after="0" w:line="257" w:lineRule="auto"/>
        <w:rPr>
          <w:sz w:val="20"/>
          <w:szCs w:val="20"/>
          <w:color w:val="auto"/>
        </w:rPr>
      </w:pPr>
      <w:r>
        <w:rPr>
          <w:rFonts w:ascii="Arial" w:cs="Arial" w:eastAsia="Arial" w:hAnsi="Arial"/>
          <w:sz w:val="18"/>
          <w:szCs w:val="18"/>
          <w:color w:val="auto"/>
        </w:rPr>
        <w:t>DRAM (“RDRAM”), conspiracy to monopolize various relevant markets, intentional interference with prospective economic advantage relating to RDRAM, and unfair competition to disadvantage RDRAM. The complaint seeks treble damages, punitive damages, attorneys’ fees, costs, and a permanent injunction enjoining the defendants from the conduct alleged in the complaint. The Company is unable to predict the outcome of the suit. A court determination against the Company could result in significant liability and could have a material adverse effect on the Company’s business, results of operations or financial condition.</w:t>
      </w:r>
    </w:p>
    <w:p>
      <w:pPr>
        <w:spacing w:after="0" w:line="188" w:lineRule="exact"/>
        <w:rPr>
          <w:sz w:val="20"/>
          <w:szCs w:val="20"/>
          <w:color w:val="auto"/>
        </w:rPr>
      </w:pPr>
    </w:p>
    <w:p>
      <w:pPr>
        <w:jc w:val="both"/>
        <w:ind w:right="400" w:firstLine="324"/>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6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each particular agreement. Historically, payments made by the Company under these types of agreements have not had a material effect on the Company’s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Common Stock</w:t>
      </w:r>
    </w:p>
    <w:p>
      <w:pPr>
        <w:spacing w:after="0" w:line="229"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In connection with the Company’s acquisition on April 22, 2002, of substantially all of the assets of Toshiba Corporation’s (“Toshiba”) DRAM business as conducted by Dominion Semiconductor L.L.C., the Company issued Toshiba 1.5 million shares of common stock and granted Toshiba an option to require the Company to repurchase the shares for $67.5 million in cash. During the first quarter of 2004, Toshiba exercised its option and the Company redeemed the 1.5 million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Rights</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On September 24, 2003, the Company received $450.0 million, which is included in additional capital in the accompanying consolidated balance sheet, from Intel Corporation (“Intel”)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300mm wafer processing capacity. In the event the Company fails to achieve certain 2005 milestones and the Company’s common stock price is then below Intel’s purchase price of $13.29, the Company could be obligated to pay Intel amounts not to exceed $135 million, a substantial portion of which is payable, at the Company’s election, in the Company’s common stock. The shares issuable pursuant to the stock rights are considered outstanding common shares in the computations of basic and diluted earnings per share.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right="40" w:firstLine="369"/>
        <w:spacing w:after="0" w:line="293" w:lineRule="auto"/>
        <w:rPr>
          <w:sz w:val="20"/>
          <w:szCs w:val="20"/>
          <w:color w:val="auto"/>
        </w:rPr>
      </w:pPr>
      <w:r>
        <w:rPr>
          <w:rFonts w:ascii="Arial" w:cs="Arial" w:eastAsia="Arial" w:hAnsi="Arial"/>
          <w:sz w:val="16"/>
          <w:szCs w:val="16"/>
          <w:color w:val="auto"/>
        </w:rPr>
        <w:t>During the fourth quarter of 2001, the Company received $480.2 million from the issuance of warrants to purchase 29.1 million shares of the Company’s common stock. The warrants entitle the holders to exercise their warrants and purchase shares of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September 2, 2004, there have been no exercises of warrants and all warrants issued remain outstanding.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income (loss), net of tax, consists of the following as of the end of the periods shown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100" w:type="dxa"/>
            <w:vAlign w:val="bottom"/>
            <w:gridSpan w:val="2"/>
          </w:tcPr>
          <w:p>
            <w:pPr>
              <w:jc w:val="right"/>
              <w:ind w:right="25"/>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9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0"/>
        </w:trPr>
        <w:tc>
          <w:tcPr>
            <w:tcW w:w="1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3100" w:type="dxa"/>
            <w:vAlign w:val="bottom"/>
            <w:gridSpan w:val="2"/>
            <w:shd w:val="clear" w:color="auto" w:fill="CCEEFF"/>
          </w:tcPr>
          <w:p>
            <w:pPr>
              <w:jc w:val="right"/>
              <w:ind w:right="70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15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2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560" w:type="dxa"/>
            <w:vAlign w:val="bottom"/>
          </w:tcPr>
          <w:p>
            <w:pPr>
              <w:spacing w:after="0"/>
              <w:rPr>
                <w:sz w:val="18"/>
                <w:szCs w:val="18"/>
                <w:color w:val="auto"/>
              </w:rPr>
            </w:pPr>
          </w:p>
        </w:tc>
      </w:tr>
      <w:tr>
        <w:trPr>
          <w:trHeight w:val="230"/>
        </w:trPr>
        <w:tc>
          <w:tcPr>
            <w:tcW w:w="18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Pr>
          <w:p>
            <w:pPr>
              <w:spacing w:after="0"/>
              <w:rPr>
                <w:sz w:val="19"/>
                <w:szCs w:val="19"/>
                <w:color w:val="auto"/>
              </w:rPr>
            </w:pPr>
          </w:p>
        </w:tc>
      </w:tr>
      <w:tr>
        <w:trPr>
          <w:trHeight w:val="419"/>
        </w:trPr>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40" w:type="dxa"/>
            <w:vAlign w:val="bottom"/>
          </w:tcPr>
          <w:p>
            <w:pPr>
              <w:jc w:val="right"/>
              <w:ind w:right="1116"/>
              <w:spacing w:after="0"/>
              <w:rPr>
                <w:sz w:val="20"/>
                <w:szCs w:val="20"/>
                <w:color w:val="auto"/>
              </w:rPr>
            </w:pPr>
            <w:r>
              <w:rPr>
                <w:rFonts w:ascii="Arial" w:cs="Arial" w:eastAsia="Arial" w:hAnsi="Arial"/>
                <w:sz w:val="18"/>
                <w:szCs w:val="18"/>
                <w:color w:val="auto"/>
              </w:rPr>
              <w:t>40</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of September 2, 2004, the Company had an aggregate of 148.4 million shares of its common stock reserved for issuance under its various stock option plans, of which 106.4 million shares are subject to outstanding options and 42.0 million shares are available for future grants. Options are subject to terms and conditions as determined by the Company’s Board of Directors. Stock options granted after June 16, 1999, are generally exercisable in increments of 25% during each year of employment beginning one year from the date of grant. Stock options granted prior to June 16, 1999, are generally exercisable in increments of 20% during each year of employment beginning one year from the date of grant. Stock options issued prior to January 19, 1998, expire six years from the date of grant and stock options granted through September 2, 2004, expire ten years from the date of grant.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 activity under the Company’s stock option plans is summarized as follows:</w:t>
      </w:r>
    </w:p>
    <w:p>
      <w:pPr>
        <w:sectPr>
          <w:pgSz w:w="11900" w:h="16838" w:orient="portrait"/>
          <w:cols w:equalWidth="0" w:num="1">
            <w:col w:w="11440"/>
          </w:cols>
          <w:pgMar w:left="240" w:top="125" w:right="219" w:bottom="0" w:gutter="0" w:footer="0" w:header="0"/>
        </w:sectPr>
      </w:pPr>
    </w:p>
    <w:bookmarkStart w:id="28" w:name="page29"/>
    <w:bookmarkEnd w:id="28"/>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2004</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exercise</w:t>
            </w: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exercise</w:t>
            </w: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price</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price</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12.98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13.23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12.44</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Cancelled or expired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26.02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23.02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21.88</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24.17</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options outstanding as of September 2, 2004: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Outstanding options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657"/>
              <w:spacing w:after="0"/>
              <w:rPr>
                <w:sz w:val="20"/>
                <w:szCs w:val="20"/>
                <w:color w:val="auto"/>
              </w:rPr>
            </w:pPr>
            <w:r>
              <w:rPr>
                <w:rFonts w:ascii="Arial" w:cs="Arial" w:eastAsia="Arial" w:hAnsi="Arial"/>
                <w:sz w:val="14"/>
                <w:szCs w:val="14"/>
                <w:b w:val="1"/>
                <w:bCs w:val="1"/>
                <w:color w:val="auto"/>
              </w:rPr>
              <w:t>Exercisable options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Pr>
          <w:p>
            <w:pPr>
              <w:spacing w:after="0"/>
              <w:rPr>
                <w:sz w:val="10"/>
                <w:szCs w:val="10"/>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remaining</w:t>
            </w:r>
          </w:p>
        </w:tc>
        <w:tc>
          <w:tcPr>
            <w:tcW w:w="20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contractual life</w:t>
            </w:r>
          </w:p>
        </w:tc>
        <w:tc>
          <w:tcPr>
            <w:tcW w:w="20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exercise</w:t>
            </w: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3220" w:type="dxa"/>
            <w:vAlign w:val="bottom"/>
            <w:gridSpan w:val="3"/>
            <w:vMerge w:val="continue"/>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price</w:t>
            </w: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$0.28  - $14.00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$14.02 - $22.83</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19.37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$23.25 - $34.06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$34.09 - $40.06</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36.81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$40.38 - $96.56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8"/>
                <w:szCs w:val="18"/>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21.88</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22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Company’s 1989 Employee Stock Purchase Plan (“ESPP”) allows eligible employees to purchase shares of the Company’s common stock through payroll deductions. The shares can be purchased for 85% of the lower of the beginning or ending closing stock prices of each offering period and can be resold when purchased. Purchases are limited to 20% of an employee’s eligible compensation. As of September 2, 2004, 22.0 million shares of the Company’s common stock had been issued under the ESPP and 3.5 million shares were available for future issuance under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Stock Incentive Plan</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September 2, 2004, 18,568 shares of the Company’s common stock had been issued under the 1998 Non-Employee Director Stock Incentive Plan (“DSIP Plan”) and 481,432 shares were reserved for future issuance under the plan. Shares are issued under the DSIP plan as compensation to non-employee directors of the Company.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Assumptions used in the Black-Scholes option valuation model to estimate the value of the Company’s options included in pro forma amounts are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 option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Employee stock</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plan shares</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purchase plan shares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6"/>
              </w:rPr>
              <w:t>2003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0.25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Risk-free interest rate (zero coupon U.S. Treasury</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7"/>
              </w:rPr>
              <w:t>Weighted average fair value per share at grant: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price equal to market price</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Exercise price less than market price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08"/>
              <w:spacing w:after="0"/>
              <w:rPr>
                <w:sz w:val="20"/>
                <w:szCs w:val="20"/>
                <w:color w:val="auto"/>
              </w:rPr>
            </w:pPr>
            <w:r>
              <w:rPr>
                <w:rFonts w:ascii="Arial" w:cs="Arial" w:eastAsia="Arial" w:hAnsi="Arial"/>
                <w:sz w:val="18"/>
                <w:szCs w:val="18"/>
                <w:color w:val="auto"/>
              </w:rPr>
              <w:t>3.47</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price greater than market price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Weighted average exercise price per share: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price equal to market price</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13.22</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Exercise price less than market price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08"/>
              <w:spacing w:after="0"/>
              <w:rPr>
                <w:sz w:val="20"/>
                <w:szCs w:val="20"/>
                <w:color w:val="auto"/>
              </w:rPr>
            </w:pPr>
            <w:r>
              <w:rPr>
                <w:rFonts w:ascii="Arial" w:cs="Arial" w:eastAsia="Arial" w:hAnsi="Arial"/>
                <w:sz w:val="18"/>
                <w:szCs w:val="18"/>
                <w:color w:val="auto"/>
              </w:rPr>
              <w:t>12.97</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price greater than market price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In addition, the Black-Scholes model requires the input of subjective assumptions, including the expected stock price volatility and estimated option life. Because the Company’s stock options granted to employees have characteristics significantly different from those of traded options and because changes in the subjective input assumptions can materially affect the fair value estimate, in management’s opinion, existing models do not provide a reliable measure of the fair value of the Company’s stock options granted to employees. For purposes of this valuation model, no dividends have been assumed.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Savings Plan</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Company has a 401(k) retirement plan (“RAM Plan”) under which U.S. employees may contribute up to 45% of their eligible pay to various savings alternatives, none of which include direct investment in the Company’s common stock. The Company’s contribution provides for an annual match of the first</w:t>
      </w:r>
    </w:p>
    <w:p>
      <w:pPr>
        <w:sectPr>
          <w:pgSz w:w="11900" w:h="16935" w:orient="portrait"/>
          <w:cols w:equalWidth="0" w:num="1">
            <w:col w:w="11400"/>
          </w:cols>
          <w:pgMar w:left="240" w:top="118" w:right="259" w:bottom="0" w:gutter="0" w:footer="0" w:header="0"/>
        </w:sectPr>
      </w:pPr>
    </w:p>
    <w:bookmarkStart w:id="29" w:name="page30"/>
    <w:bookmarkEnd w:id="29"/>
    <w:p>
      <w:pPr>
        <w:ind w:right="700"/>
        <w:spacing w:after="0" w:line="277" w:lineRule="auto"/>
        <w:rPr>
          <w:sz w:val="20"/>
          <w:szCs w:val="20"/>
          <w:color w:val="auto"/>
        </w:rPr>
      </w:pPr>
      <w:r>
        <w:rPr>
          <w:rFonts w:ascii="Arial" w:cs="Arial" w:eastAsia="Arial" w:hAnsi="Arial"/>
          <w:sz w:val="18"/>
          <w:szCs w:val="18"/>
          <w:color w:val="auto"/>
        </w:rPr>
        <w:t>$1,500 of eligible employee contributions, in addition to contributions based on the Company’s financial performance. Contribution expense for the Company’s RAM Plan was $13.7 million, $12.5 million and $12.8 million in 2004, 2003 and 2002,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the second quarter of 2003, the Company announced a plan to restructure its operations. The restructure plan included the shutdown of the Company’s 200mm production line in Virginia, the discontinuance of certain memory products, including SRAM and TCAM products, and an approximate 10% reduction of the Company’s worldwide workforce. In connection with the plan, the Company recorded $109.2 million of restructure charges and additional restructure related charges of $7.1 million, which are included in cost of goods sold, in 2003. The credit to restructure in 2004 primarily reflects gains on sales of equipment associated with operations shut down in the restructure. The generally higher equipment sales prices were reflective of improved market conditions across the semiconductor industry. The Company has substantially completed the restructure plan. As of August 28, 2003, the Company’s accounts payable and accrued expenses included $3.1 million for remaining costs accrued in connection with the restructure plan. Through September 2, 2004, the Company had paid essentially all of the severance and other termination benefits and other costs incurred in connection with the restructure plan. The components of the restructure charge and additional restructure related charges in 2004 and 2003 were as follows: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Restructure charge:</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Write-down of equipment</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other termination benefits</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Write-down of intangible assets</w:t>
            </w: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180"/>
              <w:spacing w:after="0"/>
              <w:rPr>
                <w:sz w:val="20"/>
                <w:szCs w:val="20"/>
                <w:color w:val="auto"/>
              </w:rPr>
            </w:pPr>
            <w:r>
              <w:rPr>
                <w:rFonts w:ascii="Arial" w:cs="Arial" w:eastAsia="Arial" w:hAnsi="Arial"/>
                <w:sz w:val="18"/>
                <w:szCs w:val="18"/>
                <w:color w:val="auto"/>
              </w:rPr>
              <w:t>Total restructure charge</w:t>
            </w: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(22.5)</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109.2</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Other charges to write down raw materials and work in process inventories</w:t>
            </w: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7"/>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restructure and other charges</w:t>
            </w:r>
          </w:p>
        </w:tc>
        <w:tc>
          <w:tcPr>
            <w:tcW w:w="82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 Net</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Other operating expense for 2004 includes losses of $17.2 million from changes in currency exchange rates. Other operating income for 2004 includes $7.2 million from the Commonwealth of Virginia for meeting investment commitments at the Virginia wafer fabrication facility and net gains of $3.9 million on write-downs and disposals of semiconductor equipment. Other operating expense for 2003 includes net losses on write-downs and disposals of semiconductor equipment of $41.5 million and losses of $10.7 million from changes in currency exchange rates. Other operating expense for 2003 is net of $14.4 million in receipts from the U.S. government in connection with anti-dumping tariffs. Other operating expense for 2002 includes net losses on write-downs and disposals of semiconductor equipment of $27.3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(provision) benefit consists of:</w:t>
      </w: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2002</w:t>
            </w:r>
          </w:p>
        </w:tc>
      </w:tr>
      <w:tr>
        <w:trPr>
          <w:trHeight w:val="210"/>
        </w:trPr>
        <w:tc>
          <w:tcPr>
            <w:tcW w:w="6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U.S. federal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60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10"/>
        </w:trPr>
        <w:tc>
          <w:tcPr>
            <w:tcW w:w="60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U.S. federal</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(62.6)</w:t>
            </w:r>
          </w:p>
        </w:tc>
        <w:tc>
          <w:tcPr>
            <w:tcW w:w="28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(67.8)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10"/>
        </w:trPr>
        <w:tc>
          <w:tcPr>
            <w:tcW w:w="6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17"/>
        </w:trPr>
        <w:tc>
          <w:tcPr>
            <w:tcW w:w="6080" w:type="dxa"/>
            <w:vAlign w:val="bottom"/>
          </w:tcPr>
          <w:p>
            <w:pPr>
              <w:ind w:left="38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r>
    </w:tbl>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reconciliation between income tax (provision) benefit computed using the U.S. federal statutory rate and the Company’s income tax (provision) benefit is as follows:</w:t>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r>
      <w:tr>
        <w:trPr>
          <w:trHeight w:val="210"/>
        </w:trPr>
        <w:tc>
          <w:tcPr>
            <w:tcW w:w="6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at statutory rate</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420.1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349.5</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8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37.3</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38.7</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Foreign operations</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(558.8)</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(330.1)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Resolution of tax matters</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Export sales benefit</w:t>
            </w: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r>
        <w:trPr>
          <w:trHeight w:val="217"/>
        </w:trPr>
        <w:tc>
          <w:tcPr>
            <w:tcW w:w="6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(provision) benefit</w:t>
            </w: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2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30" w:name="page31"/>
    <w:bookmarkEnd w:id="30"/>
    <w:p>
      <w:pPr>
        <w:ind w:left="340"/>
        <w:spacing w:after="0"/>
        <w:rPr>
          <w:sz w:val="20"/>
          <w:szCs w:val="20"/>
          <w:color w:val="auto"/>
        </w:rPr>
      </w:pPr>
      <w:r>
        <w:rPr>
          <w:rFonts w:ascii="Arial" w:cs="Arial" w:eastAsia="Arial" w:hAnsi="Arial"/>
          <w:sz w:val="18"/>
          <w:szCs w:val="18"/>
          <w:color w:val="auto"/>
        </w:rPr>
        <w:t>State taxes reflect investment tax credits of $9.1 million, $16.8 million and $23.6 million for 2004, 2003 and 2002, respectively.</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basis of assets and liabilities for financial reporting and income tax purposes. The Company’s deferred tax assets and liabilities consist of the following as of the end of the periods shown below:</w:t>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Net operating loss and credit carryforwards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1,237.7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1,263.9</w:t>
            </w:r>
          </w:p>
        </w:tc>
        <w:tc>
          <w:tcPr>
            <w:tcW w:w="6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product and process technology</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122.7</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116.0</w:t>
            </w:r>
          </w:p>
        </w:tc>
        <w:tc>
          <w:tcPr>
            <w:tcW w:w="60" w:type="dxa"/>
            <w:vAlign w:val="bottom"/>
          </w:tcPr>
          <w:p>
            <w:pPr>
              <w:spacing w:after="0"/>
              <w:rPr>
                <w:sz w:val="18"/>
                <w:szCs w:val="18"/>
                <w:color w:val="auto"/>
              </w:rPr>
            </w:pPr>
          </w:p>
        </w:tc>
      </w:tr>
      <w:tr>
        <w:trPr>
          <w:trHeight w:val="210"/>
        </w:trPr>
        <w:tc>
          <w:tcPr>
            <w:tcW w:w="75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deferred tax assets</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1,451.8</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(1,004.3)</w:t>
            </w:r>
          </w:p>
        </w:tc>
        <w:tc>
          <w:tcPr>
            <w:tcW w:w="2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(993.1)</w:t>
            </w:r>
          </w:p>
        </w:tc>
      </w:tr>
      <w:tr>
        <w:trPr>
          <w:trHeight w:val="210"/>
        </w:trPr>
        <w:tc>
          <w:tcPr>
            <w:tcW w:w="75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7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Excess tax over book depreciation</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(331.2)</w:t>
            </w:r>
          </w:p>
        </w:tc>
        <w:tc>
          <w:tcPr>
            <w:tcW w:w="2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(305.1)</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and process technology</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(61.6)</w:t>
            </w:r>
          </w:p>
        </w:tc>
      </w:tr>
      <w:tr>
        <w:trPr>
          <w:trHeight w:val="210"/>
        </w:trPr>
        <w:tc>
          <w:tcPr>
            <w:tcW w:w="75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7"/>
        </w:trPr>
        <w:tc>
          <w:tcPr>
            <w:tcW w:w="7520" w:type="dxa"/>
            <w:vAlign w:val="bottom"/>
          </w:tcPr>
          <w:p>
            <w:pPr>
              <w:ind w:left="380"/>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Company currently records a valuation allowance against substantially all of its U.S. net deferred tax assets. As of September 2, 2004, the Company had aggregate U.S. tax net operating loss carryforwards of $2.8 billion and unused U.S. tax credit carryforwards of $106.7 million which expire through</w:t>
      </w:r>
    </w:p>
    <w:p>
      <w:pPr>
        <w:ind w:right="240"/>
        <w:spacing w:after="0" w:line="261" w:lineRule="auto"/>
        <w:rPr>
          <w:sz w:val="20"/>
          <w:szCs w:val="20"/>
          <w:color w:val="auto"/>
        </w:rPr>
      </w:pPr>
      <w:r>
        <w:rPr>
          <w:rFonts w:ascii="Arial" w:cs="Arial" w:eastAsia="Arial" w:hAnsi="Arial"/>
          <w:sz w:val="18"/>
          <w:szCs w:val="18"/>
          <w:color w:val="auto"/>
        </w:rPr>
        <w:t>2024. The Company also has unused state tax net operating loss carryforwards of $1.7 billion for tax purposes which expire through 2024 and unused state tax credits of $123.9 million for tax and financial reporting purposes which expire through 2018.</w:t>
      </w:r>
    </w:p>
    <w:p>
      <w:pPr>
        <w:spacing w:after="0" w:line="18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changes in valuation allowance of $11.2 million and $561.6 million in 2004 and 2003, respectively, are primarily due to uncertainties of realizing certain U.S. net operating losses and certain tax credit carryforwards. The change in the valuation allowance in 2004 and 2003 includes $2.3 million and $2.2 million, respectively, for stock plan deductions, which will be credited to additional capital if realized.</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Provision has been made for deferred taxes on undistributed earnings of non-U.S. subsidiaries to the extent that dividend payments from such companies are expected to result in additional tax liability. Remaining undistributed earnings of $614.1 million have been indefinitely reinvested; therefore, no provision has been made for taxes due upon remittance of these earnings. Determination of the amount of unrecognized deferred tax liability on these unremitted earnings is not practicable.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0"/>
        </w:trPr>
        <w:tc>
          <w:tcPr>
            <w:tcW w:w="1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157.2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(1,273.2)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r>
      <w:tr>
        <w:trPr>
          <w:trHeight w:val="217"/>
        </w:trPr>
        <w:tc>
          <w:tcPr>
            <w:tcW w:w="18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available to common shareholders</w:t>
            </w:r>
          </w:p>
        </w:tc>
        <w:tc>
          <w:tcPr>
            <w:tcW w:w="13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156.3</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(909.1</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641.5</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607.5</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601.5</w:t>
            </w: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effect of dilutive stock options</w:t>
            </w: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r>
      <w:tr>
        <w:trPr>
          <w:trHeight w:val="217"/>
        </w:trPr>
        <w:tc>
          <w:tcPr>
            <w:tcW w:w="18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3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645.7</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601.5</w:t>
            </w:r>
          </w:p>
        </w:tc>
        <w:tc>
          <w:tcPr>
            <w:tcW w:w="80" w:type="dxa"/>
            <w:vAlign w:val="bottom"/>
            <w:tcBorders>
              <w:bottom w:val="single" w:sz="8" w:color="CCEEFF"/>
            </w:tcBorders>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1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000" w:type="dxa"/>
            <w:vAlign w:val="bottom"/>
          </w:tcPr>
          <w:p>
            <w:pPr>
              <w:spacing w:after="0"/>
              <w:rPr>
                <w:sz w:val="20"/>
                <w:szCs w:val="20"/>
                <w:color w:val="auto"/>
              </w:rPr>
            </w:pPr>
          </w:p>
        </w:tc>
      </w:tr>
      <w:tr>
        <w:trPr>
          <w:trHeight w:val="418"/>
        </w:trPr>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320" w:type="dxa"/>
            <w:vAlign w:val="bottom"/>
          </w:tcPr>
          <w:p>
            <w:pPr>
              <w:jc w:val="right"/>
              <w:ind w:right="374"/>
              <w:spacing w:after="0"/>
              <w:rPr>
                <w:sz w:val="20"/>
                <w:szCs w:val="20"/>
                <w:color w:val="auto"/>
              </w:rPr>
            </w:pPr>
            <w:r>
              <w:rPr>
                <w:rFonts w:ascii="Arial" w:cs="Arial" w:eastAsia="Arial" w:hAnsi="Arial"/>
                <w:sz w:val="18"/>
                <w:szCs w:val="18"/>
                <w:color w:val="auto"/>
              </w:rPr>
              <w:t>44</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47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September 24, 2003, the Company issued stock rights to Intel which are exchangeable into approximately 33.9 million shares of the Company’s common stock. The shares issuable pursuant to the stock rights are considered outstanding common shares in the computations of basic and diluted earnings per share. (See “Shareholders’ Equity – Stock Rights” note.)</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Listed below are the potential common shares, as of the end of the periods shown below, that could dilute basic earnings per share in the future that were not included in the computation of diluted earnings per share because to do so would have been antidilutive:</w:t>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6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4"/>
                <w:szCs w:val="14"/>
                <w:color w:val="auto"/>
              </w:rPr>
            </w:pPr>
          </w:p>
        </w:tc>
        <w:tc>
          <w:tcPr>
            <w:tcW w:w="1240" w:type="dxa"/>
            <w:vAlign w:val="bottom"/>
          </w:tcPr>
          <w:p>
            <w:pPr>
              <w:jc w:val="right"/>
              <w:ind w:right="39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r>
      <w:tr>
        <w:trPr>
          <w:trHeight w:val="210"/>
        </w:trPr>
        <w:tc>
          <w:tcPr>
            <w:tcW w:w="60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plans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w:t>
            </w: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Convertible subordinated notes payable</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53.7</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53.7</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ectPr>
          <w:pgSz w:w="11900" w:h="16838" w:orient="portrait"/>
          <w:cols w:equalWidth="0" w:num="1">
            <w:col w:w="11440"/>
          </w:cols>
          <w:pgMar w:left="240" w:top="584" w:right="219" w:bottom="0" w:gutter="0" w:footer="0" w:header="0"/>
        </w:sectPr>
      </w:pPr>
    </w:p>
    <w:bookmarkStart w:id="31" w:name="page32"/>
    <w:bookmarkEnd w:id="31"/>
    <w:p>
      <w:pPr>
        <w:spacing w:after="0" w:line="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Since 1998, the Company has participated in TECH Semiconductor Singapore Pte. Ltd. (“TECH”), a semiconductor memory manufacturing joint venture in Singapore among the Company, the Singapore Economic Development Board, Canon Inc. and Hewlett-Packard Company. As of September 2, 2004, the Company had a 39.12% ownership interest in TECH. Significant financing, investment and operating decisions for TECH typically require approval from TECH’s Board of Directors. The shareholders’ agreement for the TECH joint venture expires in 2011. The Company adopted Interpretation No. 46 in the third quarter of 2004. Under the provisions of Interpretation No. 46, TECH is a variable interest entity for which consolidation in the Company’s financial statements is not required.</w:t>
      </w:r>
    </w:p>
    <w:p>
      <w:pPr>
        <w:spacing w:after="0" w:line="193"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TECH’s semiconductor manufacturing facilities use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immediately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 The net cost of products purchased from TECH amounted to $453.8 million, $318.2 million and $182.3 million for 2004, 2003 and 2002, respectively. Amortization expense resulting from the TECH supply arrangement, included in the cost of products purchased from TECH, was $11.8 million, $9.6 million and $10.1 million for 2004,</w:t>
      </w:r>
    </w:p>
    <w:p>
      <w:pPr>
        <w:spacing w:after="0" w:line="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2003 and 2002, respectively. Receivables from TECH were $23.8 million and payables to TECH were $56.8 million as of September 2, 2004. Receivables from TECH were $53.1 million and payables to TECH were $102.5 million as of August 28, 2003. TECH supplied approximately 30% of the total megabits of memory produced by the Company in 2004. As of September 2, 2004, the Company had intangible assets with a net book value of $62.0 million relating to the supply arrangement to purchase product from TECH. During 2004 and 2002, the Company sold semiconductor equipment to TECH for $0.1 million and $1.0 million, respectively.</w:t>
      </w:r>
    </w:p>
    <w:p>
      <w:pPr>
        <w:spacing w:after="0" w:line="19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August 30, 2004, TECH refinanced its existing credit facility. In connection therewith, the $100.0 million previously pledged by the Company as cash collateral was no longer restricted as to withdrawal or use. As of August 28, 2003, the unamortized portion of the fair value of the Company’s guarantee of TECH’s then existing credit facility was $6.0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Geographic net sales based on customer location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0"/>
        </w:trPr>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1,789.2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1,342.8</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1,221.7</w:t>
            </w: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Europe</w:t>
            </w: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863.7</w:t>
            </w: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612.4</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460.9</w:t>
            </w: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390.5</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397.9</w:t>
            </w: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China</w:t>
            </w: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559.8</w:t>
            </w: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346.4</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146.5</w:t>
            </w: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264.1</w:t>
            </w: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203.8</w:t>
            </w: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139.1</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97.9</w:t>
            </w:r>
          </w:p>
        </w:tc>
        <w:tc>
          <w:tcPr>
            <w:tcW w:w="1000" w:type="dxa"/>
            <w:vAlign w:val="bottom"/>
          </w:tcPr>
          <w:p>
            <w:pPr>
              <w:spacing w:after="0"/>
              <w:rPr>
                <w:sz w:val="18"/>
                <w:szCs w:val="18"/>
                <w:color w:val="auto"/>
              </w:rPr>
            </w:pPr>
          </w:p>
        </w:tc>
      </w:tr>
      <w:tr>
        <w:trPr>
          <w:trHeight w:val="230"/>
        </w:trPr>
        <w:tc>
          <w:tcPr>
            <w:tcW w:w="180" w:type="dxa"/>
            <w:vAlign w:val="bottom"/>
          </w:tcPr>
          <w:p>
            <w:pPr>
              <w:spacing w:after="0"/>
              <w:rPr>
                <w:sz w:val="19"/>
                <w:szCs w:val="19"/>
                <w:color w:val="auto"/>
              </w:rPr>
            </w:pPr>
          </w:p>
        </w:tc>
        <w:tc>
          <w:tcPr>
            <w:tcW w:w="3200" w:type="dxa"/>
            <w:vAlign w:val="bottom"/>
            <w:tcBorders>
              <w:top w:val="single" w:sz="8" w:color="CCEEFF"/>
              <w:bottom w:val="single" w:sz="8" w:color="CCEEFF"/>
            </w:tcBorders>
            <w:shd w:val="clear" w:color="auto" w:fill="CCEEFF"/>
          </w:tcPr>
          <w:p>
            <w:pPr>
              <w:spacing w:after="0"/>
              <w:rPr>
                <w:sz w:val="19"/>
                <w:szCs w:val="19"/>
                <w:color w:val="auto"/>
              </w:rPr>
            </w:pP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Pr>
          <w:p>
            <w:pPr>
              <w:spacing w:after="0"/>
              <w:rPr>
                <w:sz w:val="19"/>
                <w:szCs w:val="19"/>
                <w:color w:val="auto"/>
              </w:rPr>
            </w:pPr>
          </w:p>
        </w:tc>
      </w:tr>
      <w:tr>
        <w:trPr>
          <w:trHeight w:val="419"/>
        </w:trPr>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property, plant and equipment by geographic area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9"/>
              </w:rPr>
              <w:t>2003</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3,514.2</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3,430.1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Japan</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w w:val="88"/>
              </w:rPr>
              <w:t>308.4</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8"/>
              </w:rPr>
              <w:t>452.3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Singapore</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w w:val="88"/>
              </w:rPr>
              <w:t>308.1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11.6</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4,510.5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center"/>
              <w:ind w:left="855"/>
              <w:spacing w:after="0"/>
              <w:rPr>
                <w:sz w:val="20"/>
                <w:szCs w:val="20"/>
                <w:color w:val="auto"/>
              </w:rPr>
            </w:pPr>
            <w:r>
              <w:rPr>
                <w:rFonts w:ascii="Arial" w:cs="Arial" w:eastAsia="Arial" w:hAnsi="Arial"/>
                <w:sz w:val="18"/>
                <w:szCs w:val="18"/>
                <w:color w:val="auto"/>
                <w:w w:val="89"/>
              </w:rPr>
              <w:t>46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gridSpan w:val="2"/>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1480" w:type="dxa"/>
            <w:vAlign w:val="bottom"/>
            <w:tcBorders>
              <w:bottom w:val="single" w:sz="8" w:color="808080"/>
            </w:tcBorders>
            <w:gridSpan w:val="2"/>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52"/>
        </w:trPr>
        <w:tc>
          <w:tcPr>
            <w:tcW w:w="1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80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w w:val="94"/>
              </w:rPr>
              <w:t>Quarterly Financial Information (Unaudited)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800" w:type="dxa"/>
            <w:vAlign w:val="bottom"/>
            <w:gridSpan w:val="10"/>
          </w:tcPr>
          <w:p>
            <w:pPr>
              <w:jc w:val="center"/>
              <w:ind w:left="50"/>
              <w:spacing w:after="0"/>
              <w:rPr>
                <w:sz w:val="20"/>
                <w:szCs w:val="20"/>
                <w:color w:val="auto"/>
              </w:rPr>
            </w:pPr>
            <w:r>
              <w:rPr>
                <w:rFonts w:ascii="Arial" w:cs="Arial" w:eastAsia="Arial" w:hAnsi="Arial"/>
                <w:sz w:val="18"/>
                <w:szCs w:val="18"/>
                <w:color w:val="auto"/>
                <w:w w:val="91"/>
              </w:rPr>
              <w:t>(Amounts in millions except per share amounts)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240" w:type="dxa"/>
            <w:vAlign w:val="bottom"/>
            <w:gridSpan w:val="2"/>
            <w:vMerge w:val="restart"/>
          </w:tcPr>
          <w:p>
            <w:pPr>
              <w:jc w:val="right"/>
              <w:ind w:right="2850"/>
              <w:spacing w:after="0"/>
              <w:rPr>
                <w:sz w:val="20"/>
                <w:szCs w:val="20"/>
                <w:color w:val="auto"/>
              </w:rPr>
            </w:pPr>
            <w:r>
              <w:rPr>
                <w:rFonts w:ascii="Arial" w:cs="Arial" w:eastAsia="Arial" w:hAnsi="Arial"/>
                <w:sz w:val="14"/>
                <w:szCs w:val="14"/>
                <w:b w:val="1"/>
                <w:bCs w:val="1"/>
                <w:color w:val="auto"/>
                <w:w w:val="89"/>
              </w:rPr>
              <w:t>2004</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jc w:val="center"/>
              <w:ind w:right="565"/>
              <w:spacing w:after="0"/>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24"/>
                <w:szCs w:val="24"/>
                <w:color w:val="auto"/>
              </w:rPr>
            </w:pPr>
          </w:p>
        </w:tc>
        <w:tc>
          <w:tcPr>
            <w:tcW w:w="90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1"/>
        </w:trPr>
        <w:tc>
          <w:tcPr>
            <w:tcW w:w="32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jc w:val="center"/>
              <w:ind w:right="585"/>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900" w:type="dxa"/>
            <w:vAlign w:val="bottom"/>
            <w:gridSpan w:val="2"/>
          </w:tcPr>
          <w:p>
            <w:pPr>
              <w:jc w:val="center"/>
              <w:ind w:left="277"/>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10"/>
        </w:trPr>
        <w:tc>
          <w:tcPr>
            <w:tcW w:w="18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1,107.2</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1,116.8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Gross margin</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286.0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387.9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8"/>
                <w:szCs w:val="18"/>
                <w:color w:val="auto"/>
              </w:rPr>
              <w:t>392.6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Net income (loss)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ind w:right="225"/>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90.9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25"/>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10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3240" w:type="dxa"/>
            <w:vAlign w:val="bottom"/>
            <w:gridSpan w:val="2"/>
            <w:vMerge w:val="restart"/>
          </w:tcPr>
          <w:p>
            <w:pPr>
              <w:jc w:val="right"/>
              <w:ind w:right="2850"/>
              <w:spacing w:after="0"/>
              <w:rPr>
                <w:sz w:val="20"/>
                <w:szCs w:val="20"/>
                <w:color w:val="auto"/>
              </w:rPr>
            </w:pPr>
            <w:r>
              <w:rPr>
                <w:rFonts w:ascii="Arial" w:cs="Arial" w:eastAsia="Arial" w:hAnsi="Arial"/>
                <w:sz w:val="14"/>
                <w:szCs w:val="14"/>
                <w:b w:val="1"/>
                <w:bCs w:val="1"/>
                <w:color w:val="auto"/>
                <w:w w:val="89"/>
              </w:rPr>
              <w:t>2003</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jc w:val="center"/>
              <w:ind w:right="565"/>
              <w:spacing w:after="0"/>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24"/>
                <w:szCs w:val="24"/>
                <w:color w:val="auto"/>
              </w:rPr>
            </w:pPr>
          </w:p>
        </w:tc>
        <w:tc>
          <w:tcPr>
            <w:tcW w:w="90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1"/>
        </w:trPr>
        <w:tc>
          <w:tcPr>
            <w:tcW w:w="32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jc w:val="center"/>
              <w:ind w:right="585"/>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900" w:type="dxa"/>
            <w:vAlign w:val="bottom"/>
            <w:gridSpan w:val="2"/>
          </w:tcPr>
          <w:p>
            <w:pPr>
              <w:jc w:val="center"/>
              <w:ind w:left="277"/>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10"/>
        </w:trPr>
        <w:tc>
          <w:tcPr>
            <w:tcW w:w="18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685.1</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Gross margin</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ind w:right="225"/>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71.0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8"/>
                <w:szCs w:val="18"/>
                <w:color w:val="auto"/>
              </w:rPr>
              <w:t>169.5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(600.6)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(183.7)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(315.9)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ind w:right="225"/>
              <w:spacing w:after="0"/>
              <w:rPr>
                <w:sz w:val="20"/>
                <w:szCs w:val="20"/>
                <w:color w:val="auto"/>
              </w:rPr>
            </w:pPr>
            <w:r>
              <w:rPr>
                <w:rFonts w:ascii="Arial" w:cs="Arial" w:eastAsia="Arial" w:hAnsi="Arial"/>
                <w:sz w:val="18"/>
                <w:szCs w:val="18"/>
                <w:color w:val="auto"/>
              </w:rPr>
              <w:t>(619.2)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(214.9)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8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-3049905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-3049905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25" w:right="219" w:bottom="0" w:gutter="0" w:footer="0" w:header="0"/>
        </w:sectPr>
      </w:pPr>
    </w:p>
    <w:bookmarkStart w:id="32" w:name="page33"/>
    <w:bookmarkEnd w:id="32"/>
    <w:p>
      <w:pPr>
        <w:ind w:left="180"/>
        <w:spacing w:after="0"/>
        <w:tabs>
          <w:tab w:leader="none" w:pos="4340" w:val="left"/>
          <w:tab w:leader="none" w:pos="5440" w:val="left"/>
          <w:tab w:leader="none" w:pos="6180" w:val="left"/>
          <w:tab w:leader="none" w:pos="7280" w:val="left"/>
          <w:tab w:leader="none" w:pos="8020" w:val="left"/>
          <w:tab w:leader="none" w:pos="9120" w:val="left"/>
          <w:tab w:leader="none" w:pos="9840" w:val="left"/>
          <w:tab w:leader="none" w:pos="10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t>Diluted loss 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(0.52)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(0.36)</w:t>
        <w:tab/>
        <w:t>$</w:t>
      </w:r>
      <w:r>
        <w:rPr>
          <w:sz w:val="20"/>
          <w:szCs w:val="20"/>
          <w:color w:val="auto"/>
        </w:rPr>
        <w:tab/>
      </w:r>
      <w:r>
        <w:rPr>
          <w:rFonts w:ascii="Arial" w:cs="Arial" w:eastAsia="Arial" w:hAnsi="Arial"/>
          <w:sz w:val="16"/>
          <w:szCs w:val="16"/>
          <w:color w:val="auto"/>
        </w:rPr>
        <w:t>(0.20)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Micron Technology, Inc.</w:t>
      </w:r>
    </w:p>
    <w:p>
      <w:pPr>
        <w:spacing w:after="0" w:line="200" w:lineRule="exact"/>
        <w:rPr>
          <w:sz w:val="20"/>
          <w:szCs w:val="20"/>
          <w:color w:val="auto"/>
        </w:rPr>
      </w:pPr>
    </w:p>
    <w:p>
      <w:pPr>
        <w:spacing w:after="0" w:line="2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our opinion, the consolidated financial statements listed in the accompanying index on page 28 present fairly, in all material respects, the financial position of Micron Technology, Inc. and its subsidiaries at September 2, 2004 and August 28, 2003, and the results of their operations and their cash flows for each of the three years in the period ended September 2, 2004 in conformity with accounting principles generally accepted in the United States of America. In addition, in our opinion, the financial statement schedule listed in the accompanying index on page 28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11, 2004</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its Chief Executive Officer and Chief Financial Officer, of the effectiveness of the design and operation of the Company’s disclosure controls and procedures (as defined in Rule 13a-14 and 15d-14 under the Securities Exchange Act of 1934) as of the end of the period covered by this report. Based upon that evaluation, the Chief Executive Officer and Chief Financial Officer concluded that those disclosure controls and procedures were effective to ensure that material information required to be disclosed by the Company in the reports that it files or submits under the Exchange Act is recorded, processed, summarized and reported, within the time periods specified in the Commission’s rules and forms.</w:t>
      </w:r>
    </w:p>
    <w:p>
      <w:pPr>
        <w:spacing w:after="0" w:line="178" w:lineRule="exact"/>
        <w:rPr>
          <w:sz w:val="20"/>
          <w:szCs w:val="20"/>
          <w:color w:val="auto"/>
        </w:rPr>
      </w:pPr>
    </w:p>
    <w:p>
      <w:pPr>
        <w:ind w:right="680" w:firstLine="324"/>
        <w:spacing w:after="0" w:line="308" w:lineRule="auto"/>
        <w:rPr>
          <w:sz w:val="20"/>
          <w:szCs w:val="20"/>
          <w:color w:val="auto"/>
        </w:rPr>
      </w:pPr>
      <w:r>
        <w:rPr>
          <w:rFonts w:ascii="Arial" w:cs="Arial" w:eastAsia="Arial" w:hAnsi="Arial"/>
          <w:sz w:val="17"/>
          <w:szCs w:val="17"/>
          <w:color w:val="auto"/>
        </w:rPr>
        <w:t>During the period covered by this report, there were no significant changes in the Company’s internal controls over financial reporting that have materially affected, or are reasonably likely to materially affect, the Company’s internal controls over financial reporting.</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2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Certain information concerning the registrant’s executive officers is included under the caption, “Directors and Executive Officers of the Registrant,” in Part I, Item 1 of this report. Other information required by Items 10, 11, 12, 13 and 14 will be contained in the registrant’s Proxy Statement which will be filed with the Securities and Exchange Commission within 120 days after September 2, 2004, and is incorporated herein by reference.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ectPr>
          <w:pgSz w:w="11900" w:h="16838" w:orient="portrait"/>
          <w:cols w:equalWidth="0" w:num="1">
            <w:col w:w="11380"/>
          </w:cols>
          <w:pgMar w:left="240" w:top="341" w:right="279" w:bottom="0" w:gutter="0" w:footer="0" w:header="0"/>
        </w:sectPr>
      </w:pPr>
    </w:p>
    <w:bookmarkStart w:id="33" w:name="page34"/>
    <w:bookmarkEnd w:id="33"/>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financial statements and the financial statement schedule. (See “Item 8. Financial Statements and Supplementary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358"/>
        </w:trPr>
        <w:tc>
          <w:tcPr>
            <w:tcW w:w="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Restated Certificate of Incorporation of the Registrant (1)</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Bylaws of the Registrant, as amended (2)</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Global Warrant representing Warrants to purchase Common Stock expiring May 15, 2008 (the “Warrants”) (3)</w:t>
            </w:r>
          </w:p>
        </w:tc>
        <w:tc>
          <w:tcPr>
            <w:tcW w:w="20" w:type="dxa"/>
            <w:vAlign w:val="bottom"/>
          </w:tcPr>
          <w:p>
            <w:pPr>
              <w:spacing w:after="0"/>
              <w:rPr>
                <w:sz w:val="24"/>
                <w:szCs w:val="24"/>
                <w:color w:val="auto"/>
              </w:rPr>
            </w:pPr>
          </w:p>
        </w:tc>
      </w:tr>
      <w:tr>
        <w:trPr>
          <w:trHeight w:val="418"/>
        </w:trPr>
        <w:tc>
          <w:tcPr>
            <w:tcW w:w="840" w:type="dxa"/>
            <w:vAlign w:val="bottom"/>
          </w:tcPr>
          <w:p>
            <w:pPr>
              <w:ind w:left="100"/>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Indenture dated February 4, 2003, between the Registrant and Wells Fargo Bank for 2.5% Convertible Subordinated Notes Due February 1,</w:t>
            </w:r>
          </w:p>
        </w:tc>
        <w:tc>
          <w:tcPr>
            <w:tcW w:w="2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2010 (4)</w:t>
            </w:r>
          </w:p>
        </w:tc>
        <w:tc>
          <w:tcPr>
            <w:tcW w:w="20" w:type="dxa"/>
            <w:vAlign w:val="bottom"/>
          </w:tcPr>
          <w:p>
            <w:pPr>
              <w:spacing w:after="0"/>
              <w:rPr>
                <w:sz w:val="20"/>
                <w:szCs w:val="20"/>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Securities Purchase Agreement, dated September 24, 2003, between the Registrant and Intel Capital Corporation (5)</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Stock Rights Agreement, dated September 24, 2003, between the Registrant and Intel Capital Corporation (5)</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10.82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Indemnification Agreement between the Registrant and its officers and directors (6)</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Board Resolution regarding stock and bonus plan vesting schedules in the event of change in control of the Registrant (7)</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10.110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1994 Stock Option Plan (8)</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10.111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Executive Bonus Plan (9)</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10.112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Severance Agreement between the Company and its officers (10)</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10.120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Agreement and Amendment to Severance Agreement between the Company and its officers (11)</w:t>
            </w:r>
          </w:p>
        </w:tc>
        <w:tc>
          <w:tcPr>
            <w:tcW w:w="20" w:type="dxa"/>
            <w:vAlign w:val="bottom"/>
          </w:tcPr>
          <w:p>
            <w:pPr>
              <w:spacing w:after="0"/>
              <w:rPr>
                <w:sz w:val="24"/>
                <w:szCs w:val="24"/>
                <w:color w:val="auto"/>
              </w:rPr>
            </w:pPr>
          </w:p>
        </w:tc>
      </w:tr>
      <w:tr>
        <w:trPr>
          <w:trHeight w:val="418"/>
        </w:trPr>
        <w:tc>
          <w:tcPr>
            <w:tcW w:w="840" w:type="dxa"/>
            <w:vAlign w:val="bottom"/>
          </w:tcPr>
          <w:p>
            <w:pPr>
              <w:ind w:left="100"/>
              <w:spacing w:after="0"/>
              <w:rPr>
                <w:sz w:val="20"/>
                <w:szCs w:val="20"/>
                <w:color w:val="auto"/>
              </w:rPr>
            </w:pPr>
            <w:r>
              <w:rPr>
                <w:rFonts w:ascii="Arial" w:cs="Arial" w:eastAsia="Arial" w:hAnsi="Arial"/>
                <w:sz w:val="18"/>
                <w:szCs w:val="18"/>
                <w:color w:val="auto"/>
              </w:rPr>
              <w:t>10.126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Subordinated Promissory Note dated September 30, 1998, issued by the Registrant in the name of Texas Instruments Incorporated in the</w:t>
            </w:r>
          </w:p>
        </w:tc>
        <w:tc>
          <w:tcPr>
            <w:tcW w:w="2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amount of $210,000,000 due September 30, 2005 (12)</w:t>
            </w:r>
          </w:p>
        </w:tc>
        <w:tc>
          <w:tcPr>
            <w:tcW w:w="20" w:type="dxa"/>
            <w:vAlign w:val="bottom"/>
          </w:tcPr>
          <w:p>
            <w:pPr>
              <w:spacing w:after="0"/>
              <w:rPr>
                <w:sz w:val="20"/>
                <w:szCs w:val="20"/>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10.128</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Nonstatutory Stock Option Plan (13)</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10.129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1997 Nonstatutory Stock Option Plan (14)</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10.130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Micron Quantum Devices, Inc. 1996 Stock Option Plan (8)</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10.131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Sample Stock Option Assumption Letter for Micron Quantum Devices, Inc. 1996 Stock Option Plan (8)</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10.132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1998 Nonstatutory Stock Option Plan (14)</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10.133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Rendition, Inc. 1994 Equity Incentive Plan (15)</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10.134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Sample Stock Option Assumption Letter for Rendition, Inc. 1994 Equity Incentive Plan (15)</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10.139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1989 Employee Stock Purchase Plan (16)</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10.140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1998 Non-Employee Director Stock Incentive Plan (17)</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10.141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Registration Rights Agreement dated February 4, 2003, among the Registrant, Goldman, Sachs &amp; Co. and Lehman Brothers Inc. (4)</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10.142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Purchase Agreement dated October 1, 1998, between the Registrant and TECH Semiconductor Singapore Pte. Ltd. (18)</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10.144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Purchase Agreement dated as of July 12, 2001, between the Registrant and Lehman Brothers, Inc. relating to the Warrants (3)</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10.145</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Registration Rights Agreement dated as of July 18, 2001, between the Registrant and Lehman Brothers, Inc., relating to the Warrants (3)</w:t>
            </w:r>
          </w:p>
        </w:tc>
        <w:tc>
          <w:tcPr>
            <w:tcW w:w="2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4"/>
                <w:szCs w:val="24"/>
                <w:color w:val="auto"/>
              </w:rPr>
            </w:pPr>
          </w:p>
        </w:tc>
      </w:tr>
      <w:tr>
        <w:trPr>
          <w:trHeight w:val="105"/>
        </w:trPr>
        <w:tc>
          <w:tcPr>
            <w:tcW w:w="86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686"/>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358"/>
        </w:trPr>
        <w:tc>
          <w:tcPr>
            <w:tcW w:w="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10.146</w:t>
            </w:r>
          </w:p>
        </w:tc>
        <w:tc>
          <w:tcPr>
            <w:tcW w:w="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Warrant Agreement dated as of July 18, 2001, between the Registrant and Wells Fargo Bank Minnesota, N.A., relating to the Warrants (3)</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10.151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2001 Stock Option Plan (16)</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10.152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2002 Employment Inducement Stock Option Plan (16)</w:t>
            </w:r>
          </w:p>
        </w:tc>
        <w:tc>
          <w:tcPr>
            <w:tcW w:w="20" w:type="dxa"/>
            <w:vAlign w:val="bottom"/>
          </w:tcPr>
          <w:p>
            <w:pPr>
              <w:spacing w:after="0"/>
              <w:rPr>
                <w:sz w:val="24"/>
                <w:szCs w:val="24"/>
                <w:color w:val="auto"/>
              </w:rPr>
            </w:pPr>
          </w:p>
        </w:tc>
      </w:tr>
      <w:tr>
        <w:trPr>
          <w:trHeight w:val="432"/>
        </w:trPr>
        <w:tc>
          <w:tcPr>
            <w:tcW w:w="840" w:type="dxa"/>
            <w:vAlign w:val="bottom"/>
          </w:tcPr>
          <w:p>
            <w:pPr>
              <w:ind w:left="100"/>
              <w:spacing w:after="0"/>
              <w:rPr>
                <w:sz w:val="20"/>
                <w:szCs w:val="20"/>
                <w:color w:val="auto"/>
              </w:rPr>
            </w:pPr>
            <w:r>
              <w:rPr>
                <w:rFonts w:ascii="Arial" w:cs="Arial" w:eastAsia="Arial" w:hAnsi="Arial"/>
                <w:sz w:val="18"/>
                <w:szCs w:val="18"/>
                <w:color w:val="auto"/>
              </w:rPr>
              <w:t>10.153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Business Agreement, dated September 24, 2003, between the Registrant and Intel Corporation * (5)</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-1513205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-1513205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7" w:right="219" w:bottom="0" w:gutter="0" w:footer="0" w:header="0"/>
        </w:sectPr>
      </w:pPr>
    </w:p>
    <w:bookmarkStart w:id="34" w:name="page35"/>
    <w:bookmarkEnd w:id="34"/>
    <w:tbl>
      <w:tblPr>
        <w:tblLayout w:type="fixed"/>
        <w:tblInd w:w="1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10.154</w:t>
            </w:r>
          </w:p>
        </w:tc>
        <w:tc>
          <w:tcPr>
            <w:tcW w:w="8780" w:type="dxa"/>
            <w:vAlign w:val="bottom"/>
          </w:tcPr>
          <w:p>
            <w:pPr>
              <w:ind w:left="280"/>
              <w:spacing w:after="0"/>
              <w:rPr>
                <w:sz w:val="20"/>
                <w:szCs w:val="20"/>
                <w:color w:val="auto"/>
              </w:rPr>
            </w:pPr>
            <w:r>
              <w:rPr>
                <w:rFonts w:ascii="Arial" w:cs="Arial" w:eastAsia="Arial" w:hAnsi="Arial"/>
                <w:sz w:val="18"/>
                <w:szCs w:val="18"/>
                <w:color w:val="auto"/>
                <w:w w:val="89"/>
              </w:rPr>
              <w:t>Securities Rights and Restrictions Agreement, dated September 24, 2003, between the Registrant and Intel Capital (5)</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8780" w:type="dxa"/>
            <w:vAlign w:val="bottom"/>
          </w:tcPr>
          <w:p>
            <w:pPr>
              <w:ind w:left="28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8780" w:type="dxa"/>
            <w:vAlign w:val="bottom"/>
          </w:tcPr>
          <w:p>
            <w:pPr>
              <w:ind w:left="280"/>
              <w:spacing w:after="0"/>
              <w:rPr>
                <w:sz w:val="20"/>
                <w:szCs w:val="20"/>
                <w:color w:val="auto"/>
              </w:rPr>
            </w:pPr>
            <w:r>
              <w:rPr>
                <w:rFonts w:ascii="Arial" w:cs="Arial" w:eastAsia="Arial" w:hAnsi="Arial"/>
                <w:sz w:val="18"/>
                <w:szCs w:val="18"/>
                <w:color w:val="auto"/>
              </w:rPr>
              <w:t>Consent of Registered Public Accounting Firm</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8780" w:type="dxa"/>
            <w:vAlign w:val="bottom"/>
          </w:tcPr>
          <w:p>
            <w:pPr>
              <w:ind w:left="280"/>
              <w:spacing w:after="0"/>
              <w:rPr>
                <w:sz w:val="20"/>
                <w:szCs w:val="20"/>
                <w:color w:val="auto"/>
              </w:rPr>
            </w:pPr>
            <w:r>
              <w:rPr>
                <w:rFonts w:ascii="Arial" w:cs="Arial" w:eastAsia="Arial" w:hAnsi="Arial"/>
                <w:sz w:val="18"/>
                <w:szCs w:val="18"/>
                <w:color w:val="auto"/>
              </w:rPr>
              <w:t>Rule 13a-14(a) Certification of Chief Executive Officer</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8780" w:type="dxa"/>
            <w:vAlign w:val="bottom"/>
          </w:tcPr>
          <w:p>
            <w:pPr>
              <w:ind w:left="280"/>
              <w:spacing w:after="0"/>
              <w:rPr>
                <w:sz w:val="20"/>
                <w:szCs w:val="20"/>
                <w:color w:val="auto"/>
              </w:rPr>
            </w:pPr>
            <w:r>
              <w:rPr>
                <w:rFonts w:ascii="Arial" w:cs="Arial" w:eastAsia="Arial" w:hAnsi="Arial"/>
                <w:sz w:val="18"/>
                <w:szCs w:val="18"/>
                <w:color w:val="auto"/>
              </w:rPr>
              <w:t>Rule 13a-14(a) Certification of Chief Financial Officer</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878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Pursuant to 18 U.S.C. 1350</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8780" w:type="dxa"/>
            <w:vAlign w:val="bottom"/>
          </w:tcPr>
          <w:p>
            <w:pPr>
              <w:ind w:left="280"/>
              <w:spacing w:after="0"/>
              <w:rPr>
                <w:sz w:val="20"/>
                <w:szCs w:val="20"/>
                <w:color w:val="auto"/>
              </w:rPr>
            </w:pPr>
            <w:r>
              <w:rPr>
                <w:rFonts w:ascii="Arial" w:cs="Arial" w:eastAsia="Arial" w:hAnsi="Arial"/>
                <w:sz w:val="18"/>
                <w:szCs w:val="18"/>
                <w:color w:val="auto"/>
              </w:rPr>
              <w:t>Certification of Chief Financial Officer Pursuant to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29, 2003</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30, 2001</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February 27, 2003</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September 24, 2003</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Proxy Statement for the 1986 Annual Meeting of Shareholders</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31, 1989</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333-50353)</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Proxy Statement for the 1999 Annual Meeting of Shareholders</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28, 2003</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February 27, 1997</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on October 14, 1998, as amended on October 16, 1998</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333-103341)</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November 28, 2002</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333-65449)</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333-102545)</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June 3, 1999</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December 3, 1998</w:t>
      </w:r>
    </w:p>
    <w:p>
      <w:pPr>
        <w:spacing w:after="0" w:line="225" w:lineRule="exact"/>
        <w:rPr>
          <w:sz w:val="20"/>
          <w:szCs w:val="20"/>
          <w:color w:val="auto"/>
        </w:rPr>
      </w:pPr>
    </w:p>
    <w:p>
      <w:pPr>
        <w:ind w:left="5620" w:right="2220" w:hanging="5515"/>
        <w:spacing w:after="0" w:line="778" w:lineRule="auto"/>
        <w:tabs>
          <w:tab w:leader="none" w:pos="7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filed with the Commission.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Boise, State of Idaho, on the 14th day of October 2004.</w:t>
      </w:r>
    </w:p>
    <w:p>
      <w:pPr>
        <w:spacing w:after="0" w:line="17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/s/ W. G. STOVER, JR.</w:t>
            </w:r>
          </w:p>
        </w:tc>
      </w:tr>
      <w:tr>
        <w:trPr>
          <w:trHeight w:val="195"/>
        </w:trPr>
        <w:tc>
          <w:tcPr>
            <w:tcW w:w="42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0"/>
              </w:rPr>
              <w:t>W. G. Stover, Jr.,</w:t>
            </w:r>
          </w:p>
        </w:tc>
      </w:tr>
      <w:tr>
        <w:trPr>
          <w:trHeight w:val="216"/>
        </w:trPr>
        <w:tc>
          <w:tcPr>
            <w:tcW w:w="42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Vice President of Finance, Chief Financial Officer</w:t>
            </w:r>
          </w:p>
        </w:tc>
      </w:tr>
      <w:tr>
        <w:trPr>
          <w:trHeight w:val="230"/>
        </w:trPr>
        <w:tc>
          <w:tcPr>
            <w:tcW w:w="42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0"/>
              </w:rPr>
              <w:t>(Principal Financial and Accounting Officer)</w:t>
            </w: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ectPr>
          <w:pgSz w:w="11900" w:h="16838" w:orient="portrait"/>
          <w:cols w:equalWidth="0" w:num="1">
            <w:col w:w="11400"/>
          </w:cols>
          <w:pgMar w:left="240" w:top="125" w:right="259" w:bottom="0" w:gutter="0" w:footer="0" w:header="0"/>
        </w:sectPr>
      </w:pPr>
    </w:p>
    <w:p>
      <w:pPr>
        <w:spacing w:after="0" w:line="162" w:lineRule="exact"/>
        <w:rPr>
          <w:sz w:val="20"/>
          <w:szCs w:val="20"/>
          <w:color w:val="auto"/>
        </w:rPr>
      </w:pPr>
    </w:p>
    <w:p>
      <w:pPr>
        <w:spacing w:after="0"/>
        <w:tabs>
          <w:tab w:leader="none" w:pos="5560" w:val="left"/>
          <w:tab w:leader="none" w:pos="95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4"/>
              </w:rPr>
              <w:t>/s/ STEVEN R. APPLETON</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w w:val="92"/>
              </w:rPr>
              <w:t>Chairman of the Board,</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7"/>
          </w:tcPr>
          <w:p>
            <w:pPr>
              <w:ind w:left="720"/>
              <w:spacing w:after="0"/>
              <w:rPr>
                <w:sz w:val="20"/>
                <w:szCs w:val="20"/>
                <w:color w:val="auto"/>
              </w:rPr>
            </w:pPr>
            <w:r>
              <w:rPr>
                <w:rFonts w:ascii="Arial" w:cs="Arial" w:eastAsia="Arial" w:hAnsi="Arial"/>
                <w:sz w:val="18"/>
                <w:szCs w:val="18"/>
                <w:color w:val="auto"/>
              </w:rPr>
              <w:t>October 14, 2004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gridSpan w:val="4"/>
          </w:tcPr>
          <w:p>
            <w:pPr>
              <w:jc w:val="center"/>
              <w:ind w:right="20"/>
              <w:spacing w:after="0" w:line="195" w:lineRule="exact"/>
              <w:rPr>
                <w:sz w:val="20"/>
                <w:szCs w:val="20"/>
                <w:color w:val="auto"/>
              </w:rPr>
            </w:pPr>
            <w:r>
              <w:rPr>
                <w:rFonts w:ascii="Arial" w:cs="Arial" w:eastAsia="Arial" w:hAnsi="Arial"/>
                <w:sz w:val="18"/>
                <w:szCs w:val="18"/>
                <w:b w:val="1"/>
                <w:bCs w:val="1"/>
                <w:color w:val="auto"/>
                <w:w w:val="90"/>
              </w:rPr>
              <w:t>(Steven R. Appleton)</w:t>
            </w:r>
          </w:p>
        </w:tc>
        <w:tc>
          <w:tcPr>
            <w:tcW w:w="2320" w:type="dxa"/>
            <w:vAlign w:val="bottom"/>
            <w:gridSpan w:val="2"/>
          </w:tcPr>
          <w:p>
            <w:pPr>
              <w:ind w:left="580"/>
              <w:spacing w:after="0" w:line="195" w:lineRule="exact"/>
              <w:rPr>
                <w:sz w:val="20"/>
                <w:szCs w:val="20"/>
                <w:color w:val="auto"/>
              </w:rPr>
            </w:pPr>
            <w:r>
              <w:rPr>
                <w:rFonts w:ascii="Arial" w:cs="Arial" w:eastAsia="Arial" w:hAnsi="Arial"/>
                <w:sz w:val="18"/>
                <w:szCs w:val="18"/>
                <w:color w:val="auto"/>
                <w:w w:val="93"/>
              </w:rPr>
              <w:t>Chief Executive Officer</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w w:val="89"/>
              </w:rPr>
              <w:t>and President (Principal</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Executive Officer)</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/s/ W. G. STOVER, JR.</w:t>
            </w:r>
          </w:p>
        </w:tc>
        <w:tc>
          <w:tcPr>
            <w:tcW w:w="2960" w:type="dxa"/>
            <w:vAlign w:val="bottom"/>
            <w:gridSpan w:val="4"/>
          </w:tcPr>
          <w:p>
            <w:pPr>
              <w:ind w:left="580"/>
              <w:spacing w:after="0"/>
              <w:rPr>
                <w:sz w:val="20"/>
                <w:szCs w:val="20"/>
                <w:color w:val="auto"/>
              </w:rPr>
            </w:pPr>
            <w:r>
              <w:rPr>
                <w:rFonts w:ascii="Arial" w:cs="Arial" w:eastAsia="Arial" w:hAnsi="Arial"/>
                <w:sz w:val="18"/>
                <w:szCs w:val="18"/>
                <w:color w:val="auto"/>
              </w:rPr>
              <w:t>Vice President of Finance,</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gridSpan w:val="7"/>
          </w:tcPr>
          <w:p>
            <w:pPr>
              <w:ind w:left="720"/>
              <w:spacing w:after="0"/>
              <w:rPr>
                <w:sz w:val="20"/>
                <w:szCs w:val="20"/>
                <w:color w:val="auto"/>
              </w:rPr>
            </w:pPr>
            <w:r>
              <w:rPr>
                <w:rFonts w:ascii="Arial" w:cs="Arial" w:eastAsia="Arial" w:hAnsi="Arial"/>
                <w:sz w:val="18"/>
                <w:szCs w:val="18"/>
                <w:color w:val="auto"/>
              </w:rPr>
              <w:t>October 14, 2004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gridSpan w:val="4"/>
          </w:tcPr>
          <w:p>
            <w:pPr>
              <w:jc w:val="center"/>
              <w:spacing w:after="0" w:line="195" w:lineRule="exact"/>
              <w:rPr>
                <w:sz w:val="20"/>
                <w:szCs w:val="20"/>
                <w:color w:val="auto"/>
              </w:rPr>
            </w:pPr>
            <w:r>
              <w:rPr>
                <w:rFonts w:ascii="Arial" w:cs="Arial" w:eastAsia="Arial" w:hAnsi="Arial"/>
                <w:sz w:val="18"/>
                <w:szCs w:val="18"/>
                <w:b w:val="1"/>
                <w:bCs w:val="1"/>
                <w:color w:val="auto"/>
                <w:w w:val="91"/>
              </w:rPr>
              <w:t>(W. G. Stover, Jr.)</w:t>
            </w:r>
          </w:p>
        </w:tc>
        <w:tc>
          <w:tcPr>
            <w:tcW w:w="2320" w:type="dxa"/>
            <w:vAlign w:val="bottom"/>
            <w:gridSpan w:val="2"/>
          </w:tcPr>
          <w:p>
            <w:pPr>
              <w:ind w:left="580"/>
              <w:spacing w:after="0" w:line="195" w:lineRule="exact"/>
              <w:rPr>
                <w:sz w:val="20"/>
                <w:szCs w:val="20"/>
                <w:color w:val="auto"/>
              </w:rPr>
            </w:pPr>
            <w:r>
              <w:rPr>
                <w:rFonts w:ascii="Arial" w:cs="Arial" w:eastAsia="Arial" w:hAnsi="Arial"/>
                <w:sz w:val="18"/>
                <w:szCs w:val="18"/>
                <w:color w:val="auto"/>
                <w:w w:val="97"/>
              </w:rPr>
              <w:t>Chief Financial Officer</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w w:val="91"/>
              </w:rPr>
              <w:t>(Principal Financial and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Accounting Officer)</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5"/>
              </w:rPr>
              <w:t>/s/ JAMES W. BAGLEY</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gridSpan w:val="7"/>
          </w:tcPr>
          <w:p>
            <w:pPr>
              <w:ind w:left="720"/>
              <w:spacing w:after="0"/>
              <w:rPr>
                <w:sz w:val="20"/>
                <w:szCs w:val="20"/>
                <w:color w:val="auto"/>
              </w:rPr>
            </w:pPr>
            <w:r>
              <w:rPr>
                <w:rFonts w:ascii="Arial" w:cs="Arial" w:eastAsia="Arial" w:hAnsi="Arial"/>
                <w:sz w:val="18"/>
                <w:szCs w:val="18"/>
                <w:color w:val="auto"/>
              </w:rPr>
              <w:t>October 14, 2004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(James W. Bagley)</w:t>
            </w: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3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3"/>
              </w:rPr>
              <w:t>/s/ RONALD C. FOSTER</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gridSpan w:val="7"/>
          </w:tcPr>
          <w:p>
            <w:pPr>
              <w:ind w:left="720"/>
              <w:spacing w:after="0"/>
              <w:rPr>
                <w:sz w:val="20"/>
                <w:szCs w:val="20"/>
                <w:color w:val="auto"/>
              </w:rPr>
            </w:pPr>
            <w:r>
              <w:rPr>
                <w:rFonts w:ascii="Arial" w:cs="Arial" w:eastAsia="Arial" w:hAnsi="Arial"/>
                <w:sz w:val="18"/>
                <w:szCs w:val="18"/>
                <w:color w:val="auto"/>
              </w:rPr>
              <w:t>October 14, 2004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(Ronald C. Foster)</w:t>
            </w: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3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3"/>
              </w:rPr>
              <w:t>/s/ ROBERT A. LOTHROP</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gridSpan w:val="7"/>
          </w:tcPr>
          <w:p>
            <w:pPr>
              <w:ind w:left="720"/>
              <w:spacing w:after="0"/>
              <w:rPr>
                <w:sz w:val="20"/>
                <w:szCs w:val="20"/>
                <w:color w:val="auto"/>
              </w:rPr>
            </w:pPr>
            <w:r>
              <w:rPr>
                <w:rFonts w:ascii="Arial" w:cs="Arial" w:eastAsia="Arial" w:hAnsi="Arial"/>
                <w:sz w:val="18"/>
                <w:szCs w:val="18"/>
                <w:color w:val="auto"/>
              </w:rPr>
              <w:t>October 14, 2004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3"/>
              </w:rPr>
              <w:t>(Robert A. Lothrop)</w:t>
            </w: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3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5"/>
              </w:rPr>
              <w:t>/s/ THOMAS T. NICHOLSON</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gridSpan w:val="7"/>
          </w:tcPr>
          <w:p>
            <w:pPr>
              <w:ind w:left="720"/>
              <w:spacing w:after="0"/>
              <w:rPr>
                <w:sz w:val="20"/>
                <w:szCs w:val="20"/>
                <w:color w:val="auto"/>
              </w:rPr>
            </w:pPr>
            <w:r>
              <w:rPr>
                <w:rFonts w:ascii="Arial" w:cs="Arial" w:eastAsia="Arial" w:hAnsi="Arial"/>
                <w:sz w:val="18"/>
                <w:szCs w:val="18"/>
                <w:color w:val="auto"/>
              </w:rPr>
              <w:t>October 14, 2004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(Thomas T. Nicholson)</w:t>
            </w: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3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5"/>
              </w:rPr>
              <w:t>/s/ GORDON C. SMITH</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gridSpan w:val="7"/>
          </w:tcPr>
          <w:p>
            <w:pPr>
              <w:ind w:left="720"/>
              <w:spacing w:after="0"/>
              <w:rPr>
                <w:sz w:val="20"/>
                <w:szCs w:val="20"/>
                <w:color w:val="auto"/>
              </w:rPr>
            </w:pPr>
            <w:r>
              <w:rPr>
                <w:rFonts w:ascii="Arial" w:cs="Arial" w:eastAsia="Arial" w:hAnsi="Arial"/>
                <w:sz w:val="18"/>
                <w:szCs w:val="18"/>
                <w:color w:val="auto"/>
              </w:rPr>
              <w:t>October 14, 2004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(Gordon C. Smith)</w:t>
            </w: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34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7"/>
              </w:rPr>
              <w:t>/s/ WILLIAM P. WEBER</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gridSpan w:val="7"/>
          </w:tcPr>
          <w:p>
            <w:pPr>
              <w:ind w:left="720"/>
              <w:spacing w:after="0"/>
              <w:rPr>
                <w:sz w:val="20"/>
                <w:szCs w:val="20"/>
                <w:color w:val="auto"/>
              </w:rPr>
            </w:pPr>
            <w:r>
              <w:rPr>
                <w:rFonts w:ascii="Arial" w:cs="Arial" w:eastAsia="Arial" w:hAnsi="Arial"/>
                <w:sz w:val="18"/>
                <w:szCs w:val="18"/>
                <w:color w:val="auto"/>
              </w:rPr>
              <w:t>October 14, 2004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(William P. Weber)</w:t>
            </w: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40" w:type="dxa"/>
            <w:vAlign w:val="bottom"/>
            <w:gridSpan w:val="3"/>
          </w:tcPr>
          <w:p>
            <w:pPr>
              <w:jc w:val="center"/>
              <w:ind w:left="1710"/>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53"/>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gridSpan w:val="3"/>
          </w:tcPr>
          <w:p>
            <w:pPr>
              <w:jc w:val="center"/>
              <w:ind w:left="241"/>
              <w:spacing w:after="0"/>
              <w:rPr>
                <w:sz w:val="20"/>
                <w:szCs w:val="20"/>
                <w:color w:val="auto"/>
              </w:rPr>
            </w:pPr>
            <w:r>
              <w:rPr>
                <w:rFonts w:ascii="Arial" w:cs="Arial" w:eastAsia="Arial" w:hAnsi="Arial"/>
                <w:sz w:val="18"/>
                <w:szCs w:val="18"/>
                <w:color w:val="auto"/>
                <w:w w:val="91"/>
              </w:rPr>
              <w:t>Schedule II</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rPr>
              <w:t>MICRON TECHNOLOGY, INC.</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rPr>
              <w:t>VALUATION AND QUALIFYING ACCOUNTS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40" w:type="dxa"/>
            <w:vAlign w:val="bottom"/>
            <w:gridSpan w:val="4"/>
          </w:tcPr>
          <w:p>
            <w:pPr>
              <w:jc w:val="center"/>
              <w:ind w:left="21"/>
              <w:spacing w:after="0"/>
              <w:rPr>
                <w:sz w:val="20"/>
                <w:szCs w:val="20"/>
                <w:color w:val="auto"/>
              </w:rPr>
            </w:pPr>
            <w:r>
              <w:rPr>
                <w:rFonts w:ascii="Arial" w:cs="Arial" w:eastAsia="Arial" w:hAnsi="Arial"/>
                <w:sz w:val="18"/>
                <w:szCs w:val="18"/>
                <w:color w:val="auto"/>
                <w:w w:val="95"/>
              </w:rPr>
              <w:t>(Amounts in millions)</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vMerge w:val="restart"/>
          </w:tcPr>
          <w:p>
            <w:pPr>
              <w:jc w:val="center"/>
              <w:ind w:left="341"/>
              <w:spacing w:after="0"/>
              <w:rPr>
                <w:sz w:val="20"/>
                <w:szCs w:val="20"/>
                <w:color w:val="auto"/>
              </w:rPr>
            </w:pPr>
            <w:r>
              <w:rPr>
                <w:rFonts w:ascii="Arial" w:cs="Arial" w:eastAsia="Arial" w:hAnsi="Arial"/>
                <w:sz w:val="14"/>
                <w:szCs w:val="14"/>
                <w:b w:val="1"/>
                <w:bCs w:val="1"/>
                <w:color w:val="auto"/>
                <w:w w:val="91"/>
              </w:rPr>
              <w:t>Balance at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Charged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(Credited) to</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Deductions/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Costs and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at End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jc w:val="center"/>
              <w:ind w:left="341"/>
              <w:spacing w:after="0"/>
              <w:rPr>
                <w:sz w:val="20"/>
                <w:szCs w:val="20"/>
                <w:color w:val="auto"/>
              </w:rPr>
            </w:pPr>
            <w:r>
              <w:rPr>
                <w:rFonts w:ascii="Arial" w:cs="Arial" w:eastAsia="Arial" w:hAnsi="Arial"/>
                <w:sz w:val="14"/>
                <w:szCs w:val="14"/>
                <w:b w:val="1"/>
                <w:bCs w:val="1"/>
                <w:color w:val="auto"/>
                <w:w w:val="91"/>
              </w:rPr>
              <w:t>Period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Expenses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Write-Offs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Allowance for Doubtful Accounts</w:t>
            </w: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9"/>
              </w:rPr>
              <w:t>Year ended September 2, 2004</w:t>
            </w:r>
          </w:p>
        </w:tc>
        <w:tc>
          <w:tcPr>
            <w:tcW w:w="980" w:type="dxa"/>
            <w:vAlign w:val="bottom"/>
            <w:tcBorders>
              <w:top w:val="single" w:sz="8" w:color="CCEEFF"/>
            </w:tcBorders>
            <w:gridSpan w:val="3"/>
          </w:tcPr>
          <w:p>
            <w:pPr>
              <w:spacing w:after="0"/>
              <w:rPr>
                <w:sz w:val="18"/>
                <w:szCs w:val="18"/>
                <w:color w:val="auto"/>
              </w:rPr>
            </w:pPr>
          </w:p>
        </w:tc>
        <w:tc>
          <w:tcPr>
            <w:tcW w:w="2320" w:type="dxa"/>
            <w:vAlign w:val="bottom"/>
            <w:tcBorders>
              <w:top w:val="single" w:sz="8" w:color="CCEEFF"/>
            </w:tcBorders>
            <w:gridSpan w:val="2"/>
          </w:tcPr>
          <w:p>
            <w:pPr>
              <w:ind w:left="1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4.8</w:t>
            </w: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0.9</w:t>
            </w:r>
          </w:p>
        </w:tc>
        <w:tc>
          <w:tcPr>
            <w:tcW w:w="3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(3.8)</w:t>
            </w:r>
          </w:p>
        </w:tc>
        <w:tc>
          <w:tcPr>
            <w:tcW w:w="3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August 28, 2003</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tcPr>
          <w:p>
            <w:pPr>
              <w:ind w:left="160"/>
              <w:spacing w:after="0"/>
              <w:rPr>
                <w:sz w:val="20"/>
                <w:szCs w:val="20"/>
                <w:color w:val="auto"/>
              </w:rPr>
            </w:pPr>
            <w:r>
              <w:rPr>
                <w:rFonts w:ascii="Arial" w:cs="Arial" w:eastAsia="Arial" w:hAnsi="Arial"/>
                <w:sz w:val="18"/>
                <w:szCs w:val="18"/>
                <w:color w:val="auto"/>
              </w:rPr>
              <w:t>Year ended August 29, 2002</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20" w:type="dxa"/>
            <w:vAlign w:val="bottom"/>
            <w:gridSpan w:val="4"/>
          </w:tcPr>
          <w:p>
            <w:pPr>
              <w:spacing w:after="0" w:line="176" w:lineRule="exact"/>
              <w:rPr>
                <w:sz w:val="20"/>
                <w:szCs w:val="20"/>
                <w:color w:val="auto"/>
              </w:rPr>
            </w:pPr>
            <w:r>
              <w:rPr>
                <w:rFonts w:ascii="Arial" w:cs="Arial" w:eastAsia="Arial" w:hAnsi="Arial"/>
                <w:sz w:val="18"/>
                <w:szCs w:val="18"/>
                <w:color w:val="auto"/>
              </w:rPr>
              <w:t>Allowance for Obsolete Inventory</w:t>
            </w: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September 2, 2004</w:t>
            </w:r>
          </w:p>
        </w:tc>
        <w:tc>
          <w:tcPr>
            <w:tcW w:w="23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tcPr>
          <w:p>
            <w:pPr>
              <w:ind w:left="160"/>
              <w:spacing w:after="0"/>
              <w:rPr>
                <w:sz w:val="20"/>
                <w:szCs w:val="20"/>
                <w:color w:val="auto"/>
              </w:rPr>
            </w:pPr>
            <w:r>
              <w:rPr>
                <w:rFonts w:ascii="Arial" w:cs="Arial" w:eastAsia="Arial" w:hAnsi="Arial"/>
                <w:sz w:val="18"/>
                <w:szCs w:val="18"/>
                <w:color w:val="auto"/>
              </w:rPr>
              <w:t>Year ended August 28, 2003</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August 29, 2002</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Deferred Tax Asset Valuation Allowance</w:t>
            </w: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Year ended September 2, 2004</w:t>
            </w:r>
          </w:p>
        </w:tc>
        <w:tc>
          <w:tcPr>
            <w:tcW w:w="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gridSpan w:val="2"/>
          </w:tcPr>
          <w:p>
            <w:pPr>
              <w:ind w:left="1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w w:val="88"/>
              </w:rPr>
              <w:t>993.1</w:t>
            </w: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10.6</w:t>
            </w:r>
          </w:p>
        </w:tc>
        <w:tc>
          <w:tcPr>
            <w:tcW w:w="3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0.6</w:t>
            </w:r>
          </w:p>
        </w:tc>
        <w:tc>
          <w:tcPr>
            <w:tcW w:w="3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1,004.3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August 28, 2003</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431.5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4"/>
          </w:tcPr>
          <w:p>
            <w:pPr>
              <w:ind w:left="160"/>
              <w:spacing w:after="0"/>
              <w:rPr>
                <w:sz w:val="20"/>
                <w:szCs w:val="20"/>
                <w:color w:val="auto"/>
              </w:rPr>
            </w:pPr>
            <w:r>
              <w:rPr>
                <w:rFonts w:ascii="Arial" w:cs="Arial" w:eastAsia="Arial" w:hAnsi="Arial"/>
                <w:sz w:val="18"/>
                <w:szCs w:val="18"/>
                <w:color w:val="auto"/>
              </w:rPr>
              <w:t>Year ended August 29, 2002</w:t>
            </w: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87.4</w:t>
            </w:r>
          </w:p>
        </w:tc>
        <w:tc>
          <w:tcPr>
            <w:tcW w:w="24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330.1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-3631565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-3631565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allowance for obsolete inventory excludes any charges for write-downs of work in process and finished goods inventories to their estimated market values. See “Item 7. Management’s Discussion and Analysis of Financial Condition and Results of Operations” and “Item 8. Financial Statements and Supplementary Data – Notes to Consolidated Financial Statements.”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6" w:name="page37"/>
    <w:bookmarkEnd w:id="36"/>
    <w:p>
      <w:pPr>
        <w:ind w:left="1028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740" w:type="dxa"/>
            <w:vAlign w:val="bottom"/>
            <w:gridSpan w:val="3"/>
          </w:tcPr>
          <w:p>
            <w:pPr>
              <w:jc w:val="center"/>
              <w:ind w:right="3432"/>
              <w:spacing w:after="0"/>
              <w:rPr>
                <w:sz w:val="20"/>
                <w:szCs w:val="20"/>
                <w:color w:val="auto"/>
              </w:rPr>
            </w:pPr>
            <w:r>
              <w:rPr>
                <w:rFonts w:ascii="Arial" w:cs="Arial" w:eastAsia="Arial" w:hAnsi="Arial"/>
                <w:sz w:val="18"/>
                <w:szCs w:val="18"/>
                <w:b w:val="1"/>
                <w:bCs w:val="1"/>
                <w:color w:val="auto"/>
              </w:rPr>
              <w:t>MICRON TECHNOLOGY, INC.</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740" w:type="dxa"/>
            <w:vAlign w:val="bottom"/>
            <w:gridSpan w:val="3"/>
          </w:tcPr>
          <w:p>
            <w:pPr>
              <w:jc w:val="center"/>
              <w:ind w:right="3432"/>
              <w:spacing w:after="0"/>
              <w:rPr>
                <w:sz w:val="20"/>
                <w:szCs w:val="20"/>
                <w:color w:val="auto"/>
              </w:rPr>
            </w:pPr>
            <w:r>
              <w:rPr>
                <w:rFonts w:ascii="Arial" w:cs="Arial" w:eastAsia="Arial" w:hAnsi="Arial"/>
                <w:sz w:val="18"/>
                <w:szCs w:val="18"/>
                <w:b w:val="1"/>
                <w:bCs w:val="1"/>
                <w:color w:val="auto"/>
              </w:rPr>
              <w:t>SUBSIDIARIES OF THE REGISTRANT</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ind w:left="620"/>
              <w:spacing w:after="0"/>
              <w:rPr>
                <w:sz w:val="20"/>
                <w:szCs w:val="20"/>
                <w:color w:val="auto"/>
              </w:rPr>
            </w:pPr>
            <w:r>
              <w:rPr>
                <w:rFonts w:ascii="Arial" w:cs="Arial" w:eastAsia="Arial" w:hAnsi="Arial"/>
                <w:sz w:val="14"/>
                <w:szCs w:val="14"/>
                <w:b w:val="1"/>
                <w:bCs w:val="1"/>
                <w:color w:val="auto"/>
              </w:rPr>
              <w:t>State (or jurisdiction)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100" w:type="dxa"/>
            <w:vAlign w:val="bottom"/>
            <w:gridSpan w:val="2"/>
            <w:vMerge w:val="continue"/>
          </w:tcPr>
          <w:p>
            <w:pPr>
              <w:spacing w:after="0"/>
              <w:rPr>
                <w:sz w:val="14"/>
                <w:szCs w:val="14"/>
                <w:color w:val="auto"/>
              </w:rPr>
            </w:pPr>
          </w:p>
        </w:tc>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tcPr>
          <w:p>
            <w:pPr>
              <w:ind w:left="680"/>
              <w:spacing w:after="0"/>
              <w:rPr>
                <w:sz w:val="20"/>
                <w:szCs w:val="20"/>
                <w:color w:val="auto"/>
              </w:rPr>
            </w:pPr>
            <w:r>
              <w:rPr>
                <w:rFonts w:ascii="Arial" w:cs="Arial" w:eastAsia="Arial" w:hAnsi="Arial"/>
                <w:sz w:val="14"/>
                <w:szCs w:val="14"/>
                <w:b w:val="1"/>
                <w:bCs w:val="1"/>
                <w:color w:val="auto"/>
              </w:rPr>
              <w:t>in which Organized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Borders>
              <w:top w:val="single" w:sz="8" w:color="auto"/>
            </w:tcBorders>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Europe Limited</w:t>
            </w: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Also does business as Crucial Technology Europe</w:t>
            </w: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Micron Japan, Ltd.</w:t>
            </w: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Japan</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Asia Pte. Ltd.</w:t>
            </w: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Singapore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Also does business as Crucial Technology Asia</w:t>
            </w: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Micron Semiconductor (Deutschland) GmbH</w:t>
            </w: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Germany</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France, SAS</w:t>
            </w: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Micron Semiconductor India, Inc.</w:t>
            </w: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Idaho</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International, Ltd.</w:t>
            </w: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Cayman Islands, B.W.I.</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Micron Semiconductor Korea Co., Ltd.</w:t>
            </w: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(Shanghai) Co., Ltd.</w:t>
            </w: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China</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Micron Semiconductor Products, Inc.</w:t>
            </w:r>
          </w:p>
        </w:tc>
        <w:tc>
          <w:tcPr>
            <w:tcW w:w="3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Pr>
          <w:p>
            <w:pPr>
              <w:ind w:left="180"/>
              <w:spacing w:after="0" w:line="201" w:lineRule="exact"/>
              <w:rPr>
                <w:sz w:val="20"/>
                <w:szCs w:val="20"/>
                <w:color w:val="auto"/>
              </w:rPr>
            </w:pPr>
            <w:r>
              <w:rPr>
                <w:rFonts w:ascii="Arial" w:cs="Arial" w:eastAsia="Arial" w:hAnsi="Arial"/>
                <w:sz w:val="18"/>
                <w:szCs w:val="18"/>
                <w:color w:val="auto"/>
              </w:rPr>
              <w:t>Idaho</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Also does business as Crucial Technology</w:t>
            </w: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(Xiamen) Co., Ltd.</w:t>
            </w: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China</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1"/>
              </w:rPr>
              <w:t>Micron Semiconductor Technology (Shanghai) Co., Ltd.</w:t>
            </w: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China</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Technology Asia Pacific, Inc.</w:t>
            </w: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Idaho</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Micron Technology Italia S.r.l.</w:t>
            </w: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Italy</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Technology Puerto Rico, Inc.</w:t>
            </w: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Puerto Rico</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Micron Technology Services, Inc.</w:t>
            </w: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Idaho</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Technology Texas, LLC</w:t>
            </w: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Idaho</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 on Forms S-3 as amended (File Nos. 333-71620, 333-33050, 333-104894) and Forms S-8 (File Nos. 333-111170, 33-3686, 33-16832, 33-27078, 33-38665, 33-38926, 33-65050, 33-52653, 33-57887, 333-07283, 333-17073, 333-50353, 333-65449, 333-71249, 333-82549, 333-99271, 333-102545, 333-103341) of Micron Technology, Inc. and its subsidiaries of our report dated October 11, 2004 relating to the financial statements and financial statement schedule, which appears in this Form 10-K.</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0" w:hanging="332"/>
        <w:spacing w:after="0" w:line="277" w:lineRule="auto"/>
        <w:tabs>
          <w:tab w:leader="none" w:pos="3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4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00" w:hanging="328"/>
        <w:spacing w:after="0" w:line="264" w:lineRule="auto"/>
        <w:tabs>
          <w:tab w:leader="none" w:pos="6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00" w:hanging="332"/>
        <w:spacing w:after="0" w:line="308" w:lineRule="auto"/>
        <w:tabs>
          <w:tab w:leader="none" w:pos="3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2004</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Steven R. Appleton</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-130810</wp:posOffset>
            </wp:positionV>
            <wp:extent cx="30784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Wilbur G. Stover, Jr.,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0" w:hanging="332"/>
        <w:spacing w:after="0" w:line="277" w:lineRule="auto"/>
        <w:tabs>
          <w:tab w:leader="none" w:pos="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4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00" w:hanging="328"/>
        <w:spacing w:after="0" w:line="264" w:lineRule="auto"/>
        <w:tabs>
          <w:tab w:leader="none" w:pos="6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00" w:hanging="332"/>
        <w:spacing w:after="0" w:line="308" w:lineRule="auto"/>
        <w:tabs>
          <w:tab w:leader="none" w:pos="3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2004</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W. G. Stover, Jr.</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-130810</wp:posOffset>
            </wp:positionV>
            <wp:extent cx="30187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left="10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Annual Report of Micron Technology, Inc. on Form 10-K for the period ended September 2, 2004, fully complies with the requirements of Section 13(a) or 15(d) of the Securities Exchange Act of 1934 and that information contained in such Annual Report on Form 10-K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Date: October 14, 2004</w:t>
            </w:r>
          </w:p>
        </w:tc>
        <w:tc>
          <w:tcPr>
            <w:tcW w:w="7240" w:type="dxa"/>
            <w:vAlign w:val="bottom"/>
            <w:gridSpan w:val="2"/>
          </w:tcPr>
          <w:p>
            <w:pPr>
              <w:ind w:left="2480"/>
              <w:spacing w:after="0"/>
              <w:rPr>
                <w:sz w:val="20"/>
                <w:szCs w:val="20"/>
                <w:color w:val="auto"/>
              </w:rPr>
            </w:pPr>
            <w:r>
              <w:rPr>
                <w:rFonts w:ascii="Arial" w:cs="Arial" w:eastAsia="Arial" w:hAnsi="Arial"/>
                <w:sz w:val="18"/>
                <w:szCs w:val="18"/>
                <w:color w:val="auto"/>
              </w:rPr>
              <w:t>By:   /s/ Steven R. Appleton</w:t>
            </w:r>
          </w:p>
        </w:tc>
        <w:tc>
          <w:tcPr>
            <w:tcW w:w="20" w:type="dxa"/>
            <w:vAlign w:val="bottom"/>
          </w:tcPr>
          <w:p>
            <w:pPr>
              <w:spacing w:after="0"/>
              <w:rPr>
                <w:sz w:val="20"/>
                <w:szCs w:val="20"/>
                <w:color w:val="auto"/>
              </w:rPr>
            </w:pPr>
          </w:p>
        </w:tc>
      </w:tr>
      <w:tr>
        <w:trPr>
          <w:trHeight w:val="195"/>
        </w:trPr>
        <w:tc>
          <w:tcPr>
            <w:tcW w:w="4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2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16"/>
        </w:trPr>
        <w:tc>
          <w:tcPr>
            <w:tcW w:w="41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Chairman of the Board, Chief Executive Officer</w:t>
            </w:r>
          </w:p>
        </w:tc>
        <w:tc>
          <w:tcPr>
            <w:tcW w:w="2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and President</w:t>
            </w:r>
          </w:p>
        </w:tc>
        <w:tc>
          <w:tcPr>
            <w:tcW w:w="20" w:type="dxa"/>
            <w:vAlign w:val="bottom"/>
          </w:tcPr>
          <w:p>
            <w:pPr>
              <w:spacing w:after="0"/>
              <w:rPr>
                <w:sz w:val="20"/>
                <w:szCs w:val="20"/>
                <w:color w:val="auto"/>
              </w:rPr>
            </w:pPr>
          </w:p>
        </w:tc>
      </w:tr>
      <w:tr>
        <w:trPr>
          <w:trHeight w:val="321"/>
        </w:trPr>
        <w:tc>
          <w:tcPr>
            <w:tcW w:w="418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1" w:name="page42"/>
    <w:bookmarkEnd w:id="41"/>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 W. G. Stover, Jr., certify, pursuant to 18 U.S.C. 1350, as adopted pursuant to Section 906 of the Sarbanes-Oxley Act of 2002, that the Annual Report of Micron Technology, Inc. on Form 10-K for the period ended September 2, 2004, fully complies with the requirements of Section 13(a) or 15(d) of the Securities Exchange Act of 1934 and that information contained in such Annual Report on Form 10-K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Date: October 14, 2004</w:t>
            </w:r>
          </w:p>
        </w:tc>
        <w:tc>
          <w:tcPr>
            <w:tcW w:w="3060" w:type="dxa"/>
            <w:vAlign w:val="bottom"/>
          </w:tcPr>
          <w:p>
            <w:pPr>
              <w:ind w:left="246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0"/>
                <w:szCs w:val="20"/>
                <w:color w:val="auto"/>
              </w:rPr>
            </w:pPr>
          </w:p>
        </w:tc>
      </w:tr>
      <w:tr>
        <w:trPr>
          <w:trHeight w:val="195"/>
        </w:trPr>
        <w:tc>
          <w:tcPr>
            <w:tcW w:w="41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200" w:type="dxa"/>
            <w:vAlign w:val="bottom"/>
          </w:tcPr>
          <w:p>
            <w:pPr>
              <w:ind w:left="80"/>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16"/>
        </w:trPr>
        <w:tc>
          <w:tcPr>
            <w:tcW w:w="4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0" w:type="dxa"/>
            <w:vAlign w:val="bottom"/>
          </w:tcPr>
          <w:p>
            <w:pPr>
              <w:ind w:left="80"/>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200" w:type="dxa"/>
            <w:vAlign w:val="bottom"/>
          </w:tcPr>
          <w:p>
            <w:pPr>
              <w:ind w:left="8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321"/>
        </w:trPr>
        <w:tc>
          <w:tcPr>
            <w:tcW w:w="416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44" Type="http://schemas.openxmlformats.org/officeDocument/2006/relationships/hyperlink" Target="file:///data/convert/a04-11602_110k.htm#ReportOfIndependentRegisteredPublic" TargetMode="External"/><Relationship Id="rId45" Type="http://schemas.openxmlformats.org/officeDocument/2006/relationships/hyperlink" Target="file:///data/convert/a04-11602_110k.htm#ScheduleIi"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2019-12-13T13:19:08Z</dcterms:created>
  <dcterms:modified xsi:type="dcterms:W3CDTF">2019-12-13T13:19:08Z</dcterms:modified>
</cp:coreProperties>
</file>