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Micron Technology Incorporated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Cusip # 595112103</w:t>
      </w:r>
    </w:p>
    <w:p>
      <w:pPr>
        <w:spacing w:after="0"/>
        <w:rPr>
          <w:sz w:val="20"/>
          <w:szCs w:val="20"/>
          <w:color w:val="auto"/>
        </w:rPr>
      </w:pPr>
      <w:r>
        <w:rPr>
          <w:rFonts w:ascii="Courier New" w:cs="Courier New" w:eastAsia="Courier New" w:hAnsi="Courier New"/>
          <w:sz w:val="18"/>
          <w:szCs w:val="18"/>
          <w:color w:val="auto"/>
        </w:rPr>
        <w:t>Filing Fee: No</w:t>
      </w:r>
    </w:p>
    <w:p>
      <w:pPr>
        <w:sectPr>
          <w:pgSz w:w="11900" w:h="16853" w:orient="portrait"/>
          <w:cols w:equalWidth="0" w:num="1">
            <w:col w:w="10219"/>
          </w:cols>
          <w:pgMar w:left="240" w:top="852" w:right="1440" w:bottom="0" w:gutter="0" w:footer="0" w:header="0"/>
        </w:sectPr>
      </w:pPr>
    </w:p>
    <w:p>
      <w:pPr>
        <w:spacing w:after="0" w:line="200" w:lineRule="exact"/>
        <w:rPr>
          <w:sz w:val="24"/>
          <w:szCs w:val="24"/>
          <w:color w:val="auto"/>
        </w:rPr>
      </w:pP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595112103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FMR Corp. - (Tax ID: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Commonwealth of Massachusetts</w:t>
      </w:r>
    </w:p>
    <w:p>
      <w:pPr>
        <w:spacing w:after="0" w:line="238" w:lineRule="auto"/>
        <w:rPr>
          <w:sz w:val="20"/>
          <w:szCs w:val="20"/>
          <w:color w:val="auto"/>
        </w:rPr>
      </w:pPr>
      <w:r>
        <w:rPr>
          <w:rFonts w:ascii="Courier New" w:cs="Courier New" w:eastAsia="Courier New" w:hAnsi="Courier New"/>
          <w:sz w:val="18"/>
          <w:szCs w:val="18"/>
          <w:color w:val="auto"/>
        </w:rPr>
        <w:t>Item 5: 149,850</w:t>
      </w:r>
    </w:p>
    <w:p>
      <w:pPr>
        <w:spacing w:after="0"/>
        <w:rPr>
          <w:sz w:val="20"/>
          <w:szCs w:val="20"/>
          <w:color w:val="auto"/>
        </w:rPr>
      </w:pPr>
      <w:r>
        <w:rPr>
          <w:rFonts w:ascii="Courier New" w:cs="Courier New" w:eastAsia="Courier New" w:hAnsi="Courier New"/>
          <w:sz w:val="18"/>
          <w:szCs w:val="18"/>
          <w:color w:val="auto"/>
        </w:rPr>
        <w:t>Item 6: None</w:t>
      </w:r>
    </w:p>
    <w:p>
      <w:pPr>
        <w:spacing w:after="0" w:line="237" w:lineRule="auto"/>
        <w:rPr>
          <w:sz w:val="20"/>
          <w:szCs w:val="20"/>
          <w:color w:val="auto"/>
        </w:rPr>
      </w:pPr>
      <w:r>
        <w:rPr>
          <w:rFonts w:ascii="Courier New" w:cs="Courier New" w:eastAsia="Courier New" w:hAnsi="Courier New"/>
          <w:sz w:val="18"/>
          <w:szCs w:val="18"/>
          <w:color w:val="auto"/>
        </w:rPr>
        <w:t>Item 7: 13,055,500</w:t>
      </w:r>
    </w:p>
    <w:p>
      <w:pPr>
        <w:spacing w:after="0" w:line="238"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13,055,500</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12.78%</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HC</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04-2507163)</w:t>
      </w:r>
    </w:p>
    <w:p>
      <w:pPr>
        <w:spacing w:after="0" w:line="1838" w:lineRule="exact"/>
        <w:rPr>
          <w:sz w:val="24"/>
          <w:szCs w:val="24"/>
          <w:color w:val="auto"/>
        </w:rPr>
      </w:pPr>
    </w:p>
    <w:p>
      <w:pPr>
        <w:sectPr>
          <w:pgSz w:w="11900" w:h="16853" w:orient="portrait"/>
          <w:cols w:equalWidth="0" w:num="2">
            <w:col w:w="4960" w:space="200"/>
            <w:col w:w="505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 595112103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1: Reporting Person - Edward C. Johnson 3d - (Tax ID:</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8" w:lineRule="auto"/>
        <w:rPr>
          <w:sz w:val="20"/>
          <w:szCs w:val="20"/>
          <w:color w:val="auto"/>
        </w:rPr>
      </w:pPr>
      <w:r>
        <w:rPr>
          <w:rFonts w:ascii="Courier New" w:cs="Courier New" w:eastAsia="Courier New" w:hAnsi="Courier New"/>
          <w:sz w:val="18"/>
          <w:szCs w:val="18"/>
          <w:color w:val="auto"/>
        </w:rPr>
        <w:t>Item 5: None</w:t>
      </w:r>
    </w:p>
    <w:p>
      <w:pPr>
        <w:spacing w:after="0"/>
        <w:rPr>
          <w:sz w:val="20"/>
          <w:szCs w:val="20"/>
          <w:color w:val="auto"/>
        </w:rPr>
      </w:pPr>
      <w:r>
        <w:rPr>
          <w:rFonts w:ascii="Courier New" w:cs="Courier New" w:eastAsia="Courier New" w:hAnsi="Courier New"/>
          <w:sz w:val="18"/>
          <w:szCs w:val="18"/>
          <w:color w:val="auto"/>
        </w:rPr>
        <w:t>Item 6: None</w:t>
      </w:r>
    </w:p>
    <w:p>
      <w:pPr>
        <w:spacing w:after="0" w:line="237" w:lineRule="auto"/>
        <w:rPr>
          <w:sz w:val="20"/>
          <w:szCs w:val="20"/>
          <w:color w:val="auto"/>
        </w:rPr>
      </w:pPr>
      <w:r>
        <w:rPr>
          <w:rFonts w:ascii="Courier New" w:cs="Courier New" w:eastAsia="Courier New" w:hAnsi="Courier New"/>
          <w:sz w:val="18"/>
          <w:szCs w:val="18"/>
          <w:color w:val="auto"/>
        </w:rPr>
        <w:t>Item 7: 13,055,500</w:t>
      </w:r>
    </w:p>
    <w:p>
      <w:pPr>
        <w:spacing w:after="0" w:line="238" w:lineRule="auto"/>
        <w:rPr>
          <w:sz w:val="20"/>
          <w:szCs w:val="20"/>
          <w:color w:val="auto"/>
        </w:rPr>
      </w:pPr>
      <w:r>
        <w:rPr>
          <w:rFonts w:ascii="Courier New" w:cs="Courier New" w:eastAsia="Courier New" w:hAnsi="Courier New"/>
          <w:sz w:val="18"/>
          <w:szCs w:val="18"/>
          <w:color w:val="auto"/>
        </w:rPr>
        <w:t>Item 8: None</w:t>
      </w:r>
    </w:p>
    <w:p>
      <w:pPr>
        <w:spacing w:after="0"/>
        <w:rPr>
          <w:sz w:val="20"/>
          <w:szCs w:val="20"/>
          <w:color w:val="auto"/>
        </w:rPr>
      </w:pPr>
      <w:r>
        <w:rPr>
          <w:rFonts w:ascii="Courier New" w:cs="Courier New" w:eastAsia="Courier New" w:hAnsi="Courier New"/>
          <w:sz w:val="18"/>
          <w:szCs w:val="18"/>
          <w:color w:val="auto"/>
        </w:rPr>
        <w:t>Item 9: 13,055,500</w:t>
      </w:r>
    </w:p>
    <w:p>
      <w:pPr>
        <w:spacing w:after="0"/>
        <w:tabs>
          <w:tab w:leader="none" w:pos="1680" w:val="left"/>
        </w:tabs>
        <w:rPr>
          <w:sz w:val="20"/>
          <w:szCs w:val="20"/>
          <w:color w:val="auto"/>
        </w:rPr>
      </w:pPr>
      <w:r>
        <w:rPr>
          <w:rFonts w:ascii="Courier New" w:cs="Courier New" w:eastAsia="Courier New" w:hAnsi="Courier New"/>
          <w:sz w:val="18"/>
          <w:szCs w:val="18"/>
          <w:color w:val="auto"/>
        </w:rPr>
        <w:t>Item 11:</w:t>
      </w:r>
      <w:r>
        <w:rPr>
          <w:sz w:val="20"/>
          <w:szCs w:val="20"/>
          <w:color w:val="auto"/>
        </w:rPr>
        <w:tab/>
      </w:r>
      <w:r>
        <w:rPr>
          <w:rFonts w:ascii="Courier New" w:cs="Courier New" w:eastAsia="Courier New" w:hAnsi="Courier New"/>
          <w:sz w:val="16"/>
          <w:szCs w:val="16"/>
          <w:color w:val="auto"/>
        </w:rPr>
        <w:t>12.78%</w:t>
      </w:r>
    </w:p>
    <w:p>
      <w:pPr>
        <w:spacing w:after="0"/>
        <w:tabs>
          <w:tab w:leader="none" w:pos="1680" w:val="left"/>
        </w:tabs>
        <w:rPr>
          <w:sz w:val="20"/>
          <w:szCs w:val="20"/>
          <w:color w:val="auto"/>
        </w:rPr>
      </w:pPr>
      <w:r>
        <w:rPr>
          <w:rFonts w:ascii="Courier New" w:cs="Courier New" w:eastAsia="Courier New" w:hAnsi="Courier New"/>
          <w:sz w:val="18"/>
          <w:szCs w:val="18"/>
          <w:color w:val="auto"/>
        </w:rPr>
        <w:t>Item 12:</w:t>
      </w:r>
      <w:r>
        <w:rPr>
          <w:sz w:val="20"/>
          <w:szCs w:val="20"/>
          <w:color w:val="auto"/>
        </w:rPr>
        <w:tab/>
      </w:r>
      <w:r>
        <w:rPr>
          <w:rFonts w:ascii="Courier New" w:cs="Courier New" w:eastAsia="Courier New" w:hAnsi="Courier New"/>
          <w:sz w:val="16"/>
          <w:szCs w:val="16"/>
          <w:color w:val="auto"/>
        </w:rPr>
        <w:t>IN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838" w:lineRule="exact"/>
        <w:rPr>
          <w:sz w:val="24"/>
          <w:szCs w:val="24"/>
          <w:color w:val="auto"/>
        </w:rPr>
      </w:pPr>
    </w:p>
    <w:p>
      <w:pPr>
        <w:sectPr>
          <w:pgSz w:w="11900" w:h="16853" w:orient="portrait"/>
          <w:cols w:equalWidth="0" w:num="2">
            <w:col w:w="6120" w:space="200"/>
            <w:col w:w="3899"/>
          </w:cols>
          <w:pgMar w:left="240" w:top="852"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jc w:val="center"/>
        <w:ind w:right="3679"/>
        <w:spacing w:after="0"/>
        <w:rPr>
          <w:sz w:val="20"/>
          <w:szCs w:val="20"/>
          <w:color w:val="auto"/>
        </w:rPr>
      </w:pPr>
      <w:r>
        <w:rPr>
          <w:rFonts w:ascii="Courier New" w:cs="Courier New" w:eastAsia="Courier New" w:hAnsi="Courier New"/>
          <w:sz w:val="18"/>
          <w:szCs w:val="18"/>
          <w:color w:val="auto"/>
        </w:rPr>
        <w:t>Micron Technology Incorporated</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2805 East Columbia Road</w:t>
      </w:r>
    </w:p>
    <w:p>
      <w:pPr>
        <w:ind w:left="1700"/>
        <w:spacing w:after="0"/>
        <w:tabs>
          <w:tab w:leader="none" w:pos="2840" w:val="left"/>
        </w:tabs>
        <w:rPr>
          <w:sz w:val="20"/>
          <w:szCs w:val="20"/>
          <w:color w:val="auto"/>
        </w:rPr>
      </w:pPr>
      <w:r>
        <w:rPr>
          <w:rFonts w:ascii="Courier New" w:cs="Courier New" w:eastAsia="Courier New" w:hAnsi="Courier New"/>
          <w:sz w:val="18"/>
          <w:szCs w:val="18"/>
          <w:color w:val="auto"/>
        </w:rPr>
        <w:t>Boise, ID</w:t>
      </w:r>
      <w:r>
        <w:rPr>
          <w:sz w:val="20"/>
          <w:szCs w:val="20"/>
          <w:color w:val="auto"/>
        </w:rPr>
        <w:tab/>
      </w:r>
      <w:r>
        <w:rPr>
          <w:rFonts w:ascii="Courier New" w:cs="Courier New" w:eastAsia="Courier New" w:hAnsi="Courier New"/>
          <w:sz w:val="16"/>
          <w:szCs w:val="16"/>
          <w:color w:val="auto"/>
        </w:rPr>
        <w:t>83706</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Corp.</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or Principal Business Office or, if None, Residence:</w:t>
      </w:r>
    </w:p>
    <w:p>
      <w:pPr>
        <w:spacing w:after="0" w:line="201" w:lineRule="exact"/>
        <w:rPr>
          <w:sz w:val="24"/>
          <w:szCs w:val="24"/>
          <w:color w:val="auto"/>
        </w:rPr>
      </w:pPr>
    </w:p>
    <w:p>
      <w:pPr>
        <w:ind w:left="1700"/>
        <w:spacing w:after="0"/>
        <w:tabs>
          <w:tab w:leader="none" w:pos="6420" w:val="left"/>
        </w:tabs>
        <w:rPr>
          <w:sz w:val="20"/>
          <w:szCs w:val="20"/>
          <w:color w:val="auto"/>
        </w:rPr>
      </w:pPr>
      <w:r>
        <w:rPr>
          <w:rFonts w:ascii="Courier New" w:cs="Courier New" w:eastAsia="Courier New" w:hAnsi="Courier New"/>
          <w:sz w:val="18"/>
          <w:szCs w:val="18"/>
          <w:color w:val="auto"/>
        </w:rPr>
        <w:t>82 Devonshire Street, Boston, Massachusetts</w:t>
      </w:r>
      <w:r>
        <w:rPr>
          <w:sz w:val="20"/>
          <w:szCs w:val="20"/>
          <w:color w:val="auto"/>
        </w:rPr>
        <w:tab/>
      </w:r>
      <w:r>
        <w:rPr>
          <w:rFonts w:ascii="Courier New" w:cs="Courier New" w:eastAsia="Courier New" w:hAnsi="Courier New"/>
          <w:sz w:val="16"/>
          <w:szCs w:val="16"/>
          <w:color w:val="auto"/>
        </w:rPr>
        <w:t>02109</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595112103</w:t>
      </w:r>
    </w:p>
    <w:p>
      <w:pPr>
        <w:spacing w:after="0" w:line="207" w:lineRule="exact"/>
        <w:rPr>
          <w:sz w:val="24"/>
          <w:szCs w:val="24"/>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Item 3. This statement is filed pursuant to Rule 13d-1(b) or 13d-2(b) and the person filing, FMR Corp.,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4"/>
          <w:szCs w:val="24"/>
          <w:color w:val="auto"/>
        </w:rPr>
      </w:pPr>
    </w:p>
    <w:p>
      <w:pPr>
        <w:ind w:left="860" w:right="5779" w:hanging="9"/>
        <w:spacing w:after="0" w:line="235" w:lineRule="auto"/>
        <w:tabs>
          <w:tab w:leader="none" w:pos="170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13,055,500</w:t>
      </w:r>
    </w:p>
    <w:p>
      <w:pPr>
        <w:sectPr>
          <w:pgSz w:w="11900" w:h="16853" w:orient="portrait"/>
          <w:cols w:equalWidth="0" w:num="1">
            <w:col w:w="10219"/>
          </w:cols>
          <w:pgMar w:left="240" w:top="852" w:right="1440" w:bottom="0" w:gutter="0" w:footer="0" w:header="0"/>
          <w:type w:val="continuous"/>
        </w:sectPr>
      </w:pPr>
    </w:p>
    <w:bookmarkStart w:id="1" w:name="page2"/>
    <w:bookmarkEnd w:id="1"/>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12.78%</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149,850</w:t>
      </w:r>
    </w:p>
    <w:p>
      <w:pPr>
        <w:spacing w:after="0" w:line="201"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7" w:lineRule="exact"/>
        <w:rPr>
          <w:rFonts w:ascii="Courier New" w:cs="Courier New" w:eastAsia="Courier New" w:hAnsi="Courier New"/>
          <w:sz w:val="18"/>
          <w:szCs w:val="18"/>
          <w:color w:val="auto"/>
        </w:rPr>
      </w:pPr>
    </w:p>
    <w:p>
      <w:pPr>
        <w:ind w:left="860" w:right="2839" w:hanging="9"/>
        <w:spacing w:after="0" w:line="235" w:lineRule="auto"/>
        <w:tabs>
          <w:tab w:leader="none" w:pos="170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13,055,500</w:t>
      </w:r>
    </w:p>
    <w:p>
      <w:pPr>
        <w:spacing w:after="0" w:line="202" w:lineRule="exact"/>
        <w:rPr>
          <w:rFonts w:ascii="Courier New" w:cs="Courier New" w:eastAsia="Courier New" w:hAnsi="Courier New"/>
          <w:sz w:val="18"/>
          <w:szCs w:val="18"/>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right="3359" w:firstLine="843"/>
        <w:spacing w:after="0" w:line="268" w:lineRule="auto"/>
        <w:rPr>
          <w:sz w:val="20"/>
          <w:szCs w:val="20"/>
          <w:color w:val="auto"/>
        </w:rPr>
      </w:pPr>
      <w:r>
        <w:rPr>
          <w:rFonts w:ascii="Courier New" w:cs="Courier New" w:eastAsia="Courier New" w:hAnsi="Courier New"/>
          <w:sz w:val="16"/>
          <w:szCs w:val="16"/>
          <w:color w:val="auto"/>
        </w:rPr>
        <w:t>Various persons have the right to receive or the power to direct the receipt of dividends from, or the proceeds from the sale of, the common stock of Micron Technology Incorporated.</w:t>
      </w:r>
    </w:p>
    <w:p>
      <w:pPr>
        <w:spacing w:after="0" w:line="1"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8"/>
          <w:szCs w:val="18"/>
          <w:color w:val="auto"/>
        </w:rPr>
        <w:t>The interest of one person, Fidelity Magellan Fund, an investment company registered under the Investment Company Act of 1940, in the common stock of Micron Technology Incorporated, amounted to 6,964,300 shares or 6.82% of the total outstanding common stock at December 31, 1994.</w:t>
      </w:r>
    </w:p>
    <w:p>
      <w:pPr>
        <w:spacing w:after="0" w:line="209"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Exhibit(s) A, B, and 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 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3039" w:firstLine="843"/>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w:t>
      </w:r>
    </w:p>
    <w:p>
      <w:pPr>
        <w:ind w:right="3579"/>
        <w:spacing w:after="0" w:line="237" w:lineRule="auto"/>
        <w:rPr>
          <w:sz w:val="20"/>
          <w:szCs w:val="20"/>
          <w:color w:val="auto"/>
        </w:rPr>
      </w:pPr>
      <w:r>
        <w:rPr>
          <w:rFonts w:ascii="Courier New" w:cs="Courier New" w:eastAsia="Courier New" w:hAnsi="Courier New"/>
          <w:sz w:val="18"/>
          <w:szCs w:val="18"/>
          <w:color w:val="auto"/>
        </w:rPr>
        <w:t>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5"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w:t>
      </w:r>
    </w:p>
    <w:p>
      <w:pPr>
        <w:spacing w:after="0" w:line="6" w:lineRule="exact"/>
        <w:rPr>
          <w:sz w:val="20"/>
          <w:szCs w:val="20"/>
          <w:color w:val="auto"/>
        </w:rPr>
      </w:pPr>
    </w:p>
    <w:p>
      <w:pPr>
        <w:ind w:right="3579"/>
        <w:spacing w:after="0" w:line="279" w:lineRule="auto"/>
        <w:rPr>
          <w:sz w:val="20"/>
          <w:szCs w:val="20"/>
          <w:color w:val="auto"/>
        </w:rPr>
      </w:pPr>
      <w:r>
        <w:rPr>
          <w:rFonts w:ascii="Courier New" w:cs="Courier New" w:eastAsia="Courier New" w:hAnsi="Courier New"/>
          <w:sz w:val="16"/>
          <w:szCs w:val="16"/>
          <w:color w:val="auto"/>
        </w:rPr>
        <w:t>Schedule 13G in connection with FMR Corp's beneficial ownership of the common stock of Micron Technology Incorporated at December 31, 1994 is true, complete and correct.</w:t>
      </w:r>
    </w:p>
    <w:p>
      <w:pPr>
        <w:spacing w:after="0" w:line="200" w:lineRule="exact"/>
        <w:rPr>
          <w:sz w:val="20"/>
          <w:szCs w:val="20"/>
          <w:color w:val="auto"/>
        </w:rPr>
      </w:pPr>
    </w:p>
    <w:p>
      <w:pPr>
        <w:spacing w:after="0" w:line="37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February 13, 1995</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/s/Arthur S. Loring</w:t>
      </w:r>
    </w:p>
    <w:p>
      <w:pPr>
        <w:spacing w:after="0" w:line="238" w:lineRule="auto"/>
        <w:rPr>
          <w:sz w:val="20"/>
          <w:szCs w:val="20"/>
          <w:color w:val="auto"/>
        </w:rPr>
      </w:pPr>
      <w:r>
        <w:rPr>
          <w:rFonts w:ascii="Courier New" w:cs="Courier New" w:eastAsia="Courier New" w:hAnsi="Courier New"/>
          <w:sz w:val="18"/>
          <w:szCs w:val="18"/>
          <w:color w:val="auto"/>
        </w:rPr>
        <w:t>Signature</w:t>
      </w:r>
    </w:p>
    <w:p>
      <w:pPr>
        <w:sectPr>
          <w:pgSz w:w="11900" w:h="16838" w:orient="portrait"/>
          <w:cols w:equalWidth="0" w:num="1">
            <w:col w:w="10219"/>
          </w:cols>
          <w:pgMar w:left="240" w:top="339" w:right="1440" w:bottom="335" w:gutter="0" w:footer="0" w:header="0"/>
        </w:sectPr>
      </w:pPr>
    </w:p>
    <w:bookmarkStart w:id="2" w:name="page3"/>
    <w:bookmarkEnd w:id="2"/>
    <w:p>
      <w:pPr>
        <w:ind w:left="860"/>
        <w:spacing w:after="0"/>
        <w:rPr>
          <w:sz w:val="20"/>
          <w:szCs w:val="20"/>
          <w:color w:val="auto"/>
        </w:rPr>
      </w:pPr>
      <w:r>
        <w:rPr>
          <w:rFonts w:ascii="Courier New" w:cs="Courier New" w:eastAsia="Courier New" w:hAnsi="Courier New"/>
          <w:sz w:val="18"/>
          <w:szCs w:val="18"/>
          <w:color w:val="auto"/>
        </w:rPr>
        <w:t>Arthur S. Loring, Vice</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rPr>
          <w:sz w:val="20"/>
          <w:szCs w:val="20"/>
          <w:color w:val="auto"/>
        </w:rPr>
      </w:pPr>
      <w:r>
        <w:rPr>
          <w:rFonts w:ascii="Courier New" w:cs="Courier New" w:eastAsia="Courier New" w:hAnsi="Courier New"/>
          <w:sz w:val="18"/>
          <w:szCs w:val="18"/>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Corp. and an investment adviser registered under Section 203 of the Investment Advisers Act of 1940, is the beneficial owner of 12,698,650 shares or 12.43% of the common stock outstanding of Micron Technology Incorporated ("the Company") as a result of acting as investment adviser to several investment companies registered under Section 8 of the Investment Company Act of 1940.</w:t>
      </w:r>
    </w:p>
    <w:p>
      <w:pPr>
        <w:spacing w:after="0" w:line="212" w:lineRule="exact"/>
        <w:rPr>
          <w:sz w:val="20"/>
          <w:szCs w:val="20"/>
          <w:color w:val="auto"/>
        </w:rPr>
      </w:pPr>
    </w:p>
    <w:p>
      <w:pPr>
        <w:ind w:right="1679" w:firstLine="843"/>
        <w:spacing w:after="0" w:line="237" w:lineRule="auto"/>
        <w:rPr>
          <w:sz w:val="20"/>
          <w:szCs w:val="20"/>
          <w:color w:val="auto"/>
        </w:rPr>
      </w:pPr>
      <w:r>
        <w:rPr>
          <w:rFonts w:ascii="Courier New" w:cs="Courier New" w:eastAsia="Courier New" w:hAnsi="Courier New"/>
          <w:sz w:val="18"/>
          <w:szCs w:val="18"/>
          <w:color w:val="auto"/>
        </w:rPr>
        <w:t>The ownership of one investment company, Fidelity Magellan Fund, amounted to 6,964,300 shares or 6.82% of the common stock outstanding. Fidelity Magellan Fund has its principal business office at 82 Devonshire Street, Boston, Massachusetts 02109.</w:t>
      </w:r>
    </w:p>
    <w:p>
      <w:pPr>
        <w:spacing w:after="0" w:line="207" w:lineRule="exact"/>
        <w:rPr>
          <w:sz w:val="20"/>
          <w:szCs w:val="20"/>
          <w:color w:val="auto"/>
        </w:rPr>
      </w:pPr>
    </w:p>
    <w:p>
      <w:pPr>
        <w:ind w:right="1679" w:firstLine="843"/>
        <w:spacing w:after="0" w:line="236" w:lineRule="auto"/>
        <w:rPr>
          <w:sz w:val="20"/>
          <w:szCs w:val="20"/>
          <w:color w:val="auto"/>
        </w:rPr>
      </w:pPr>
      <w:r>
        <w:rPr>
          <w:rFonts w:ascii="Courier New" w:cs="Courier New" w:eastAsia="Courier New" w:hAnsi="Courier New"/>
          <w:sz w:val="18"/>
          <w:szCs w:val="18"/>
          <w:color w:val="auto"/>
        </w:rPr>
        <w:t>Edward C. Johnson 3d, FMR Corp., through its control of Fidelity, and the Funds each has sole power to dispose of the 12,698,650 shares owned by the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Neither FMR Corp. nor Edward C. Johnson 3d, Chairman of FMR Corp., has the sole power to vote or direct the voting of the shares owned directly by the Fidelity Funds, which power resides with the Funds' Boards of Trustees. Fidelity carries out the voting of the shares under written guidelines established by the Funds' Boards of Trustees.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Fidelity Management Trust Company, 82 Devonshire Street, Boston, Massachusetts 02109, a wholly-owned subsidiary of FMR Corp. and a bank as defined in Section 3(a)(6) of the Securities Exchange Act of 1934, is the beneficial owner of 250,600 shares or 0.25% of the common stock outstanding of the company as a result of its serving as investment manager of the institutional account(s).</w:t>
      </w:r>
    </w:p>
    <w:p>
      <w:pPr>
        <w:spacing w:after="0" w:line="210" w:lineRule="exact"/>
        <w:rPr>
          <w:sz w:val="20"/>
          <w:szCs w:val="20"/>
          <w:color w:val="auto"/>
        </w:rPr>
      </w:pPr>
    </w:p>
    <w:p>
      <w:pPr>
        <w:ind w:right="2199" w:firstLine="843"/>
        <w:spacing w:after="0" w:line="237" w:lineRule="auto"/>
        <w:rPr>
          <w:sz w:val="20"/>
          <w:szCs w:val="20"/>
          <w:color w:val="auto"/>
        </w:rPr>
      </w:pPr>
      <w:r>
        <w:rPr>
          <w:rFonts w:ascii="Courier New" w:cs="Courier New" w:eastAsia="Courier New" w:hAnsi="Courier New"/>
          <w:sz w:val="18"/>
          <w:szCs w:val="18"/>
          <w:color w:val="auto"/>
        </w:rPr>
        <w:t>Edward C. Johnson 3d and FMR Corp., through its control of Fidelity Management Trust Company, has sole dispositive power over 250,600 shares and sole power to vote or to direct the voting of 43,600 shares, and no power to vote or to direct the voting of 207,000 Shares of common stock owned by the institutional account(s) as reported above.</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Edward C. Johnson 3d and Abigail P. Johnson each own 24.9% of the outstanding voting common stock of FMR Corp. Mr. Johnson 3d is Chairman of FMR Corp. Various Johnson family members and trusts for the benefit of Johnson family members own FMR Corp. voting common stock. These Johnson family members, through their ownership of voting common stock and the execution of a family shareholders' voting agreement, form a controlling group with respect to FMR Corp.</w:t>
      </w:r>
    </w:p>
    <w:p>
      <w:pPr>
        <w:spacing w:after="0" w:line="211"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Fidelity International Limited, Pembroke Hall, 42 Crowlane, Hamilton, Bermuda, and various foreign-based subsidiaries provide investment advisory and management services to a number of non-U.S. investment companies (the "International Funds") and certain institutional investors. Fidelity International Limited is the beneficial owner of 106,250 shares or 0.10% of the common stock outstanding of the company. Additional information with respect to the beneficial ownership of Fidelity International Limited is shown on Exhibit B, page 9.</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0"/>
          <w:szCs w:val="20"/>
          <w:color w:val="auto"/>
        </w:rPr>
      </w:pPr>
    </w:p>
    <w:p>
      <w:pPr>
        <w:spacing w:after="0" w:line="210" w:lineRule="exact"/>
        <w:rPr>
          <w:sz w:val="20"/>
          <w:szCs w:val="20"/>
          <w:color w:val="auto"/>
        </w:rPr>
      </w:pPr>
    </w:p>
    <w:p>
      <w:pPr>
        <w:ind w:right="1679" w:firstLine="843"/>
        <w:spacing w:after="0" w:line="237" w:lineRule="auto"/>
        <w:rPr>
          <w:sz w:val="20"/>
          <w:szCs w:val="20"/>
          <w:color w:val="auto"/>
        </w:rPr>
      </w:pPr>
      <w:r>
        <w:rPr>
          <w:rFonts w:ascii="Courier New" w:cs="Courier New" w:eastAsia="Courier New" w:hAnsi="Courier New"/>
          <w:sz w:val="18"/>
          <w:szCs w:val="18"/>
          <w:color w:val="auto"/>
        </w:rPr>
        <w:t>Pursuant to instructions in Item 7 of Schedule 13G, this Exhibit has been prepared to identify Fidelity International Limited, Pembroke Hall, 42 Crow Lane, Hamilton, Bermuda, a Bermudian joint stock company incorporated for an unlimited duration by private act of the Bermuda Legislature (FIL) and an investment adviser to various investment companies (the "International Funds") and certain institutional investors, as a beneficial owner of the 106,250 shares or 0.10% of the common stock outstanding of Micron Technology Incorporated.</w:t>
      </w:r>
    </w:p>
    <w:p>
      <w:pPr>
        <w:spacing w:after="0" w:line="212" w:lineRule="exact"/>
        <w:rPr>
          <w:sz w:val="20"/>
          <w:szCs w:val="20"/>
          <w:color w:val="auto"/>
        </w:rPr>
      </w:pPr>
    </w:p>
    <w:p>
      <w:pPr>
        <w:ind w:right="1879" w:firstLine="843"/>
        <w:spacing w:after="0" w:line="279" w:lineRule="auto"/>
        <w:rPr>
          <w:sz w:val="20"/>
          <w:szCs w:val="20"/>
          <w:color w:val="auto"/>
        </w:rPr>
      </w:pPr>
      <w:r>
        <w:rPr>
          <w:rFonts w:ascii="Courier New" w:cs="Courier New" w:eastAsia="Courier New" w:hAnsi="Courier New"/>
          <w:sz w:val="16"/>
          <w:szCs w:val="16"/>
          <w:color w:val="auto"/>
        </w:rPr>
        <w:t>Prior to June 30, 1980, FIL was a majority-owned subsidiary of Fidelity Management &amp; Research Company (Fidelity), a wholly-owned subsidiary of FMR Corp. On that date, the shares of FIL held by Fidelity were distributed, as a</w:t>
      </w:r>
    </w:p>
    <w:p>
      <w:pPr>
        <w:sectPr>
          <w:pgSz w:w="11900" w:h="16838" w:orient="portrait"/>
          <w:cols w:equalWidth="0" w:num="1">
            <w:col w:w="10219"/>
          </w:cols>
          <w:pgMar w:left="240" w:top="136" w:right="1440" w:bottom="0" w:gutter="0" w:footer="0" w:header="0"/>
        </w:sectPr>
      </w:pPr>
    </w:p>
    <w:bookmarkStart w:id="3" w:name="page4"/>
    <w:bookmarkEnd w:id="3"/>
    <w:p>
      <w:pPr>
        <w:ind w:right="2099"/>
        <w:spacing w:after="0" w:line="237" w:lineRule="auto"/>
        <w:rPr>
          <w:sz w:val="20"/>
          <w:szCs w:val="20"/>
          <w:color w:val="auto"/>
        </w:rPr>
      </w:pPr>
      <w:r>
        <w:rPr>
          <w:rFonts w:ascii="Courier New" w:cs="Courier New" w:eastAsia="Courier New" w:hAnsi="Courier New"/>
          <w:sz w:val="18"/>
          <w:szCs w:val="18"/>
          <w:color w:val="auto"/>
        </w:rPr>
        <w:t>dividend, to the shareholders of FMR Corp. FIL currently operates as an entity independent of FMR Corp. and Fidelity. The International Funds and FIL's other clients, with the exception of Fidelity and an affiliated company of Fidelity, are non-U.S. entities.</w:t>
      </w:r>
    </w:p>
    <w:p>
      <w:pPr>
        <w:spacing w:after="0" w:line="207"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A partnership controlled by Edward C. Johnson 3d and members of his family owns shares of FIL voting stock with the right to cast approximately 47.22% of the total votes which may be cast by all holders of FIL voting stock. Mr. Johnson 3d is Chairman of FMR Corp. and FIL. FMR Corp. and FIL are separate and independent corporate entities. FMR Corp. and FIL are managed independently and their Boards of Directors are generally composed of different individuals. Other than when one serves as a subadviser to the other, their investment decisions are made independently, and their clients are different organizations.</w:t>
      </w:r>
    </w:p>
    <w:p>
      <w:pPr>
        <w:spacing w:after="0" w:line="214"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FMR Corp. and FIL are of the view that they are not acting as a "group" for purposes of Section 13(d) under the Securities Exchange Act of 1934 (the "1934" Act) and that they are not otherwise required to attribute to each other the "beneficial ownership" of securities "beneficially owned" by the other corporation within the meaning of Rule 13d-3 promulgated under the 1934 Act. Therefore, they are of the view that the shares held by the other corporation need not be aggregated for purposes of Section 13(d). However, FMR Corp. is making this filing on a voluntary basis as if all of the shares are beneficially owned by FMR Corp. and FIL on a joint basis.</w:t>
      </w:r>
    </w:p>
    <w:p>
      <w:pPr>
        <w:spacing w:after="0" w:line="214" w:lineRule="exact"/>
        <w:rPr>
          <w:sz w:val="20"/>
          <w:szCs w:val="20"/>
          <w:color w:val="auto"/>
        </w:rPr>
      </w:pPr>
    </w:p>
    <w:p>
      <w:pPr>
        <w:ind w:right="2099" w:firstLine="843"/>
        <w:spacing w:after="0" w:line="237" w:lineRule="auto"/>
        <w:rPr>
          <w:sz w:val="20"/>
          <w:szCs w:val="20"/>
          <w:color w:val="auto"/>
        </w:rPr>
      </w:pPr>
      <w:r>
        <w:rPr>
          <w:rFonts w:ascii="Courier New" w:cs="Courier New" w:eastAsia="Courier New" w:hAnsi="Courier New"/>
          <w:sz w:val="18"/>
          <w:szCs w:val="18"/>
          <w:color w:val="auto"/>
        </w:rPr>
        <w:t>FIL may continue to have the International Funds or other accounts purchase shares subject to a number of factors, including, among others, the availability of shares for sale at what FIL considers to be reasonable prices and other investment opportunities that may be available to the International Funds.</w:t>
      </w:r>
    </w:p>
    <w:p>
      <w:pPr>
        <w:spacing w:after="0" w:line="209"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FIL intends to review continuously the equity position of the International Funds and other accounts in the Company. Depending upon its future evaluations of the business and prospects of the Company and upon other developments, including, but not limited to, general economic and business conditions and money market and stock market conditions, FIL may determine to cease making additional purchases of shares or to increase or decrease the equity interest in the Company by acquiring additional shares, or by disposing of all or a portion of the shares.</w:t>
      </w:r>
    </w:p>
    <w:p>
      <w:pPr>
        <w:spacing w:after="0" w:line="212" w:lineRule="exact"/>
        <w:rPr>
          <w:sz w:val="20"/>
          <w:szCs w:val="20"/>
          <w:color w:val="auto"/>
        </w:rPr>
      </w:pPr>
    </w:p>
    <w:p>
      <w:pPr>
        <w:ind w:right="1999" w:firstLine="843"/>
        <w:spacing w:after="0" w:line="237" w:lineRule="auto"/>
        <w:rPr>
          <w:sz w:val="20"/>
          <w:szCs w:val="20"/>
          <w:color w:val="auto"/>
        </w:rPr>
      </w:pPr>
      <w:r>
        <w:rPr>
          <w:rFonts w:ascii="Courier New" w:cs="Courier New" w:eastAsia="Courier New" w:hAnsi="Courier New"/>
          <w:sz w:val="18"/>
          <w:szCs w:val="18"/>
          <w:color w:val="auto"/>
        </w:rPr>
        <w:t>FIL does not have a present plan or proposal which relates to or would result in (i) an extraordinary corporate transaction, such as a merger, reorganization, liquidation, or sale or transfer of a material amount of assets involving the Company or any of its subsidiaries, (ii) any change in the Company's present Board of Directors or management, (iii) any material changes in the Company's present capitalization or dividend policy or any other material change in the Company's business or corporate structure, (iv) any change in the Company's charter or by-laws, or (v) the Company's common stock becoming eligible for termination of its registration pursuant to Section 12(g)(4) of the 1934 Act.</w:t>
      </w:r>
    </w:p>
    <w:p>
      <w:pPr>
        <w:spacing w:after="0" w:line="209"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FIL has the sole power to vote and the sole power to dispose of 106,250</w:t>
      </w:r>
    </w:p>
    <w:p>
      <w:pPr>
        <w:spacing w:after="0" w:line="238" w:lineRule="auto"/>
        <w:rPr>
          <w:sz w:val="20"/>
          <w:szCs w:val="20"/>
          <w:color w:val="auto"/>
        </w:rPr>
      </w:pPr>
      <w:r>
        <w:rPr>
          <w:rFonts w:ascii="Courier New" w:cs="Courier New" w:eastAsia="Courier New" w:hAnsi="Courier New"/>
          <w:sz w:val="18"/>
          <w:szCs w:val="18"/>
          <w:color w:val="auto"/>
        </w:rPr>
        <w:t>shares.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SCHEDULE 13G - TO BE INCLUDED IN STATEMENTS</w:t>
      </w:r>
    </w:p>
    <w:p>
      <w:pPr>
        <w:spacing w:after="0" w:line="238" w:lineRule="auto"/>
        <w:rPr>
          <w:sz w:val="20"/>
          <w:szCs w:val="20"/>
          <w:color w:val="auto"/>
        </w:rPr>
      </w:pPr>
      <w:r>
        <w:rPr>
          <w:rFonts w:ascii="Courier New" w:cs="Courier New" w:eastAsia="Courier New" w:hAnsi="Courier New"/>
          <w:sz w:val="18"/>
          <w:szCs w:val="18"/>
          <w:color w:val="auto"/>
        </w:rPr>
        <w:t>FILED PURSUANT TO RULE 13d-1(b) or 13d-2(b)</w:t>
      </w:r>
    </w:p>
    <w:p>
      <w:pPr>
        <w:spacing w:after="0" w:line="202"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The undersigned persons, on February 13, 1995, agree and consent to the joint filing on their behalf of this Schedule 13G in connection with their beneficial ownership of the common stock of Micron Technology Incorporated at December 31, 1994.</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2"/>
          </w:tcPr>
          <w:p>
            <w:pPr>
              <w:ind w:left="860"/>
              <w:spacing w:after="0"/>
              <w:rPr>
                <w:sz w:val="20"/>
                <w:szCs w:val="20"/>
                <w:color w:val="auto"/>
              </w:rPr>
            </w:pPr>
            <w:r>
              <w:rPr>
                <w:rFonts w:ascii="Courier New" w:cs="Courier New" w:eastAsia="Courier New" w:hAnsi="Courier New"/>
                <w:sz w:val="18"/>
                <w:szCs w:val="18"/>
                <w:color w:val="auto"/>
              </w:rPr>
              <w:t>FMR Corp.</w:t>
            </w:r>
          </w:p>
        </w:tc>
        <w:tc>
          <w:tcPr>
            <w:tcW w:w="2160" w:type="dxa"/>
            <w:vAlign w:val="bottom"/>
          </w:tcPr>
          <w:p>
            <w:pPr>
              <w:spacing w:after="0"/>
              <w:rPr>
                <w:sz w:val="17"/>
                <w:szCs w:val="17"/>
                <w:color w:val="auto"/>
              </w:rPr>
            </w:pP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By</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/s/Arthur</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 Loring</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Arthur S. Loring</w:t>
            </w: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Vice President -</w:t>
            </w: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Legal</w:t>
            </w:r>
          </w:p>
        </w:tc>
        <w:tc>
          <w:tcPr>
            <w:tcW w:w="2160" w:type="dxa"/>
            <w:vAlign w:val="bottom"/>
          </w:tcPr>
          <w:p>
            <w:pPr>
              <w:spacing w:after="0"/>
              <w:rPr>
                <w:sz w:val="17"/>
                <w:szCs w:val="17"/>
                <w:color w:val="auto"/>
              </w:rPr>
            </w:pPr>
          </w:p>
        </w:tc>
      </w:tr>
      <w:tr>
        <w:trPr>
          <w:trHeight w:val="203"/>
        </w:trPr>
        <w:tc>
          <w:tcPr>
            <w:tcW w:w="2700" w:type="dxa"/>
            <w:vAlign w:val="bottom"/>
            <w:gridSpan w:val="2"/>
          </w:tcPr>
          <w:p>
            <w:pPr>
              <w:ind w:left="860"/>
              <w:spacing w:after="0" w:line="203" w:lineRule="exact"/>
              <w:rPr>
                <w:sz w:val="20"/>
                <w:szCs w:val="20"/>
                <w:color w:val="auto"/>
              </w:rPr>
            </w:pPr>
            <w:r>
              <w:rPr>
                <w:rFonts w:ascii="Courier New" w:cs="Courier New" w:eastAsia="Courier New" w:hAnsi="Courier New"/>
                <w:sz w:val="18"/>
                <w:szCs w:val="18"/>
                <w:color w:val="auto"/>
                <w:w w:val="99"/>
              </w:rPr>
              <w:t>Edward C. Johnson</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3d</w:t>
            </w: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By</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/s/Arthur</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 Loring</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Arthur S. Loring</w:t>
            </w: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4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Under Power of Attorney dated</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rPr>
              <w:t>5/17/89</w:t>
            </w:r>
          </w:p>
        </w:tc>
        <w:tc>
          <w:tcPr>
            <w:tcW w:w="1000" w:type="dxa"/>
            <w:vAlign w:val="bottom"/>
          </w:tcPr>
          <w:p>
            <w:pPr>
              <w:spacing w:after="0"/>
              <w:rPr>
                <w:sz w:val="17"/>
                <w:szCs w:val="17"/>
                <w:color w:val="auto"/>
              </w:rPr>
            </w:pPr>
          </w:p>
        </w:tc>
        <w:tc>
          <w:tcPr>
            <w:tcW w:w="2160" w:type="dxa"/>
            <w:vAlign w:val="bottom"/>
          </w:tcPr>
          <w:p>
            <w:pPr>
              <w:spacing w:after="0"/>
              <w:rPr>
                <w:sz w:val="17"/>
                <w:szCs w:val="17"/>
                <w:color w:val="auto"/>
              </w:rPr>
            </w:pPr>
          </w:p>
        </w:tc>
      </w:tr>
      <w:tr>
        <w:trPr>
          <w:trHeight w:val="203"/>
        </w:trPr>
        <w:tc>
          <w:tcPr>
            <w:tcW w:w="27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On File with Schedule 13G</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w:t>
            </w:r>
          </w:p>
        </w:tc>
      </w:tr>
      <w:tr>
        <w:trPr>
          <w:trHeight w:val="203"/>
        </w:trPr>
        <w:tc>
          <w:tcPr>
            <w:tcW w:w="17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Airborne Freight</w:t>
            </w:r>
          </w:p>
        </w:tc>
        <w:tc>
          <w:tcPr>
            <w:tcW w:w="3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Corp. 9/10/91</w:t>
            </w: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w w:val="94"/>
              </w:rPr>
              <w:t>Fidelity</w:t>
            </w:r>
          </w:p>
        </w:tc>
        <w:tc>
          <w:tcPr>
            <w:tcW w:w="3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Management &amp; Research Company</w:t>
            </w:r>
          </w:p>
        </w:tc>
      </w:tr>
      <w:tr>
        <w:trPr>
          <w:trHeight w:val="203"/>
        </w:trPr>
        <w:tc>
          <w:tcPr>
            <w:tcW w:w="170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By</w:t>
            </w: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/s/Arthur</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 Loring</w:t>
            </w:r>
          </w:p>
        </w:tc>
      </w:tr>
    </w:tbl>
    <w:p>
      <w:pPr>
        <w:spacing w:after="0" w:line="238" w:lineRule="auto"/>
        <w:rPr>
          <w:sz w:val="20"/>
          <w:szCs w:val="20"/>
          <w:color w:val="auto"/>
        </w:rPr>
      </w:pPr>
      <w:r>
        <w:rPr>
          <w:rFonts w:ascii="Courier New" w:cs="Courier New" w:eastAsia="Courier New" w:hAnsi="Courier New"/>
          <w:sz w:val="18"/>
          <w:szCs w:val="18"/>
          <w:color w:val="auto"/>
        </w:rPr>
        <w:t>Arthur S. Loring</w:t>
      </w:r>
    </w:p>
    <w:p>
      <w:pPr>
        <w:spacing w:after="0"/>
        <w:rPr>
          <w:sz w:val="20"/>
          <w:szCs w:val="20"/>
          <w:color w:val="auto"/>
        </w:rPr>
      </w:pPr>
      <w:r>
        <w:rPr>
          <w:rFonts w:ascii="Courier New" w:cs="Courier New" w:eastAsia="Courier New" w:hAnsi="Courier New"/>
          <w:sz w:val="18"/>
          <w:szCs w:val="18"/>
          <w:color w:val="auto"/>
        </w:rPr>
        <w:t>Sr. V.P. and General Counsel</w:t>
      </w:r>
    </w:p>
    <w:p>
      <w:pPr>
        <w:ind w:left="860"/>
        <w:spacing w:after="0" w:line="237" w:lineRule="auto"/>
        <w:rPr>
          <w:sz w:val="20"/>
          <w:szCs w:val="20"/>
          <w:color w:val="auto"/>
        </w:rPr>
      </w:pPr>
      <w:r>
        <w:rPr>
          <w:rFonts w:ascii="Courier New" w:cs="Courier New" w:eastAsia="Courier New" w:hAnsi="Courier New"/>
          <w:sz w:val="18"/>
          <w:szCs w:val="18"/>
          <w:color w:val="auto"/>
        </w:rPr>
        <w:t>Fidelity Magellan Fund</w:t>
      </w:r>
    </w:p>
    <w:p>
      <w:pPr>
        <w:sectPr>
          <w:pgSz w:w="11900" w:h="16838" w:orient="portrait"/>
          <w:cols w:equalWidth="0" w:num="1">
            <w:col w:w="10219"/>
          </w:cols>
          <w:pgMar w:left="240" w:top="142" w:right="1440" w:bottom="0" w:gutter="0" w:footer="0" w:header="0"/>
        </w:sectPr>
      </w:pPr>
    </w:p>
    <w:bookmarkStart w:id="4" w:name="page5"/>
    <w:bookmarkEnd w:id="4"/>
    <w:p>
      <w:pPr>
        <w:ind w:left="860"/>
        <w:spacing w:after="0"/>
        <w:rPr>
          <w:sz w:val="20"/>
          <w:szCs w:val="20"/>
          <w:color w:val="auto"/>
        </w:rPr>
      </w:pPr>
      <w:r>
        <w:rPr>
          <w:rFonts w:ascii="Courier New" w:cs="Courier New" w:eastAsia="Courier New" w:hAnsi="Courier New"/>
          <w:sz w:val="18"/>
          <w:szCs w:val="18"/>
          <w:color w:val="auto"/>
        </w:rPr>
        <w:t>By</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Arthur S. Loring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Secretary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/s/Arthur S. Loring</w:t>
      </w:r>
    </w:p>
    <w:sectPr>
      <w:pgSz w:w="11900" w:h="16838" w:orient="portrait"/>
      <w:cols w:equalWidth="0" w:num="2">
        <w:col w:w="1700" w:space="0"/>
        <w:col w:w="85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Letter"/>
      <w:start w:val="1"/>
    </w:lvl>
  </w:abstractNum>
  <w:abstractNum w:abstractNumId="1">
    <w:nsid w:val="74B0DC51"/>
    <w:multiLevelType w:val="hybridMultilevel"/>
    <w:lvl w:ilvl="0">
      <w:lvlJc w:val="left"/>
      <w:lvlText w:val="(%1)"/>
      <w:numFmt w:val="lowerLetter"/>
      <w:start w:val="2"/>
    </w:lvl>
  </w:abstractNum>
  <w:abstractNum w:abstractNumId="2">
    <w:nsid w:val="19495CFF"/>
    <w:multiLevelType w:val="hybridMultilevel"/>
    <w:lvl w:ilvl="0">
      <w:lvlJc w:val="left"/>
      <w:lvlText w:val="(%1)"/>
      <w:numFmt w:val="lowerRoman"/>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2019-12-12T06:37:07Z</dcterms:created>
  <dcterms:modified xsi:type="dcterms:W3CDTF">2019-12-12T06:37:07Z</dcterms:modified>
</cp:coreProperties>
</file>