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27,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45085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4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4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w w:val="99"/>
              </w:rPr>
              <w:t>(Commission File Number)</w:t>
            </w:r>
          </w:p>
        </w:tc>
        <w:tc>
          <w:tcPr>
            <w:tcW w:w="3940" w:type="dxa"/>
            <w:vAlign w:val="bottom"/>
          </w:tcPr>
          <w:p>
            <w:pPr>
              <w:jc w:val="center"/>
              <w:ind w:right="10"/>
              <w:spacing w:after="0"/>
              <w:rPr>
                <w:sz w:val="20"/>
                <w:szCs w:val="20"/>
                <w:color w:val="auto"/>
              </w:rPr>
            </w:pPr>
            <w:r>
              <w:rPr>
                <w:rFonts w:ascii="Arial" w:cs="Arial" w:eastAsia="Arial" w:hAnsi="Arial"/>
                <w:sz w:val="18"/>
                <w:szCs w:val="18"/>
                <w:color w:val="auto"/>
                <w:w w:val="99"/>
              </w:rPr>
              <w:t>(I.R.S. Employer Identification No.)</w:t>
            </w:r>
          </w:p>
        </w:tc>
      </w:tr>
    </w:tbl>
    <w:p>
      <w:pPr>
        <w:spacing w:after="0" w:line="396"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74"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20" w:type="dxa"/>
            <w:vAlign w:val="bottom"/>
            <w:gridSpan w:val="3"/>
          </w:tcPr>
          <w:p>
            <w:pPr>
              <w:jc w:val="center"/>
              <w:ind w:right="140"/>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77"/>
        </w:trPr>
        <w:tc>
          <w:tcPr>
            <w:tcW w:w="4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10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Common Stock, par value $0.10 per share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21"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00" w:lineRule="exact"/>
        <w:rPr>
          <w:sz w:val="20"/>
          <w:szCs w:val="20"/>
          <w:color w:val="auto"/>
        </w:rPr>
      </w:pPr>
    </w:p>
    <w:p>
      <w:pPr>
        <w:spacing w:after="0" w:line="29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On May 27, 2020, in connection with remarks by Sanjay Mehrotra, the President and Chief Executive Officer of Micron Technology, Inc. (the “Company”), at the 2020 Bernstein Strategic Decisions Conference, the Company updated its guidance for the third fiscal quarter, ending May 28, 2020, as set forth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00" w:type="dxa"/>
            <w:vAlign w:val="bottom"/>
          </w:tcPr>
          <w:p>
            <w:pPr>
              <w:spacing w:after="0"/>
              <w:rPr>
                <w:sz w:val="21"/>
                <w:szCs w:val="21"/>
                <w:color w:val="auto"/>
              </w:rPr>
            </w:pPr>
          </w:p>
        </w:tc>
        <w:tc>
          <w:tcPr>
            <w:tcW w:w="2740" w:type="dxa"/>
            <w:vAlign w:val="bottom"/>
            <w:gridSpan w:val="3"/>
          </w:tcPr>
          <w:p>
            <w:pPr>
              <w:ind w:left="380"/>
              <w:spacing w:after="0"/>
              <w:rPr>
                <w:sz w:val="20"/>
                <w:szCs w:val="20"/>
                <w:color w:val="auto"/>
              </w:rPr>
            </w:pPr>
            <w:r>
              <w:rPr>
                <w:rFonts w:ascii="Arial" w:cs="Arial" w:eastAsia="Arial" w:hAnsi="Arial"/>
                <w:sz w:val="18"/>
                <w:szCs w:val="18"/>
                <w:b w:val="1"/>
                <w:bCs w:val="1"/>
                <w:color w:val="auto"/>
              </w:rPr>
              <w:t>GAAP Outlook</w:t>
            </w:r>
          </w:p>
        </w:tc>
        <w:tc>
          <w:tcPr>
            <w:tcW w:w="208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Adjustments</w:t>
            </w:r>
          </w:p>
        </w:tc>
        <w:tc>
          <w:tcPr>
            <w:tcW w:w="2120" w:type="dxa"/>
            <w:vAlign w:val="bottom"/>
          </w:tcPr>
          <w:p>
            <w:pPr>
              <w:jc w:val="right"/>
              <w:ind w:right="230"/>
              <w:spacing w:after="0"/>
              <w:rPr>
                <w:sz w:val="20"/>
                <w:szCs w:val="20"/>
                <w:color w:val="auto"/>
              </w:rPr>
            </w:pPr>
            <w:r>
              <w:rPr>
                <w:rFonts w:ascii="Arial" w:cs="Arial" w:eastAsia="Arial" w:hAnsi="Arial"/>
                <w:sz w:val="18"/>
                <w:szCs w:val="18"/>
                <w:b w:val="1"/>
                <w:bCs w:val="1"/>
                <w:color w:val="auto"/>
              </w:rPr>
              <w:t>Non-GAAP Outlook</w:t>
            </w:r>
          </w:p>
        </w:tc>
      </w:tr>
      <w:tr>
        <w:trPr>
          <w:trHeight w:val="41"/>
        </w:trPr>
        <w:tc>
          <w:tcPr>
            <w:tcW w:w="4300" w:type="dxa"/>
            <w:vAlign w:val="bottom"/>
            <w:tcBorders>
              <w:top w:val="single" w:sz="8" w:color="0090DA"/>
            </w:tcBorders>
          </w:tcPr>
          <w:p>
            <w:pPr>
              <w:spacing w:after="0"/>
              <w:rPr>
                <w:sz w:val="3"/>
                <w:szCs w:val="3"/>
                <w:color w:val="auto"/>
              </w:rPr>
            </w:pPr>
          </w:p>
        </w:tc>
        <w:tc>
          <w:tcPr>
            <w:tcW w:w="214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Borders>
              <w:top w:val="single" w:sz="8" w:color="0090DA"/>
            </w:tcBorders>
          </w:tcPr>
          <w:p>
            <w:pPr>
              <w:spacing w:after="0"/>
              <w:rPr>
                <w:sz w:val="3"/>
                <w:szCs w:val="3"/>
                <w:color w:val="auto"/>
              </w:rPr>
            </w:pPr>
          </w:p>
        </w:tc>
        <w:tc>
          <w:tcPr>
            <w:tcW w:w="178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0090DA"/>
            </w:tcBorders>
          </w:tcPr>
          <w:p>
            <w:pPr>
              <w:spacing w:after="0"/>
              <w:rPr>
                <w:sz w:val="3"/>
                <w:szCs w:val="3"/>
                <w:color w:val="auto"/>
              </w:rPr>
            </w:pPr>
          </w:p>
        </w:tc>
        <w:tc>
          <w:tcPr>
            <w:tcW w:w="2120" w:type="dxa"/>
            <w:vAlign w:val="bottom"/>
            <w:tcBorders>
              <w:top w:val="single" w:sz="8" w:color="0090DA"/>
            </w:tcBorders>
          </w:tcPr>
          <w:p>
            <w:pPr>
              <w:spacing w:after="0"/>
              <w:rPr>
                <w:sz w:val="3"/>
                <w:szCs w:val="3"/>
                <w:color w:val="auto"/>
              </w:rPr>
            </w:pPr>
          </w:p>
        </w:tc>
      </w:tr>
      <w:tr>
        <w:trPr>
          <w:trHeight w:val="256"/>
        </w:trPr>
        <w:tc>
          <w:tcPr>
            <w:tcW w:w="4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740" w:type="dxa"/>
            <w:vAlign w:val="bottom"/>
            <w:gridSpan w:val="3"/>
            <w:shd w:val="clear" w:color="auto" w:fill="D1D2D4"/>
          </w:tcPr>
          <w:p>
            <w:pPr>
              <w:ind w:left="100"/>
              <w:spacing w:after="0"/>
              <w:rPr>
                <w:sz w:val="20"/>
                <w:szCs w:val="20"/>
                <w:color w:val="auto"/>
              </w:rPr>
            </w:pPr>
            <w:r>
              <w:rPr>
                <w:rFonts w:ascii="Arial" w:cs="Arial" w:eastAsia="Arial" w:hAnsi="Arial"/>
                <w:sz w:val="18"/>
                <w:szCs w:val="18"/>
                <w:color w:val="auto"/>
              </w:rPr>
              <w:t>$5.2 billion - $5.4 billion</w:t>
            </w:r>
          </w:p>
        </w:tc>
        <w:tc>
          <w:tcPr>
            <w:tcW w:w="2080" w:type="dxa"/>
            <w:vAlign w:val="bottom"/>
            <w:gridSpan w:val="3"/>
            <w:shd w:val="clear" w:color="auto" w:fill="D1D2D4"/>
          </w:tcPr>
          <w:p>
            <w:pPr>
              <w:jc w:val="right"/>
              <w:ind w:right="142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$5.2 billion - $5.4 billion</w:t>
            </w:r>
          </w:p>
        </w:tc>
      </w:tr>
      <w:tr>
        <w:trPr>
          <w:trHeight w:val="257"/>
        </w:trPr>
        <w:tc>
          <w:tcPr>
            <w:tcW w:w="43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32% - 33%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80" w:type="dxa"/>
            <w:vAlign w:val="bottom"/>
            <w:gridSpan w:val="3"/>
          </w:tcPr>
          <w:p>
            <w:pPr>
              <w:jc w:val="right"/>
              <w:ind w:right="1140"/>
              <w:spacing w:after="0"/>
              <w:rPr>
                <w:sz w:val="20"/>
                <w:szCs w:val="20"/>
                <w:color w:val="auto"/>
              </w:rPr>
            </w:pPr>
            <w:r>
              <w:rPr>
                <w:rFonts w:ascii="Arial" w:cs="Arial" w:eastAsia="Arial" w:hAnsi="Arial"/>
                <w:sz w:val="18"/>
                <w:szCs w:val="18"/>
                <w:color w:val="auto"/>
              </w:rPr>
              <w:t>1% A</w:t>
            </w: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33% - 34%</w:t>
            </w:r>
          </w:p>
        </w:tc>
      </w:tr>
      <w:tr>
        <w:trPr>
          <w:trHeight w:val="257"/>
        </w:trPr>
        <w:tc>
          <w:tcPr>
            <w:tcW w:w="4300" w:type="dxa"/>
            <w:vAlign w:val="bottom"/>
            <w:shd w:val="clear" w:color="auto" w:fill="D1D2D4"/>
          </w:tcPr>
          <w:p>
            <w:pPr>
              <w:ind w:left="20"/>
              <w:spacing w:after="0" w:line="256"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1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$0.61 - $0.66</w:t>
            </w:r>
          </w:p>
        </w:tc>
        <w:tc>
          <w:tcPr>
            <w:tcW w:w="120" w:type="dxa"/>
            <w:vAlign w:val="bottom"/>
            <w:shd w:val="clear" w:color="auto" w:fill="D1D2D4"/>
          </w:tcPr>
          <w:p>
            <w:pPr>
              <w:spacing w:after="0"/>
              <w:rPr>
                <w:sz w:val="22"/>
                <w:szCs w:val="22"/>
                <w:color w:val="auto"/>
              </w:rPr>
            </w:pPr>
          </w:p>
        </w:tc>
        <w:tc>
          <w:tcPr>
            <w:tcW w:w="480" w:type="dxa"/>
            <w:vAlign w:val="bottom"/>
            <w:shd w:val="clear" w:color="auto" w:fill="D1D2D4"/>
          </w:tcPr>
          <w:p>
            <w:pPr>
              <w:spacing w:after="0"/>
              <w:rPr>
                <w:sz w:val="22"/>
                <w:szCs w:val="22"/>
                <w:color w:val="auto"/>
              </w:rPr>
            </w:pPr>
          </w:p>
        </w:tc>
        <w:tc>
          <w:tcPr>
            <w:tcW w:w="2080" w:type="dxa"/>
            <w:vAlign w:val="bottom"/>
            <w:gridSpan w:val="3"/>
            <w:shd w:val="clear" w:color="auto" w:fill="D1D2D4"/>
          </w:tcPr>
          <w:p>
            <w:pPr>
              <w:jc w:val="right"/>
              <w:ind w:right="460"/>
              <w:spacing w:after="0"/>
              <w:rPr>
                <w:sz w:val="20"/>
                <w:szCs w:val="20"/>
                <w:color w:val="auto"/>
              </w:rPr>
            </w:pPr>
            <w:r>
              <w:rPr>
                <w:rFonts w:ascii="Arial" w:cs="Arial" w:eastAsia="Arial" w:hAnsi="Arial"/>
                <w:sz w:val="18"/>
                <w:szCs w:val="18"/>
                <w:color w:val="auto"/>
              </w:rPr>
              <w:t>$0.14 A, B, C, D</w:t>
            </w:r>
          </w:p>
        </w:tc>
        <w:tc>
          <w:tcPr>
            <w:tcW w:w="2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$0.75 - $0.80</w:t>
            </w:r>
          </w:p>
        </w:tc>
      </w:tr>
      <w:tr>
        <w:trPr>
          <w:trHeight w:val="585"/>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46"/>
        </w:trPr>
        <w:tc>
          <w:tcPr>
            <w:tcW w:w="43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214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480" w:type="dxa"/>
            <w:vAlign w:val="bottom"/>
            <w:tcBorders>
              <w:bottom w:val="single" w:sz="8" w:color="0090DA"/>
            </w:tcBorders>
          </w:tcPr>
          <w:p>
            <w:pPr>
              <w:spacing w:after="0"/>
              <w:rPr>
                <w:sz w:val="21"/>
                <w:szCs w:val="21"/>
                <w:color w:val="auto"/>
              </w:rPr>
            </w:pPr>
          </w:p>
        </w:tc>
        <w:tc>
          <w:tcPr>
            <w:tcW w:w="178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80" w:type="dxa"/>
            <w:vAlign w:val="bottom"/>
            <w:tcBorders>
              <w:bottom w:val="single" w:sz="8" w:color="0090DA"/>
            </w:tcBorders>
          </w:tcPr>
          <w:p>
            <w:pPr>
              <w:spacing w:after="0"/>
              <w:rPr>
                <w:sz w:val="21"/>
                <w:szCs w:val="21"/>
                <w:color w:val="auto"/>
              </w:rPr>
            </w:pPr>
          </w:p>
        </w:tc>
        <w:tc>
          <w:tcPr>
            <w:tcW w:w="2120" w:type="dxa"/>
            <w:vAlign w:val="bottom"/>
            <w:tcBorders>
              <w:bottom w:val="single" w:sz="8" w:color="0090DA"/>
            </w:tcBorders>
          </w:tcPr>
          <w:p>
            <w:pPr>
              <w:spacing w:after="0"/>
              <w:rPr>
                <w:sz w:val="21"/>
                <w:szCs w:val="21"/>
                <w:color w:val="auto"/>
              </w:rPr>
            </w:pPr>
          </w:p>
        </w:tc>
      </w:tr>
      <w:tr>
        <w:trPr>
          <w:trHeight w:val="41"/>
        </w:trPr>
        <w:tc>
          <w:tcPr>
            <w:tcW w:w="43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257"/>
        </w:trPr>
        <w:tc>
          <w:tcPr>
            <w:tcW w:w="4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214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480" w:type="dxa"/>
            <w:vAlign w:val="bottom"/>
            <w:shd w:val="clear" w:color="auto" w:fill="D1D2D4"/>
          </w:tcPr>
          <w:p>
            <w:pPr>
              <w:spacing w:after="0"/>
              <w:rPr>
                <w:sz w:val="22"/>
                <w:szCs w:val="22"/>
                <w:color w:val="auto"/>
              </w:rPr>
            </w:pPr>
          </w:p>
        </w:tc>
        <w:tc>
          <w:tcPr>
            <w:tcW w:w="2080" w:type="dxa"/>
            <w:vAlign w:val="bottom"/>
            <w:gridSpan w:val="3"/>
            <w:shd w:val="clear" w:color="auto" w:fill="D1D2D4"/>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41</w:t>
            </w:r>
          </w:p>
        </w:tc>
      </w:tr>
      <w:tr>
        <w:trPr>
          <w:trHeight w:val="257"/>
        </w:trPr>
        <w:tc>
          <w:tcPr>
            <w:tcW w:w="4300" w:type="dxa"/>
            <w:vAlign w:val="bottom"/>
          </w:tcPr>
          <w:p>
            <w:pPr>
              <w:ind w:left="20"/>
              <w:spacing w:after="0"/>
              <w:rPr>
                <w:sz w:val="20"/>
                <w:szCs w:val="20"/>
                <w:color w:val="auto"/>
              </w:rPr>
            </w:pPr>
            <w:r>
              <w:rPr>
                <w:rFonts w:ascii="Arial" w:cs="Arial" w:eastAsia="Arial" w:hAnsi="Arial"/>
                <w:sz w:val="18"/>
                <w:szCs w:val="18"/>
                <w:color w:val="auto"/>
              </w:rPr>
              <w:t>A  Other – cost of goods sold</w:t>
            </w:r>
          </w:p>
        </w:tc>
        <w:tc>
          <w:tcPr>
            <w:tcW w:w="2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56"/>
        </w:trPr>
        <w:tc>
          <w:tcPr>
            <w:tcW w:w="704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17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2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26</w:t>
            </w:r>
          </w:p>
        </w:tc>
      </w:tr>
      <w:tr>
        <w:trPr>
          <w:trHeight w:val="257"/>
        </w:trPr>
        <w:tc>
          <w:tcPr>
            <w:tcW w:w="7040" w:type="dxa"/>
            <w:vAlign w:val="bottom"/>
            <w:gridSpan w:val="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57"/>
        </w:trPr>
        <w:tc>
          <w:tcPr>
            <w:tcW w:w="4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B  Other – operating expenses</w:t>
            </w:r>
          </w:p>
        </w:tc>
        <w:tc>
          <w:tcPr>
            <w:tcW w:w="214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480" w:type="dxa"/>
            <w:vAlign w:val="bottom"/>
            <w:shd w:val="clear" w:color="auto" w:fill="D1D2D4"/>
          </w:tcPr>
          <w:p>
            <w:pPr>
              <w:spacing w:after="0"/>
              <w:rPr>
                <w:sz w:val="22"/>
                <w:szCs w:val="22"/>
                <w:color w:val="auto"/>
              </w:rPr>
            </w:pPr>
          </w:p>
        </w:tc>
        <w:tc>
          <w:tcPr>
            <w:tcW w:w="17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21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19</w:t>
            </w:r>
          </w:p>
        </w:tc>
      </w:tr>
      <w:tr>
        <w:trPr>
          <w:trHeight w:val="257"/>
        </w:trPr>
        <w:tc>
          <w:tcPr>
            <w:tcW w:w="4300" w:type="dxa"/>
            <w:vAlign w:val="bottom"/>
          </w:tcPr>
          <w:p>
            <w:pPr>
              <w:ind w:left="20"/>
              <w:spacing w:after="0"/>
              <w:rPr>
                <w:sz w:val="20"/>
                <w:szCs w:val="20"/>
                <w:color w:val="auto"/>
              </w:rPr>
            </w:pPr>
            <w:r>
              <w:rPr>
                <w:rFonts w:ascii="Arial" w:cs="Arial" w:eastAsia="Arial" w:hAnsi="Arial"/>
                <w:sz w:val="18"/>
                <w:szCs w:val="18"/>
                <w:color w:val="auto"/>
              </w:rPr>
              <w:t>C  Amortization of debt discount and other costs</w:t>
            </w:r>
          </w:p>
        </w:tc>
        <w:tc>
          <w:tcPr>
            <w:tcW w:w="2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56"/>
        </w:trPr>
        <w:tc>
          <w:tcPr>
            <w:tcW w:w="704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D  Tax effects of the above items and non-cash changes in net deferred income taxes</w:t>
            </w:r>
          </w:p>
        </w:tc>
        <w:tc>
          <w:tcPr>
            <w:tcW w:w="17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80" w:type="dxa"/>
            <w:vAlign w:val="bottom"/>
            <w:tcBorders>
              <w:bottom w:val="single" w:sz="8" w:color="auto"/>
            </w:tcBorders>
            <w:shd w:val="clear" w:color="auto" w:fill="D1D2D4"/>
          </w:tcPr>
          <w:p>
            <w:pPr>
              <w:spacing w:after="0"/>
              <w:rPr>
                <w:sz w:val="22"/>
                <w:szCs w:val="22"/>
                <w:color w:val="auto"/>
              </w:rPr>
            </w:pPr>
          </w:p>
        </w:tc>
        <w:tc>
          <w:tcPr>
            <w:tcW w:w="212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41</w:t>
            </w:r>
          </w:p>
        </w:tc>
      </w:tr>
      <w:tr>
        <w:trPr>
          <w:trHeight w:val="244"/>
        </w:trPr>
        <w:tc>
          <w:tcPr>
            <w:tcW w:w="43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158</w:t>
            </w:r>
          </w:p>
        </w:tc>
      </w:tr>
      <w:tr>
        <w:trPr>
          <w:trHeight w:val="27"/>
        </w:trPr>
        <w:tc>
          <w:tcPr>
            <w:tcW w:w="4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120" w:type="dxa"/>
            <w:vAlign w:val="bottom"/>
            <w:tcBorders>
              <w:top w:val="single" w:sz="8" w:color="auto"/>
              <w:bottom w:val="single" w:sz="8" w:color="auto"/>
            </w:tcBorders>
          </w:tcPr>
          <w:p>
            <w:pPr>
              <w:spacing w:after="0"/>
              <w:rPr>
                <w:sz w:val="2"/>
                <w:szCs w:val="2"/>
                <w:color w:val="auto"/>
              </w:rPr>
            </w:pPr>
          </w:p>
        </w:tc>
      </w:tr>
    </w:tbl>
    <w:p>
      <w:pPr>
        <w:spacing w:after="0" w:line="350" w:lineRule="exact"/>
        <w:rPr>
          <w:sz w:val="20"/>
          <w:szCs w:val="20"/>
          <w:color w:val="auto"/>
        </w:rPr>
      </w:pPr>
    </w:p>
    <w:p>
      <w:pPr>
        <w:ind w:left="340" w:right="60" w:hanging="332"/>
        <w:spacing w:after="0" w:line="220" w:lineRule="auto"/>
        <w:tabs>
          <w:tab w:leader="none" w:pos="334"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1.13 billion diluted shares and non-GAAP earnings per share based on approximately 1.14 billion diluted shares.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3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2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Current Report on Form 8-K contains forward-looking statements regarding the Company’s financial and operating results. These forward-looking statements are subject to a number of risks and uncertainties that could cause actual results to differ materially. Please refer to the documents the Company files with the Securities and Exchange Commission, specifically its most recent Form 10-K and Form 10-Q. These documents contain and identify important factors that could cause the Company’s actual results to differ materially from those contained in these forward-looking statements. These certain factors can be found at www.micron.com/certainfactors. Although the Company believes that the expectations reflected in the forward-looking statements are reasonable, the Company cannot guarantee future results, levels of activity, performance, or achievements. The Company is under no duty to update any of the forward-looking statements after the date of this Current Report on Form 8-K to conform these statements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698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r>
      <w:tr>
        <w:trPr>
          <w:trHeight w:val="776"/>
        </w:trPr>
        <w:tc>
          <w:tcPr>
            <w:tcW w:w="3660" w:type="dxa"/>
            <w:vAlign w:val="bottom"/>
          </w:tcPr>
          <w:p>
            <w:pPr>
              <w:spacing w:after="0"/>
              <w:rPr>
                <w:sz w:val="20"/>
                <w:szCs w:val="20"/>
                <w:color w:val="auto"/>
              </w:rPr>
            </w:pPr>
            <w:r>
              <w:rPr>
                <w:rFonts w:ascii="Arial" w:cs="Arial" w:eastAsia="Arial" w:hAnsi="Arial"/>
                <w:sz w:val="18"/>
                <w:szCs w:val="18"/>
                <w:color w:val="auto"/>
              </w:rPr>
              <w:t>Date:   May 27, 2020</w:t>
            </w:r>
          </w:p>
        </w:tc>
        <w:tc>
          <w:tcPr>
            <w:tcW w:w="2740" w:type="dxa"/>
            <w:vAlign w:val="bottom"/>
          </w:tcPr>
          <w:p>
            <w:pPr>
              <w:ind w:left="1820"/>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43"/>
        </w:trPr>
        <w:tc>
          <w:tcPr>
            <w:tcW w:w="3660" w:type="dxa"/>
            <w:vAlign w:val="bottom"/>
          </w:tcPr>
          <w:p>
            <w:pPr>
              <w:spacing w:after="0"/>
              <w:rPr>
                <w:sz w:val="21"/>
                <w:szCs w:val="21"/>
                <w:color w:val="auto"/>
              </w:rPr>
            </w:pPr>
          </w:p>
        </w:tc>
        <w:tc>
          <w:tcPr>
            <w:tcW w:w="2740" w:type="dxa"/>
            <w:vAlign w:val="bottom"/>
          </w:tcPr>
          <w:p>
            <w:pPr>
              <w:ind w:left="1820"/>
              <w:spacing w:after="0"/>
              <w:rPr>
                <w:sz w:val="20"/>
                <w:szCs w:val="20"/>
                <w:color w:val="auto"/>
              </w:rPr>
            </w:pPr>
            <w:r>
              <w:rPr>
                <w:rFonts w:ascii="Arial" w:cs="Arial" w:eastAsia="Arial" w:hAnsi="Arial"/>
                <w:sz w:val="18"/>
                <w:szCs w:val="18"/>
                <w:color w:val="auto"/>
              </w:rPr>
              <w:t>Name:</w:t>
            </w:r>
          </w:p>
        </w:tc>
        <w:tc>
          <w:tcPr>
            <w:tcW w:w="424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57"/>
        </w:trPr>
        <w:tc>
          <w:tcPr>
            <w:tcW w:w="3660" w:type="dxa"/>
            <w:vAlign w:val="bottom"/>
          </w:tcPr>
          <w:p>
            <w:pPr>
              <w:spacing w:after="0"/>
              <w:rPr>
                <w:sz w:val="22"/>
                <w:szCs w:val="22"/>
                <w:color w:val="auto"/>
              </w:rPr>
            </w:pPr>
          </w:p>
        </w:tc>
        <w:tc>
          <w:tcPr>
            <w:tcW w:w="2740" w:type="dxa"/>
            <w:vAlign w:val="bottom"/>
          </w:tcPr>
          <w:p>
            <w:pPr>
              <w:ind w:left="1820"/>
              <w:spacing w:after="0"/>
              <w:rPr>
                <w:sz w:val="20"/>
                <w:szCs w:val="20"/>
                <w:color w:val="auto"/>
              </w:rPr>
            </w:pPr>
            <w:r>
              <w:rPr>
                <w:rFonts w:ascii="Arial" w:cs="Arial" w:eastAsia="Arial" w:hAnsi="Arial"/>
                <w:sz w:val="18"/>
                <w:szCs w:val="18"/>
                <w:color w:val="auto"/>
              </w:rPr>
              <w:t>Title:</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2020-05-27T12:26:29Z</dcterms:created>
  <dcterms:modified xsi:type="dcterms:W3CDTF">2020-05-27T12:26:29Z</dcterms:modified>
</cp:coreProperties>
</file>