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25,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142875</wp:posOffset>
            </wp:positionV>
            <wp:extent cx="20574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38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28"/>
        </w:trPr>
        <w:tc>
          <w:tcPr>
            <w:tcW w:w="3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 File Number)</w:t>
            </w:r>
          </w:p>
        </w:tc>
        <w:tc>
          <w:tcPr>
            <w:tcW w:w="3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3560" w:type="dxa"/>
            <w:vAlign w:val="bottom"/>
          </w:tcPr>
          <w:p>
            <w:pPr>
              <w:spacing w:after="0"/>
              <w:rPr>
                <w:sz w:val="24"/>
                <w:szCs w:val="24"/>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380" w:type="dxa"/>
            <w:vAlign w:val="bottom"/>
          </w:tcPr>
          <w:p>
            <w:pPr>
              <w:spacing w:after="0"/>
              <w:rPr>
                <w:sz w:val="24"/>
                <w:szCs w:val="24"/>
                <w:color w:val="auto"/>
              </w:rPr>
            </w:pPr>
          </w:p>
        </w:tc>
      </w:tr>
      <w:tr>
        <w:trPr>
          <w:trHeight w:val="238"/>
        </w:trPr>
        <w:tc>
          <w:tcPr>
            <w:tcW w:w="35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3380" w:type="dxa"/>
            <w:vAlign w:val="bottom"/>
            <w:tcBorders>
              <w:bottom w:val="single" w:sz="8" w:color="auto"/>
            </w:tcBorders>
          </w:tcPr>
          <w:p>
            <w:pPr>
              <w:spacing w:after="0"/>
              <w:rPr>
                <w:sz w:val="20"/>
                <w:szCs w:val="20"/>
                <w:color w:val="auto"/>
              </w:rPr>
            </w:pPr>
          </w:p>
        </w:tc>
      </w:tr>
      <w:tr>
        <w:trPr>
          <w:trHeight w:val="228"/>
        </w:trPr>
        <w:tc>
          <w:tcPr>
            <w:tcW w:w="3560" w:type="dxa"/>
            <w:vAlign w:val="bottom"/>
          </w:tcPr>
          <w:p>
            <w:pPr>
              <w:spacing w:after="0"/>
              <w:rPr>
                <w:sz w:val="19"/>
                <w:szCs w:val="19"/>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380" w:type="dxa"/>
            <w:vAlign w:val="bottom"/>
          </w:tcPr>
          <w:p>
            <w:pPr>
              <w:spacing w:after="0"/>
              <w:rPr>
                <w:sz w:val="19"/>
                <w:szCs w:val="19"/>
                <w:color w:val="auto"/>
              </w:rPr>
            </w:pPr>
          </w:p>
        </w:tc>
      </w:tr>
      <w:tr>
        <w:trPr>
          <w:trHeight w:val="414"/>
        </w:trPr>
        <w:tc>
          <w:tcPr>
            <w:tcW w:w="35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(208) 368-4000</w:t>
            </w:r>
          </w:p>
        </w:tc>
        <w:tc>
          <w:tcPr>
            <w:tcW w:w="3380" w:type="dxa"/>
            <w:vAlign w:val="bottom"/>
            <w:tcBorders>
              <w:bottom w:val="single" w:sz="8" w:color="auto"/>
            </w:tcBorders>
          </w:tcPr>
          <w:p>
            <w:pPr>
              <w:spacing w:after="0"/>
              <w:rPr>
                <w:sz w:val="24"/>
                <w:szCs w:val="24"/>
                <w:color w:val="auto"/>
              </w:rPr>
            </w:pPr>
          </w:p>
        </w:tc>
      </w:tr>
      <w:tr>
        <w:trPr>
          <w:trHeight w:val="228"/>
        </w:trPr>
        <w:tc>
          <w:tcPr>
            <w:tcW w:w="3560" w:type="dxa"/>
            <w:vAlign w:val="bottom"/>
          </w:tcPr>
          <w:p>
            <w:pPr>
              <w:spacing w:after="0"/>
              <w:rPr>
                <w:sz w:val="19"/>
                <w:szCs w:val="19"/>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380" w:type="dxa"/>
            <w:vAlign w:val="bottom"/>
          </w:tcPr>
          <w:p>
            <w:pPr>
              <w:spacing w:after="0"/>
              <w:rPr>
                <w:sz w:val="19"/>
                <w:szCs w:val="19"/>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March 25, 2026, Micron Technology, Inc. issued a press release announcing that it has commenced cash tender offers to purchase any and all of its outstanding 5.300% Senior Notes due 2031, 5.650% Senior Notes due 2032, 5.875% Senior Notes due 2033, 5.875% Senior Notes due 2033, 5.800% Senior Notes due 2035, and 6.050% Senior Notes due 2035.</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this press release is attached as Exhibit 99.1 hereto and incorporated herein by reference</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 Exhibits.</w:t>
            </w:r>
          </w:p>
        </w:tc>
      </w:tr>
      <w:tr>
        <w:trPr>
          <w:trHeight w:val="432"/>
        </w:trPr>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gridSpan w:val="3"/>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on March 25, 2026.</w:t>
            </w: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r>
        <w:trPr>
          <w:trHeight w:val="432"/>
        </w:trPr>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2026</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Murphy</w:t>
            </w:r>
          </w:p>
        </w:tc>
      </w:tr>
      <w:tr>
        <w:trPr>
          <w:trHeight w:val="191"/>
        </w:trPr>
        <w:tc>
          <w:tcPr>
            <w:tcW w:w="3600" w:type="dxa"/>
            <w:vAlign w:val="bottom"/>
          </w:tcPr>
          <w:p>
            <w:pPr>
              <w:spacing w:after="0"/>
              <w:rPr>
                <w:sz w:val="16"/>
                <w:szCs w:val="16"/>
                <w:color w:val="auto"/>
              </w:rPr>
            </w:pPr>
          </w:p>
        </w:tc>
        <w:tc>
          <w:tcPr>
            <w:tcW w:w="260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Murphy</w:t>
            </w:r>
          </w:p>
        </w:tc>
      </w:tr>
      <w:tr>
        <w:trPr>
          <w:trHeight w:val="234"/>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675"/>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57400"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Micron Announces Cash Tender Offers for Any and All of Certain Outstanding Senior Notes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BOISE, Idaho, March 25, 2026 (GLOBE NEWSWIRE) -- Micron Technology, Inc. (Nasdaq:MU), (the "Company" or "Micron") announced today that it has commenced offers to purchase for cash any and all of the notes listed in the table below (the “notes”). The offers to purchase with respect to each series of notes are being referred to herein as the “Tender Offers” and each, a “Tender Offer.”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Reference U.S.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Bloomberg</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CUSIP/ISIN</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Fixed Spread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Title of Security</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Numbers</w:t>
            </w: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(basis points)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Par Call Date</w:t>
            </w:r>
          </w:p>
        </w:tc>
      </w:tr>
      <w:tr>
        <w:trPr>
          <w:trHeight w:val="191"/>
        </w:trPr>
        <w:tc>
          <w:tcPr>
            <w:tcW w:w="1700" w:type="dxa"/>
            <w:vAlign w:val="bottom"/>
            <w:tcBorders>
              <w:top w:val="single" w:sz="8" w:color="auto"/>
            </w:tcBorders>
            <w:shd w:val="clear" w:color="auto" w:fill="CCEEFF"/>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rPr>
              <w:t>5.300% Senior Notes</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8"/>
              </w:rPr>
              <w:t>595112CD3 /</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0.875% UST due November 15,</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November 15,</w:t>
            </w: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2031</w:t>
            </w:r>
          </w:p>
        </w:tc>
        <w:tc>
          <w:tcPr>
            <w:tcW w:w="17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US595112CD31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1,000,000,000</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2030</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FIT 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00" w:type="dxa"/>
            <w:vAlign w:val="bottom"/>
            <w:shd w:val="clear" w:color="auto" w:fill="CCEEFF"/>
          </w:tcPr>
          <w:p>
            <w:pPr>
              <w:spacing w:after="0"/>
              <w:rPr>
                <w:sz w:val="20"/>
                <w:szCs w:val="20"/>
                <w:color w:val="auto"/>
              </w:rPr>
            </w:pPr>
          </w:p>
        </w:tc>
      </w:tr>
      <w:tr>
        <w:trPr>
          <w:trHeight w:val="198"/>
        </w:trPr>
        <w:tc>
          <w:tcPr>
            <w:tcW w:w="18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5.650% Senior Notes</w:t>
            </w:r>
          </w:p>
        </w:tc>
        <w:tc>
          <w:tcPr>
            <w:tcW w:w="1700" w:type="dxa"/>
            <w:vAlign w:val="bottom"/>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8"/>
              </w:rPr>
              <w:t>595112CG6 /</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3.500% UST due February 28,</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September 1,</w:t>
            </w:r>
          </w:p>
        </w:tc>
      </w:tr>
      <w:tr>
        <w:trPr>
          <w:trHeight w:val="234"/>
        </w:trPr>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due 2032</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US595112CG61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500,000,000</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2031</w:t>
            </w:r>
          </w:p>
        </w:tc>
        <w:tc>
          <w:tcPr>
            <w:tcW w:w="120" w:type="dxa"/>
            <w:vAlign w:val="bottom"/>
          </w:tcPr>
          <w:p>
            <w:pPr>
              <w:spacing w:after="0"/>
              <w:rPr>
                <w:sz w:val="20"/>
                <w:szCs w:val="20"/>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FIT 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100" w:type="dxa"/>
            <w:vAlign w:val="bottom"/>
          </w:tcPr>
          <w:p>
            <w:pPr>
              <w:spacing w:after="0"/>
              <w:rPr>
                <w:sz w:val="20"/>
                <w:szCs w:val="20"/>
                <w:color w:val="auto"/>
              </w:rPr>
            </w:pPr>
          </w:p>
        </w:tc>
      </w:tr>
      <w:tr>
        <w:trPr>
          <w:trHeight w:val="198"/>
        </w:trPr>
        <w:tc>
          <w:tcPr>
            <w:tcW w:w="182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5.875% Senior Notes</w:t>
            </w:r>
          </w:p>
        </w:tc>
        <w:tc>
          <w:tcPr>
            <w:tcW w:w="1700" w:type="dxa"/>
            <w:vAlign w:val="bottom"/>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rPr>
              <w:t>595112BZ5 /</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4.125% UST due February 15,</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November 9,</w:t>
            </w:r>
          </w:p>
        </w:tc>
      </w:tr>
      <w:tr>
        <w:trPr>
          <w:trHeight w:val="234"/>
        </w:trPr>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2033</w:t>
            </w:r>
          </w:p>
        </w:tc>
        <w:tc>
          <w:tcPr>
            <w:tcW w:w="17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US595112BZ51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750,000,000</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2036</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FIT 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100" w:type="dxa"/>
            <w:vAlign w:val="bottom"/>
            <w:shd w:val="clear" w:color="auto" w:fill="CCEEFF"/>
          </w:tcPr>
          <w:p>
            <w:pPr>
              <w:spacing w:after="0"/>
              <w:rPr>
                <w:sz w:val="20"/>
                <w:szCs w:val="20"/>
                <w:color w:val="auto"/>
              </w:rPr>
            </w:pPr>
          </w:p>
        </w:tc>
      </w:tr>
      <w:tr>
        <w:trPr>
          <w:trHeight w:val="198"/>
        </w:trPr>
        <w:tc>
          <w:tcPr>
            <w:tcW w:w="18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5.875% Senior Notes</w:t>
            </w:r>
          </w:p>
        </w:tc>
        <w:tc>
          <w:tcPr>
            <w:tcW w:w="1700" w:type="dxa"/>
            <w:vAlign w:val="bottom"/>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9"/>
              </w:rPr>
              <w:t>595112CB7 /</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4.125% UST due February 15,</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June 15, 2033</w:t>
            </w:r>
          </w:p>
        </w:tc>
      </w:tr>
      <w:tr>
        <w:trPr>
          <w:trHeight w:val="234"/>
        </w:trPr>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due 2033</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US595112CB74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900,000,000</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2036</w:t>
            </w:r>
          </w:p>
        </w:tc>
        <w:tc>
          <w:tcPr>
            <w:tcW w:w="120" w:type="dxa"/>
            <w:vAlign w:val="bottom"/>
          </w:tcPr>
          <w:p>
            <w:pPr>
              <w:spacing w:after="0"/>
              <w:rPr>
                <w:sz w:val="20"/>
                <w:szCs w:val="20"/>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FIT 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82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5.800% Senior Notes</w:t>
            </w:r>
          </w:p>
        </w:tc>
        <w:tc>
          <w:tcPr>
            <w:tcW w:w="1700" w:type="dxa"/>
            <w:vAlign w:val="bottom"/>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rPr>
              <w:t>595112CE1 /</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4.125% UST due February 15,</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October 15,</w:t>
            </w:r>
          </w:p>
        </w:tc>
      </w:tr>
      <w:tr>
        <w:trPr>
          <w:trHeight w:val="234"/>
        </w:trPr>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2035</w:t>
            </w:r>
          </w:p>
        </w:tc>
        <w:tc>
          <w:tcPr>
            <w:tcW w:w="17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US595112CE14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1,000,000,000</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2036</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FIT 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2034</w:t>
            </w:r>
          </w:p>
        </w:tc>
        <w:tc>
          <w:tcPr>
            <w:tcW w:w="100" w:type="dxa"/>
            <w:vAlign w:val="bottom"/>
            <w:shd w:val="clear" w:color="auto" w:fill="CCEEFF"/>
          </w:tcPr>
          <w:p>
            <w:pPr>
              <w:spacing w:after="0"/>
              <w:rPr>
                <w:sz w:val="20"/>
                <w:szCs w:val="20"/>
                <w:color w:val="auto"/>
              </w:rPr>
            </w:pPr>
          </w:p>
        </w:tc>
      </w:tr>
      <w:tr>
        <w:trPr>
          <w:trHeight w:val="198"/>
        </w:trPr>
        <w:tc>
          <w:tcPr>
            <w:tcW w:w="18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6.050% Senior Notes</w:t>
            </w:r>
          </w:p>
        </w:tc>
        <w:tc>
          <w:tcPr>
            <w:tcW w:w="1700" w:type="dxa"/>
            <w:vAlign w:val="bottom"/>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8"/>
              </w:rPr>
              <w:t>595112CH4 /</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4.125% UST due February 15,</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August 1, 2035</w:t>
            </w:r>
          </w:p>
        </w:tc>
      </w:tr>
      <w:tr>
        <w:trPr>
          <w:trHeight w:val="234"/>
        </w:trPr>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due 2035</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US595112CH45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1,250,000,000</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2036</w:t>
            </w:r>
          </w:p>
        </w:tc>
        <w:tc>
          <w:tcPr>
            <w:tcW w:w="120" w:type="dxa"/>
            <w:vAlign w:val="bottom"/>
          </w:tcPr>
          <w:p>
            <w:pPr>
              <w:spacing w:after="0"/>
              <w:rPr>
                <w:sz w:val="20"/>
                <w:szCs w:val="20"/>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FIT 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Tender Offers are being made pursuant to an offer to purchase dated as of March 25, 2026, and notice of guaranteed delivery. The Tender Offers will expire at 5:00 p.m., New York City time, on March 31, 2026, unless extended or earlier terminated as described in the offer to purchase (such time and date, as they may be extended, the “Expiration Time”).</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Holders of the notes who validly tender (and do not validly withdraw) their notes prior to the Expiration Time, or who deliver to the tender agent and information agent a properly completed and duly executed notice of guaranteed delivery in accordance with the instructions described in the offer to purchase, will be eligible to receive the Notes Consideration (as defined in the offer to purchase), plus any accrued and unpaid interest up to, but not including, the settlement date, which is expected to occur on April 3, 2026. Tendered notes may be withdrawn at any time at or prior to the Expiration Time. Micron reserves the right to terminate, withdraw or amend the Tender Offers at any time, subject to applicable law. The Tender Offers are subject to the satisfaction or waiver of certain conditions but are not conditioned on any minimum amount of any series of the notes being tendered.</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Tender Offers are being made pursuant to the terms and conditions contained in the offer to purchase and notice of guaranteed delivery, copies of which may be obtained from D.F. King &amp; Co., Inc., the information agent for the Tender Offers, by telephone at (212) 229-2634 (banks and brokers only), (800) 848-3409 (toll free), by email at MU@dfking.com or at the following web address: </w:t>
      </w:r>
      <w:r>
        <w:rPr>
          <w:rFonts w:ascii="Times New Roman" w:cs="Times New Roman" w:eastAsia="Times New Roman" w:hAnsi="Times New Roman"/>
          <w:sz w:val="18"/>
          <w:szCs w:val="18"/>
          <w:u w:val="single" w:color="auto"/>
          <w:color w:val="auto"/>
        </w:rPr>
        <w:t>www.dfking.com/MU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with questions regarding the Tender Offers should contact the lead dealer managers: BofA Securities at (888) 292-0070, Morgan Stanley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at (800) 624-1808 (toll free), and Wells Fargo Securities, LLC at (866) 309-6316 (toll free).</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None of Micron or its board of directors, the dealer managers, the tender offer agent, the information agent or the trustee for the notes, or any of their respective affiliates, is making any recommendation as to whether holders should tender or refrain from tendering any notes in response to Tender Offers. Holders must make their own decision as to whether to tender any of their notes and, if so, the principal amount of notes to 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This press release is not an offer to purchase or a solicitation of an offer to sell any securities and does not constitute a redemption notice for any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Offers are being made solely by means of the offer to purchase.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Micron Technology, Inc. is an industry leader in innovative memory and storage solutions transforming how the world uses information to enrich life for all. With a relentless focus on our customers, technology leadership, manufacturing, and operational excellence, Micron delivers a rich portfolio of high-performance DRAM, NAND, and NOR memory and storage products. Every day, the innovations that our people create fuel the data economy, enabling advances in artificial intelligence and compute-intensive applications that unleash opportunities - from the data center to the intelligent edge and across the client and mobile user experience.</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Micron®, any associated logos, and all other Micron trademarks are the property of Micron. Other product names or trademarks that are not owned by Micron are for identification purposes only and may be the trademarks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Section 27A of the Securities Act of 1933, as amended, and Section 21E of the Securities Exchange Act of 1934, as amended. These forward-looking statements are subject to a number of risks and uncertainties that could cause actual results to differ materially, including the risks related to the acceptance of any tendered notes, the Expiration Time and settlement of the Tender Offers, the satisfaction of conditions to the Tender Offers, whether the Tender Offers will be consummated in accordance with the terms set forth in the offer to purchase or at all and the timing of any of the foregoing as well as other risks and uncertainties identified in our most recent Form 10-K and Form 10-Qs filed with the Securities and Exchange Commission. You can identify forward-looking statements by the use of forward-looking terminology such as “believes,” “expects,” “may,” “can,” “will,” “should,” “seeks,” “intends,” “plans,” “projects,” “pro forma,” “estimates,” “forecasts,” “targets,” “anticipates,” or the negative of these words and phrases, other variations of these words and phrases or comparable terminology. The forward-looking statements speak only as of the date of this press release and undue reliance should not be placed on these statements. Micron disclaims any obligation to update any forward-looking statements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Satya Kumar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satyakumar@micron.com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 450-6199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Plungy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mplungy@micron.com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 203-2910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2026-03-25T07:28:44Z</dcterms:created>
  <dcterms:modified xsi:type="dcterms:W3CDTF">2026-03-25T07:28:44Z</dcterms:modified>
</cp:coreProperties>
</file>