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80"/>
        <w:spacing w:after="0"/>
        <w:rPr>
          <w:sz w:val="20"/>
          <w:szCs w:val="20"/>
          <w:color w:val="auto"/>
        </w:rPr>
      </w:pPr>
      <w:r>
        <w:rPr>
          <w:rFonts w:ascii="Courier New" w:cs="Courier New" w:eastAsia="Courier New" w:hAnsi="Courier New"/>
          <w:sz w:val="18"/>
          <w:szCs w:val="18"/>
          <w:color w:val="auto"/>
        </w:rPr>
        <w:t>FORM 10-Q</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SECURITIES AND EXCHANGE COMMISSION</w:t>
      </w:r>
    </w:p>
    <w:p>
      <w:pPr>
        <w:ind w:left="2740"/>
        <w:spacing w:after="0" w:line="238" w:lineRule="auto"/>
        <w:rPr>
          <w:sz w:val="20"/>
          <w:szCs w:val="20"/>
          <w:color w:val="auto"/>
        </w:rPr>
      </w:pPr>
      <w:r>
        <w:rPr>
          <w:rFonts w:ascii="Courier New" w:cs="Courier New" w:eastAsia="Courier New" w:hAnsi="Courier New"/>
          <w:sz w:val="18"/>
          <w:szCs w:val="18"/>
          <w:color w:val="auto"/>
        </w:rPr>
        <w:t>Washington, D. C. 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4" w:lineRule="exact"/>
        <w:rPr>
          <w:sz w:val="24"/>
          <w:szCs w:val="24"/>
          <w:color w:val="auto"/>
        </w:rPr>
      </w:pPr>
    </w:p>
    <w:p>
      <w:pPr>
        <w:ind w:left="540" w:right="2739" w:hanging="532"/>
        <w:spacing w:after="0" w:line="235"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 OF THE SECURITIES EXCHANGE ACT OF 1934</w:t>
      </w:r>
    </w:p>
    <w:p>
      <w:pPr>
        <w:sectPr>
          <w:pgSz w:w="11900" w:h="16838" w:orient="portrait"/>
          <w:cols w:equalWidth="0" w:num="1">
            <w:col w:w="10219"/>
          </w:cols>
          <w:pgMar w:left="240" w:top="244" w:right="1440" w:bottom="0" w:gutter="0" w:footer="0" w:header="0"/>
        </w:sect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the quarterly period ended</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March 2, 1995</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OR</w:t>
      </w:r>
    </w:p>
    <w:p>
      <w:pPr>
        <w:spacing w:after="0" w:line="200" w:lineRule="exact"/>
        <w:rPr>
          <w:sz w:val="24"/>
          <w:szCs w:val="24"/>
          <w:color w:val="auto"/>
        </w:rPr>
      </w:pPr>
    </w:p>
    <w:p>
      <w:pPr>
        <w:sectPr>
          <w:pgSz w:w="11900" w:h="16838" w:orient="portrait"/>
          <w:cols w:equalWidth="0" w:num="2">
            <w:col w:w="3160" w:space="0"/>
            <w:col w:w="7059"/>
          </w:cols>
          <w:pgMar w:left="240" w:top="244" w:right="1440" w:bottom="0" w:gutter="0" w:footer="0" w:header="0"/>
          <w:type w:val="continuous"/>
        </w:sectPr>
      </w:pPr>
    </w:p>
    <w:p>
      <w:pPr>
        <w:spacing w:after="0" w:line="7" w:lineRule="exact"/>
        <w:rPr>
          <w:sz w:val="24"/>
          <w:szCs w:val="24"/>
          <w:color w:val="auto"/>
        </w:rPr>
      </w:pPr>
    </w:p>
    <w:p>
      <w:pPr>
        <w:ind w:left="540" w:right="261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1943</w:t>
      </w:r>
    </w:p>
    <w:p>
      <w:pPr>
        <w:sectPr>
          <w:pgSz w:w="11900" w:h="16838" w:orient="portrait"/>
          <w:cols w:equalWidth="0" w:num="1">
            <w:col w:w="10219"/>
          </w:cols>
          <w:pgMar w:left="240" w:top="244" w:right="1440" w:bottom="0" w:gutter="0" w:footer="0" w:header="0"/>
          <w:type w:val="continuous"/>
        </w:sect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the transition period from</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w:t>
      </w:r>
    </w:p>
    <w:p>
      <w:pPr>
        <w:spacing w:after="0" w:line="4" w:lineRule="exact"/>
        <w:rPr>
          <w:sz w:val="24"/>
          <w:szCs w:val="24"/>
          <w:color w:val="auto"/>
        </w:rPr>
      </w:pPr>
    </w:p>
    <w:p>
      <w:pPr>
        <w:sectPr>
          <w:pgSz w:w="11900" w:h="16838" w:orient="portrait"/>
          <w:cols w:equalWidth="0" w:num="2">
            <w:col w:w="4440" w:space="720"/>
            <w:col w:w="5059"/>
          </w:cols>
          <w:pgMar w:left="240" w:top="244" w:right="1440" w:bottom="0" w:gutter="0" w:footer="0" w:header="0"/>
          <w:type w:val="continuous"/>
        </w:sectPr>
      </w:pPr>
    </w:p>
    <w:p>
      <w:pPr>
        <w:ind w:left="31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160" w:space="440"/>
            <w:col w:w="4619"/>
          </w:cols>
          <w:pgMar w:left="240" w:top="244"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1-10658</w:t>
      </w:r>
    </w:p>
    <w:p>
      <w:pPr>
        <w:spacing w:after="0" w:line="21" w:lineRule="exact"/>
        <w:rPr>
          <w:sz w:val="24"/>
          <w:szCs w:val="24"/>
          <w:color w:val="auto"/>
        </w:rPr>
      </w:pPr>
    </w:p>
    <w:p>
      <w:pPr>
        <w:sectPr>
          <w:pgSz w:w="11900" w:h="16838" w:orient="portrait"/>
          <w:cols w:equalWidth="0" w:num="2">
            <w:col w:w="2760" w:space="720"/>
            <w:col w:w="6739"/>
          </w:cols>
          <w:pgMar w:left="240" w:top="244" w:right="1440" w:bottom="0" w:gutter="0" w:footer="0" w:header="0"/>
          <w:type w:val="continuous"/>
        </w:sectPr>
      </w:pPr>
    </w:p>
    <w:p>
      <w:pPr>
        <w:ind w:left="23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Micron Technology, Inc.</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ind w:left="2120"/>
        <w:spacing w:after="0"/>
        <w:rPr>
          <w:sz w:val="20"/>
          <w:szCs w:val="20"/>
          <w:color w:val="auto"/>
        </w:rPr>
      </w:pPr>
      <w:r>
        <w:rPr>
          <w:rFonts w:ascii="Courier New" w:cs="Courier New" w:eastAsia="Courier New" w:hAnsi="Courier New"/>
          <w:sz w:val="18"/>
          <w:szCs w:val="18"/>
          <w:color w:val="auto"/>
        </w:rPr>
        <w:t>(Exact name as specified in charter)</w:t>
      </w:r>
    </w:p>
    <w:p>
      <w:pPr>
        <w:sectPr>
          <w:pgSz w:w="11900" w:h="16838" w:orient="portrait"/>
          <w:cols w:equalWidth="0" w:num="1">
            <w:col w:w="10219"/>
          </w:cols>
          <w:pgMar w:left="240" w:top="244"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75-1618004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(I.R.S. Employer</w:t>
      </w:r>
    </w:p>
    <w:p>
      <w:pPr>
        <w:ind w:left="640"/>
        <w:spacing w:after="0" w:line="238" w:lineRule="auto"/>
        <w:rPr>
          <w:sz w:val="20"/>
          <w:szCs w:val="20"/>
          <w:color w:val="auto"/>
        </w:rPr>
      </w:pPr>
      <w:r>
        <w:rPr>
          <w:rFonts w:ascii="Courier New" w:cs="Courier New" w:eastAsia="Courier New" w:hAnsi="Courier New"/>
          <w:sz w:val="18"/>
          <w:szCs w:val="18"/>
          <w:color w:val="auto"/>
        </w:rPr>
        <w:t>Identification No.)</w:t>
      </w:r>
    </w:p>
    <w:p>
      <w:pPr>
        <w:spacing w:after="0" w:line="200" w:lineRule="exact"/>
        <w:rPr>
          <w:sz w:val="24"/>
          <w:szCs w:val="24"/>
          <w:color w:val="auto"/>
        </w:rPr>
      </w:pPr>
    </w:p>
    <w:p>
      <w:pPr>
        <w:sectPr>
          <w:pgSz w:w="11900" w:h="16838" w:orient="portrait"/>
          <w:cols w:equalWidth="0" w:num="2">
            <w:col w:w="3920" w:space="720"/>
            <w:col w:w="5579"/>
          </w:cols>
          <w:pgMar w:left="240" w:top="244" w:right="1440" w:bottom="0" w:gutter="0" w:footer="0" w:header="0"/>
          <w:type w:val="continuous"/>
        </w:sectPr>
      </w:pPr>
    </w:p>
    <w:p>
      <w:pPr>
        <w:spacing w:after="0" w:line="204" w:lineRule="exact"/>
        <w:rPr>
          <w:sz w:val="24"/>
          <w:szCs w:val="24"/>
          <w:color w:val="auto"/>
        </w:rPr>
      </w:pPr>
    </w:p>
    <w:p>
      <w:pPr>
        <w:ind w:left="540"/>
        <w:spacing w:after="0"/>
        <w:tabs>
          <w:tab w:leader="none" w:pos="6520" w:val="left"/>
        </w:tabs>
        <w:rPr>
          <w:sz w:val="20"/>
          <w:szCs w:val="20"/>
          <w:color w:val="auto"/>
        </w:rPr>
      </w:pPr>
      <w:r>
        <w:rPr>
          <w:rFonts w:ascii="Courier New" w:cs="Courier New" w:eastAsia="Courier New" w:hAnsi="Courier New"/>
          <w:sz w:val="18"/>
          <w:szCs w:val="18"/>
          <w:color w:val="auto"/>
        </w:rPr>
        <w:t>2805 East Columbia Road, Boise, Idaho</w:t>
      </w:r>
      <w:r>
        <w:rPr>
          <w:sz w:val="20"/>
          <w:szCs w:val="20"/>
          <w:color w:val="auto"/>
        </w:rPr>
        <w:tab/>
      </w:r>
      <w:r>
        <w:rPr>
          <w:rFonts w:ascii="Courier New" w:cs="Courier New" w:eastAsia="Courier New" w:hAnsi="Courier New"/>
          <w:sz w:val="16"/>
          <w:szCs w:val="16"/>
          <w:color w:val="auto"/>
        </w:rPr>
        <w:t>83707-0006</w:t>
      </w:r>
    </w:p>
    <w:p>
      <w:pPr>
        <w:sectPr>
          <w:pgSz w:w="11900" w:h="16838" w:orient="portrait"/>
          <w:cols w:equalWidth="0" w:num="1">
            <w:col w:w="10219"/>
          </w:cols>
          <w:pgMar w:left="240" w:top="244" w:right="1440" w:bottom="0" w:gutter="0" w:footer="0" w:header="0"/>
          <w:type w:val="continuous"/>
        </w:sectPr>
      </w:pP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378" w:lineRule="exact"/>
        <w:rPr>
          <w:sz w:val="24"/>
          <w:szCs w:val="24"/>
          <w:color w:val="auto"/>
        </w:rPr>
      </w:pPr>
    </w:p>
    <w:p>
      <w:pPr>
        <w:ind w:left="540"/>
        <w:spacing w:after="0"/>
        <w:tabs>
          <w:tab w:leader="none" w:pos="672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ectPr>
          <w:pgSz w:w="11900" w:h="16838" w:orient="portrait"/>
          <w:cols w:equalWidth="0" w:num="1">
            <w:col w:w="10219"/>
          </w:cols>
          <w:pgMar w:left="240" w:top="244" w:right="1440" w:bottom="0" w:gutter="0" w:footer="0" w:header="0"/>
          <w:type w:val="continuous"/>
        </w:sectPr>
      </w:pPr>
    </w:p>
    <w:p>
      <w:pPr>
        <w:spacing w:after="0" w:line="207"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(208) 368-4000</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800" w:space="0"/>
            <w:col w:w="4419"/>
          </w:cols>
          <w:pgMar w:left="240" w:top="244" w:right="1440" w:bottom="0" w:gutter="0" w:footer="0" w:header="0"/>
          <w:type w:val="continuous"/>
        </w:sectPr>
      </w:pPr>
    </w:p>
    <w:p>
      <w:pPr>
        <w:spacing w:after="0" w:line="2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Indicate by check mark whether the registrant (1) has filed all reports</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060" w:type="dxa"/>
            <w:vAlign w:val="bottom"/>
            <w:gridSpan w:val="3"/>
          </w:tcPr>
          <w:p>
            <w:pPr>
              <w:spacing w:after="0"/>
              <w:rPr>
                <w:sz w:val="20"/>
                <w:szCs w:val="20"/>
                <w:color w:val="auto"/>
              </w:rPr>
            </w:pPr>
            <w:r>
              <w:rPr>
                <w:rFonts w:ascii="Courier New" w:cs="Courier New" w:eastAsia="Courier New" w:hAnsi="Courier New"/>
                <w:sz w:val="18"/>
                <w:szCs w:val="18"/>
                <w:color w:val="auto"/>
                <w:w w:val="98"/>
              </w:rPr>
              <w:t>required to the filed by Section 13 or</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15(d) of the</w:t>
            </w:r>
          </w:p>
        </w:tc>
        <w:tc>
          <w:tcPr>
            <w:tcW w:w="2100" w:type="dxa"/>
            <w:vAlign w:val="bottom"/>
          </w:tcPr>
          <w:p>
            <w:pPr>
              <w:jc w:val="right"/>
              <w:spacing w:after="0"/>
              <w:rPr>
                <w:sz w:val="20"/>
                <w:szCs w:val="20"/>
                <w:color w:val="auto"/>
              </w:rPr>
            </w:pPr>
            <w:r>
              <w:rPr>
                <w:rFonts w:ascii="Courier New" w:cs="Courier New" w:eastAsia="Courier New" w:hAnsi="Courier New"/>
                <w:sz w:val="18"/>
                <w:szCs w:val="18"/>
                <w:color w:val="auto"/>
                <w:w w:val="98"/>
              </w:rPr>
              <w:t>Securities Exchange</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Act</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of 1934 during</w:t>
            </w:r>
          </w:p>
        </w:tc>
        <w:tc>
          <w:tcPr>
            <w:tcW w:w="1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the preceding 12</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months</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 for such</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shorter period that</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the</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registrant was</w:t>
            </w:r>
          </w:p>
        </w:tc>
        <w:tc>
          <w:tcPr>
            <w:tcW w:w="1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required to file</w:t>
            </w:r>
          </w:p>
        </w:tc>
        <w:tc>
          <w:tcPr>
            <w:tcW w:w="42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such reports), and (2) has been subject</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w:t>
            </w:r>
          </w:p>
        </w:tc>
      </w:tr>
    </w:tbl>
    <w:p>
      <w:pPr>
        <w:spacing w:after="0" w:line="238" w:lineRule="auto"/>
        <w:rPr>
          <w:sz w:val="20"/>
          <w:szCs w:val="20"/>
          <w:color w:val="auto"/>
        </w:rPr>
      </w:pPr>
      <w:r>
        <w:rPr>
          <w:rFonts w:ascii="Courier New" w:cs="Courier New" w:eastAsia="Courier New" w:hAnsi="Courier New"/>
          <w:sz w:val="18"/>
          <w:szCs w:val="18"/>
          <w:color w:val="auto"/>
        </w:rPr>
        <w:t>such filing requirements for the past 90 days.</w:t>
      </w:r>
    </w:p>
    <w:p>
      <w:pPr>
        <w:spacing w:after="0"/>
        <w:tabs>
          <w:tab w:leader="none" w:pos="620" w:val="left"/>
          <w:tab w:leader="none" w:pos="1460" w:val="left"/>
        </w:tabs>
        <w:rPr>
          <w:sz w:val="20"/>
          <w:szCs w:val="20"/>
          <w:color w:val="auto"/>
        </w:rPr>
      </w:pPr>
      <w:r>
        <w:rPr>
          <w:rFonts w:ascii="Courier New" w:cs="Courier New" w:eastAsia="Courier New" w:hAnsi="Courier New"/>
          <w:sz w:val="18"/>
          <w:szCs w:val="18"/>
          <w:color w:val="auto"/>
        </w:rPr>
        <w:t>Yes</w:t>
      </w:r>
      <w:r>
        <w:rPr>
          <w:sz w:val="20"/>
          <w:szCs w:val="20"/>
          <w:color w:val="auto"/>
        </w:rPr>
        <w:tab/>
      </w: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8"/>
          <w:szCs w:val="18"/>
          <w:color w:val="auto"/>
        </w:rPr>
        <w:t>No</w:t>
      </w:r>
    </w:p>
    <w:p>
      <w:pPr>
        <w:ind w:left="420"/>
        <w:spacing w:after="0" w:line="237" w:lineRule="auto"/>
        <w:tabs>
          <w:tab w:leader="none" w:pos="17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5"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The number of outstanding shares of the registrant's Common Stock as of</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March 16, 1995 was 102,622,620.</w:t>
      </w:r>
    </w:p>
    <w:p>
      <w:pPr>
        <w:sectPr>
          <w:pgSz w:w="11900" w:h="16838" w:orient="portrait"/>
          <w:cols w:equalWidth="0" w:num="1">
            <w:col w:w="10219"/>
          </w:cols>
          <w:pgMar w:left="240" w:top="244" w:right="1440" w:bottom="0" w:gutter="0" w:footer="0" w:header="0"/>
          <w:type w:val="continuous"/>
        </w:sectPr>
      </w:pPr>
    </w:p>
    <w:p>
      <w:pPr>
        <w:spacing w:after="0" w:line="200" w:lineRule="exact"/>
        <w:rPr>
          <w:sz w:val="24"/>
          <w:szCs w:val="24"/>
          <w:color w:val="auto"/>
        </w:rPr>
      </w:pPr>
    </w:p>
    <w:p>
      <w:pPr>
        <w:spacing w:after="0" w:line="385" w:lineRule="exact"/>
        <w:rPr>
          <w:sz w:val="24"/>
          <w:szCs w:val="24"/>
          <w:color w:val="auto"/>
        </w:rPr>
      </w:pPr>
    </w:p>
    <w:p>
      <w:pPr>
        <w:ind w:left="2220"/>
        <w:spacing w:after="0"/>
        <w:rPr>
          <w:sz w:val="20"/>
          <w:szCs w:val="20"/>
          <w:color w:val="auto"/>
        </w:rPr>
      </w:pPr>
      <w:r>
        <w:rPr>
          <w:rFonts w:ascii="Courier New" w:cs="Courier New" w:eastAsia="Courier New" w:hAnsi="Courier New"/>
          <w:sz w:val="16"/>
          <w:szCs w:val="16"/>
          <w:color w:val="auto"/>
        </w:rPr>
        <w:t>Part I.</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FINANCIAL INFORMATION</w:t>
      </w:r>
    </w:p>
    <w:p>
      <w:pPr>
        <w:spacing w:after="0" w:line="200" w:lineRule="exact"/>
        <w:rPr>
          <w:sz w:val="24"/>
          <w:szCs w:val="24"/>
          <w:color w:val="auto"/>
        </w:rPr>
      </w:pPr>
    </w:p>
    <w:p>
      <w:pPr>
        <w:sectPr>
          <w:pgSz w:w="11900" w:h="16838" w:orient="portrait"/>
          <w:cols w:equalWidth="0" w:num="2">
            <w:col w:w="2960" w:space="200"/>
            <w:col w:w="7059"/>
          </w:cols>
          <w:pgMar w:left="240" w:top="244" w:right="1440" w:bottom="0" w:gutter="0" w:footer="0" w:header="0"/>
          <w:type w:val="continuous"/>
        </w:sectPr>
      </w:pPr>
    </w:p>
    <w:p>
      <w:pPr>
        <w:spacing w:after="0" w:line="18"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Financial Statements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Consolidated Balance Sheets</w:t>
      </w:r>
    </w:p>
    <w:p>
      <w:pPr>
        <w:ind w:left="1380"/>
        <w:spacing w:after="0" w:line="238" w:lineRule="auto"/>
        <w:rPr>
          <w:sz w:val="20"/>
          <w:szCs w:val="20"/>
          <w:color w:val="auto"/>
        </w:rPr>
      </w:pPr>
      <w:r>
        <w:rPr>
          <w:rFonts w:ascii="Courier New" w:cs="Courier New" w:eastAsia="Courier New" w:hAnsi="Courier New"/>
          <w:sz w:val="18"/>
          <w:szCs w:val="18"/>
          <w:color w:val="auto"/>
        </w:rPr>
        <w:t>(Dollars in millions, except for par value amount)</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4440"/>
        <w:spacing w:after="0"/>
        <w:tabs>
          <w:tab w:leader="none" w:pos="6100" w:val="left"/>
        </w:tabs>
        <w:rPr>
          <w:sz w:val="20"/>
          <w:szCs w:val="20"/>
          <w:color w:val="auto"/>
        </w:rPr>
      </w:pPr>
      <w:r>
        <w:rPr>
          <w:rFonts w:ascii="Courier New" w:cs="Courier New" w:eastAsia="Courier New" w:hAnsi="Courier New"/>
          <w:sz w:val="18"/>
          <w:szCs w:val="18"/>
          <w:color w:val="auto"/>
        </w:rPr>
        <w:t>March 2,</w:t>
      </w:r>
      <w:r>
        <w:rPr>
          <w:sz w:val="20"/>
          <w:szCs w:val="20"/>
          <w:color w:val="auto"/>
        </w:rPr>
        <w:tab/>
      </w:r>
      <w:r>
        <w:rPr>
          <w:rFonts w:ascii="Courier New" w:cs="Courier New" w:eastAsia="Courier New" w:hAnsi="Courier New"/>
          <w:sz w:val="16"/>
          <w:szCs w:val="16"/>
          <w:color w:val="auto"/>
        </w:rPr>
        <w:t>September 1,</w:t>
      </w:r>
    </w:p>
    <w:p>
      <w:pPr>
        <w:spacing w:after="0"/>
        <w:tabs>
          <w:tab w:leader="none" w:pos="4520" w:val="left"/>
          <w:tab w:leader="none" w:pos="6520" w:val="left"/>
        </w:tabs>
        <w:rPr>
          <w:sz w:val="20"/>
          <w:szCs w:val="20"/>
          <w:color w:val="auto"/>
        </w:rPr>
      </w:pPr>
      <w:r>
        <w:rPr>
          <w:rFonts w:ascii="Courier New" w:cs="Courier New" w:eastAsia="Courier New" w:hAnsi="Courier New"/>
          <w:sz w:val="18"/>
          <w:szCs w:val="18"/>
          <w:color w:val="auto"/>
        </w:rPr>
        <w:t>As of</w:t>
      </w:r>
      <w:r>
        <w:rPr>
          <w:sz w:val="20"/>
          <w:szCs w:val="20"/>
          <w:color w:val="auto"/>
        </w:rPr>
        <w:tab/>
      </w:r>
      <w:r>
        <w:rPr>
          <w:rFonts w:ascii="Courier New" w:cs="Courier New" w:eastAsia="Courier New" w:hAnsi="Courier New"/>
          <w:sz w:val="18"/>
          <w:szCs w:val="18"/>
          <w:color w:val="auto"/>
        </w:rPr>
        <w:t>1995</w:t>
      </w:r>
      <w:r>
        <w:rPr>
          <w:sz w:val="20"/>
          <w:szCs w:val="20"/>
          <w:color w:val="auto"/>
        </w:rPr>
        <w:tab/>
      </w:r>
      <w:r>
        <w:rPr>
          <w:rFonts w:ascii="Courier New" w:cs="Courier New" w:eastAsia="Courier New" w:hAnsi="Courier New"/>
          <w:sz w:val="16"/>
          <w:szCs w:val="16"/>
          <w:color w:val="auto"/>
        </w:rPr>
        <w:t>1994</w:t>
      </w:r>
    </w:p>
    <w:p>
      <w:pPr>
        <w:sectPr>
          <w:pgSz w:w="11900" w:h="16838" w:orient="portrait"/>
          <w:cols w:equalWidth="0" w:num="1">
            <w:col w:w="10219"/>
          </w:cols>
          <w:pgMar w:left="240" w:top="244" w:right="1440" w:bottom="0" w:gutter="0" w:footer="0" w:header="0"/>
          <w:type w:val="continuous"/>
        </w:sectPr>
      </w:pPr>
    </w:p>
    <w:p>
      <w:pPr>
        <w:spacing w:after="0" w:line="5"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0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(Unaudited)</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equivalents</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81.5</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78.4</w:t>
            </w: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Liquid investments</w:t>
            </w:r>
          </w:p>
        </w:tc>
        <w:tc>
          <w:tcPr>
            <w:tcW w:w="1260" w:type="dxa"/>
            <w:vAlign w:val="bottom"/>
          </w:tcPr>
          <w:p>
            <w:pPr>
              <w:spacing w:after="0"/>
              <w:rPr>
                <w:sz w:val="17"/>
                <w:szCs w:val="17"/>
                <w:color w:val="auto"/>
              </w:rPr>
            </w:pPr>
          </w:p>
        </w:tc>
        <w:tc>
          <w:tcPr>
            <w:tcW w:w="12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495.2</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354.6</w:t>
            </w: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Receivables</w:t>
            </w:r>
          </w:p>
        </w:tc>
        <w:tc>
          <w:tcPr>
            <w:tcW w:w="1260" w:type="dxa"/>
            <w:vAlign w:val="bottom"/>
          </w:tcPr>
          <w:p>
            <w:pPr>
              <w:spacing w:after="0"/>
              <w:rPr>
                <w:sz w:val="17"/>
                <w:szCs w:val="17"/>
                <w:color w:val="auto"/>
              </w:rPr>
            </w:pPr>
          </w:p>
        </w:tc>
        <w:tc>
          <w:tcPr>
            <w:tcW w:w="12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266.1</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235.7</w:t>
            </w:r>
          </w:p>
        </w:tc>
      </w:tr>
    </w:tbl>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40" w:type="dxa"/>
            <w:vAlign w:val="bottom"/>
          </w:tcPr>
          <w:p>
            <w:pPr>
              <w:ind w:left="220"/>
              <w:spacing w:after="0"/>
              <w:rPr>
                <w:sz w:val="20"/>
                <w:szCs w:val="20"/>
                <w:color w:val="auto"/>
              </w:rPr>
            </w:pPr>
            <w:r>
              <w:rPr>
                <w:rFonts w:ascii="Courier New" w:cs="Courier New" w:eastAsia="Courier New" w:hAnsi="Courier New"/>
                <w:sz w:val="18"/>
                <w:szCs w:val="18"/>
                <w:color w:val="auto"/>
              </w:rPr>
              <w:t>Inventories</w:t>
            </w:r>
          </w:p>
        </w:tc>
        <w:tc>
          <w:tcPr>
            <w:tcW w:w="152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142.8</w:t>
            </w:r>
          </w:p>
        </w:tc>
        <w:tc>
          <w:tcPr>
            <w:tcW w:w="1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101.1</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Prepaid expenses</w:t>
            </w:r>
          </w:p>
        </w:tc>
        <w:tc>
          <w:tcPr>
            <w:tcW w:w="15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4.8</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5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19.6</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20.1</w:t>
            </w:r>
          </w:p>
        </w:tc>
      </w:tr>
      <w:tr>
        <w:trPr>
          <w:trHeight w:val="203"/>
        </w:trPr>
        <w:tc>
          <w:tcPr>
            <w:tcW w:w="4440" w:type="dxa"/>
            <w:vAlign w:val="bottom"/>
          </w:tcPr>
          <w:p>
            <w:pPr>
              <w:spacing w:after="0"/>
              <w:rPr>
                <w:sz w:val="17"/>
                <w:szCs w:val="17"/>
                <w:color w:val="auto"/>
              </w:rPr>
            </w:pPr>
          </w:p>
        </w:tc>
        <w:tc>
          <w:tcPr>
            <w:tcW w:w="15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4"/>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5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1,010.0</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793.2</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Product and process technology, net</w:t>
            </w:r>
          </w:p>
        </w:tc>
        <w:tc>
          <w:tcPr>
            <w:tcW w:w="152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43.9</w:t>
            </w:r>
          </w:p>
        </w:tc>
        <w:tc>
          <w:tcPr>
            <w:tcW w:w="1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48.2</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plant, and equipment, net</w:t>
            </w:r>
          </w:p>
        </w:tc>
        <w:tc>
          <w:tcPr>
            <w:tcW w:w="15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867.6</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663.5</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15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35.3</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24.8</w:t>
            </w:r>
          </w:p>
        </w:tc>
      </w:tr>
      <w:tr>
        <w:trPr>
          <w:trHeight w:val="203"/>
        </w:trPr>
        <w:tc>
          <w:tcPr>
            <w:tcW w:w="4440" w:type="dxa"/>
            <w:vAlign w:val="bottom"/>
          </w:tcPr>
          <w:p>
            <w:pPr>
              <w:spacing w:after="0"/>
              <w:rPr>
                <w:sz w:val="17"/>
                <w:szCs w:val="17"/>
                <w:color w:val="auto"/>
              </w:rPr>
            </w:pPr>
          </w:p>
        </w:tc>
        <w:tc>
          <w:tcPr>
            <w:tcW w:w="15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4"/>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assets</w:t>
            </w:r>
          </w:p>
        </w:tc>
        <w:tc>
          <w:tcPr>
            <w:tcW w:w="15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4"/>
              </w:rPr>
              <w:t>$1,956.8</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$1,529.7</w:t>
            </w:r>
          </w:p>
        </w:tc>
      </w:tr>
      <w:tr>
        <w:trPr>
          <w:trHeight w:val="203"/>
        </w:trPr>
        <w:tc>
          <w:tcPr>
            <w:tcW w:w="4440" w:type="dxa"/>
            <w:vAlign w:val="bottom"/>
          </w:tcPr>
          <w:p>
            <w:pPr>
              <w:spacing w:after="0"/>
              <w:rPr>
                <w:sz w:val="17"/>
                <w:szCs w:val="17"/>
                <w:color w:val="auto"/>
              </w:rPr>
            </w:pPr>
          </w:p>
        </w:tc>
        <w:tc>
          <w:tcPr>
            <w:tcW w:w="15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4"/>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440" w:type="dxa"/>
            <w:vAlign w:val="bottom"/>
          </w:tcPr>
          <w:p>
            <w:pPr>
              <w:spacing w:after="0"/>
              <w:rPr>
                <w:sz w:val="20"/>
                <w:szCs w:val="20"/>
                <w:color w:val="auto"/>
              </w:rPr>
            </w:pPr>
            <w:r>
              <w:rPr>
                <w:rFonts w:ascii="Courier New" w:cs="Courier New" w:eastAsia="Courier New" w:hAnsi="Courier New"/>
                <w:sz w:val="18"/>
                <w:szCs w:val="18"/>
                <w:color w:val="auto"/>
              </w:rPr>
              <w:t>LIABILITIES AND SHAREHOLDERS' EQUITY</w:t>
            </w:r>
          </w:p>
        </w:tc>
        <w:tc>
          <w:tcPr>
            <w:tcW w:w="15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5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 and accrued expenses</w:t>
            </w:r>
          </w:p>
        </w:tc>
        <w:tc>
          <w:tcPr>
            <w:tcW w:w="15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4"/>
              </w:rPr>
              <w:t>$  238.6</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200.2</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income</w:t>
            </w:r>
          </w:p>
        </w:tc>
        <w:tc>
          <w:tcPr>
            <w:tcW w:w="15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13.6</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13.0</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Equipment purchase contracts</w:t>
            </w:r>
          </w:p>
        </w:tc>
        <w:tc>
          <w:tcPr>
            <w:tcW w:w="15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23.0</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31.2</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Current portion of long-term debt</w:t>
            </w:r>
          </w:p>
        </w:tc>
        <w:tc>
          <w:tcPr>
            <w:tcW w:w="15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25.8</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29.8</w:t>
            </w:r>
          </w:p>
        </w:tc>
      </w:tr>
      <w:tr>
        <w:trPr>
          <w:trHeight w:val="203"/>
        </w:trPr>
        <w:tc>
          <w:tcPr>
            <w:tcW w:w="4440" w:type="dxa"/>
            <w:vAlign w:val="bottom"/>
          </w:tcPr>
          <w:p>
            <w:pPr>
              <w:spacing w:after="0"/>
              <w:rPr>
                <w:sz w:val="17"/>
                <w:szCs w:val="17"/>
                <w:color w:val="auto"/>
              </w:rPr>
            </w:pPr>
          </w:p>
        </w:tc>
        <w:tc>
          <w:tcPr>
            <w:tcW w:w="15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4"/>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5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301.0</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274.2</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Long-term debt</w:t>
            </w:r>
          </w:p>
        </w:tc>
        <w:tc>
          <w:tcPr>
            <w:tcW w:w="152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168.2</w:t>
            </w:r>
          </w:p>
        </w:tc>
        <w:tc>
          <w:tcPr>
            <w:tcW w:w="1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124.7</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5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63.6</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54.1</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liabilities</w:t>
            </w:r>
          </w:p>
        </w:tc>
        <w:tc>
          <w:tcPr>
            <w:tcW w:w="15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28.4</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27.4</w:t>
            </w:r>
          </w:p>
        </w:tc>
      </w:tr>
      <w:tr>
        <w:trPr>
          <w:trHeight w:val="203"/>
        </w:trPr>
        <w:tc>
          <w:tcPr>
            <w:tcW w:w="4440" w:type="dxa"/>
            <w:vAlign w:val="bottom"/>
          </w:tcPr>
          <w:p>
            <w:pPr>
              <w:spacing w:after="0"/>
              <w:rPr>
                <w:sz w:val="17"/>
                <w:szCs w:val="17"/>
                <w:color w:val="auto"/>
              </w:rPr>
            </w:pPr>
          </w:p>
        </w:tc>
        <w:tc>
          <w:tcPr>
            <w:tcW w:w="15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4"/>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5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561.2</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480.4</w:t>
            </w:r>
          </w:p>
        </w:tc>
      </w:tr>
      <w:tr>
        <w:trPr>
          <w:trHeight w:val="203"/>
        </w:trPr>
        <w:tc>
          <w:tcPr>
            <w:tcW w:w="4440" w:type="dxa"/>
            <w:vAlign w:val="bottom"/>
          </w:tcPr>
          <w:p>
            <w:pPr>
              <w:spacing w:after="0"/>
              <w:rPr>
                <w:sz w:val="17"/>
                <w:szCs w:val="17"/>
                <w:color w:val="auto"/>
              </w:rPr>
            </w:pPr>
          </w:p>
        </w:tc>
        <w:tc>
          <w:tcPr>
            <w:tcW w:w="15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4"/>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440" w:type="dxa"/>
            <w:vAlign w:val="bottom"/>
          </w:tcPr>
          <w:p>
            <w:pPr>
              <w:spacing w:after="0"/>
              <w:rPr>
                <w:sz w:val="20"/>
                <w:szCs w:val="20"/>
                <w:color w:val="auto"/>
              </w:rPr>
            </w:pPr>
            <w:r>
              <w:rPr>
                <w:rFonts w:ascii="Courier New" w:cs="Courier New" w:eastAsia="Courier New" w:hAnsi="Courier New"/>
                <w:sz w:val="18"/>
                <w:szCs w:val="18"/>
                <w:color w:val="auto"/>
              </w:rPr>
              <w:t>Commitments and contingencies</w:t>
            </w:r>
          </w:p>
        </w:tc>
        <w:tc>
          <w:tcPr>
            <w:tcW w:w="15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Shareholders' equity:</w:t>
            </w:r>
          </w:p>
        </w:tc>
        <w:tc>
          <w:tcPr>
            <w:tcW w:w="15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Common stock, $.10 par value, authorized</w:t>
            </w:r>
          </w:p>
        </w:tc>
        <w:tc>
          <w:tcPr>
            <w:tcW w:w="15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300.0 million shares, issued and</w:t>
            </w:r>
          </w:p>
        </w:tc>
        <w:tc>
          <w:tcPr>
            <w:tcW w:w="15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outstanding 102.6 million and 101.9</w:t>
            </w:r>
          </w:p>
        </w:tc>
        <w:tc>
          <w:tcPr>
            <w:tcW w:w="15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million shares, respectively</w:t>
            </w:r>
          </w:p>
        </w:tc>
        <w:tc>
          <w:tcPr>
            <w:tcW w:w="15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10.3</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10.2</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15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386.5</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369.7</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5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1,003.4</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670.8</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Unamortized stock compensation</w:t>
            </w:r>
          </w:p>
        </w:tc>
        <w:tc>
          <w:tcPr>
            <w:tcW w:w="1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(4.6)</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4440" w:type="dxa"/>
            <w:vAlign w:val="bottom"/>
          </w:tcPr>
          <w:p>
            <w:pPr>
              <w:spacing w:after="0"/>
              <w:rPr>
                <w:sz w:val="17"/>
                <w:szCs w:val="17"/>
                <w:color w:val="auto"/>
              </w:rPr>
            </w:pPr>
          </w:p>
        </w:tc>
        <w:tc>
          <w:tcPr>
            <w:tcW w:w="15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4"/>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shareholders' equity</w:t>
            </w:r>
          </w:p>
        </w:tc>
        <w:tc>
          <w:tcPr>
            <w:tcW w:w="15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1,395.6</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1,049.3</w:t>
            </w:r>
          </w:p>
        </w:tc>
      </w:tr>
      <w:tr>
        <w:trPr>
          <w:trHeight w:val="203"/>
        </w:trPr>
        <w:tc>
          <w:tcPr>
            <w:tcW w:w="4440" w:type="dxa"/>
            <w:vAlign w:val="bottom"/>
          </w:tcPr>
          <w:p>
            <w:pPr>
              <w:spacing w:after="0"/>
              <w:rPr>
                <w:sz w:val="17"/>
                <w:szCs w:val="17"/>
                <w:color w:val="auto"/>
              </w:rPr>
            </w:pPr>
          </w:p>
        </w:tc>
        <w:tc>
          <w:tcPr>
            <w:tcW w:w="15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4"/>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liabilities and shareholders'</w:t>
            </w:r>
          </w:p>
        </w:tc>
        <w:tc>
          <w:tcPr>
            <w:tcW w:w="15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equity</w:t>
            </w:r>
          </w:p>
        </w:tc>
        <w:tc>
          <w:tcPr>
            <w:tcW w:w="15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4"/>
              </w:rPr>
              <w:t>$1,956.8</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$1,529.7</w:t>
            </w:r>
          </w:p>
        </w:tc>
      </w:tr>
      <w:tr>
        <w:trPr>
          <w:trHeight w:val="203"/>
        </w:trPr>
        <w:tc>
          <w:tcPr>
            <w:tcW w:w="4440" w:type="dxa"/>
            <w:vAlign w:val="bottom"/>
          </w:tcPr>
          <w:p>
            <w:pPr>
              <w:spacing w:after="0"/>
              <w:rPr>
                <w:sz w:val="17"/>
                <w:szCs w:val="17"/>
                <w:color w:val="auto"/>
              </w:rPr>
            </w:pPr>
          </w:p>
        </w:tc>
        <w:tc>
          <w:tcPr>
            <w:tcW w:w="15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4"/>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consolidated financial statements.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136" w:right="1440" w:bottom="1440" w:gutter="0" w:footer="0" w:header="0"/>
        </w:sectPr>
      </w:pPr>
    </w:p>
    <w:bookmarkStart w:id="2" w:name="page3"/>
    <w:bookmarkEnd w:id="2"/>
    <w:p>
      <w:pPr>
        <w:ind w:left="2860"/>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8"/>
          <w:szCs w:val="18"/>
          <w:color w:val="auto"/>
        </w:rPr>
        <w:t>Consolidated Statements of Operations</w:t>
      </w:r>
    </w:p>
    <w:p>
      <w:pPr>
        <w:jc w:val="center"/>
        <w:ind w:right="2399"/>
        <w:spacing w:after="0" w:line="238" w:lineRule="auto"/>
        <w:rPr>
          <w:sz w:val="20"/>
          <w:szCs w:val="20"/>
          <w:color w:val="auto"/>
        </w:rPr>
      </w:pPr>
      <w:r>
        <w:rPr>
          <w:rFonts w:ascii="Courier New" w:cs="Courier New" w:eastAsia="Courier New" w:hAnsi="Courier New"/>
          <w:sz w:val="18"/>
          <w:szCs w:val="18"/>
          <w:color w:val="auto"/>
        </w:rPr>
        <w:t>(Amounts in millions, except for per share data)</w:t>
      </w:r>
    </w:p>
    <w:p>
      <w:pPr>
        <w:jc w:val="center"/>
        <w:ind w:right="2299"/>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spacing w:after="0"/>
              <w:rPr>
                <w:sz w:val="20"/>
                <w:szCs w:val="20"/>
                <w:color w:val="auto"/>
              </w:rPr>
            </w:pPr>
            <w:r>
              <w:rPr>
                <w:rFonts w:ascii="Courier New" w:cs="Courier New" w:eastAsia="Courier New" w:hAnsi="Courier New"/>
                <w:sz w:val="18"/>
                <w:szCs w:val="18"/>
                <w:color w:val="auto"/>
              </w:rPr>
              <w:t>caption&gt;</w:t>
            </w:r>
          </w:p>
        </w:tc>
        <w:tc>
          <w:tcPr>
            <w:tcW w:w="1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05"/>
        </w:trPr>
        <w:tc>
          <w:tcPr>
            <w:tcW w:w="33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8"/>
                <w:szCs w:val="18"/>
                <w:color w:val="auto"/>
              </w:rPr>
              <w:t>March</w:t>
            </w:r>
          </w:p>
        </w:tc>
        <w:tc>
          <w:tcPr>
            <w:tcW w:w="88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2,</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March</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3,</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For the quarter ended</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1995</w:t>
            </w:r>
          </w:p>
        </w:tc>
        <w:tc>
          <w:tcPr>
            <w:tcW w:w="8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1994</w:t>
            </w:r>
          </w:p>
        </w:tc>
        <w:tc>
          <w:tcPr>
            <w:tcW w:w="26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2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628.5</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390.5</w:t>
            </w:r>
          </w:p>
        </w:tc>
      </w:tr>
      <w:tr>
        <w:trPr>
          <w:trHeight w:val="203"/>
        </w:trPr>
        <w:tc>
          <w:tcPr>
            <w:tcW w:w="4220" w:type="dxa"/>
            <w:vAlign w:val="bottom"/>
          </w:tcPr>
          <w:p>
            <w:pPr>
              <w:spacing w:after="0"/>
              <w:rPr>
                <w:sz w:val="17"/>
                <w:szCs w:val="17"/>
                <w:color w:val="auto"/>
              </w:rPr>
            </w:pP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420" w:type="dxa"/>
            <w:vAlign w:val="bottom"/>
          </w:tcPr>
          <w:p>
            <w:pPr>
              <w:spacing w:after="0"/>
              <w:rPr>
                <w:sz w:val="17"/>
                <w:szCs w:val="17"/>
                <w:color w:val="auto"/>
              </w:rPr>
            </w:pPr>
          </w:p>
        </w:tc>
        <w:tc>
          <w:tcPr>
            <w:tcW w:w="12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267.5</w:t>
            </w:r>
          </w:p>
        </w:tc>
        <w:tc>
          <w:tcPr>
            <w:tcW w:w="84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204.1</w:t>
            </w:r>
          </w:p>
        </w:tc>
      </w:tr>
      <w:tr>
        <w:trPr>
          <w:trHeight w:val="203"/>
        </w:trPr>
        <w:tc>
          <w:tcPr>
            <w:tcW w:w="4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420" w:type="dxa"/>
            <w:vAlign w:val="bottom"/>
          </w:tcPr>
          <w:p>
            <w:pPr>
              <w:spacing w:after="0"/>
              <w:rPr>
                <w:sz w:val="17"/>
                <w:szCs w:val="17"/>
                <w:color w:val="auto"/>
              </w:rPr>
            </w:pPr>
          </w:p>
        </w:tc>
        <w:tc>
          <w:tcPr>
            <w:tcW w:w="12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39.0</w:t>
            </w:r>
          </w:p>
        </w:tc>
        <w:tc>
          <w:tcPr>
            <w:tcW w:w="84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33.1</w:t>
            </w:r>
          </w:p>
        </w:tc>
      </w:tr>
      <w:tr>
        <w:trPr>
          <w:trHeight w:val="203"/>
        </w:trPr>
        <w:tc>
          <w:tcPr>
            <w:tcW w:w="4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420" w:type="dxa"/>
            <w:vAlign w:val="bottom"/>
          </w:tcPr>
          <w:p>
            <w:pPr>
              <w:spacing w:after="0"/>
              <w:rPr>
                <w:sz w:val="17"/>
                <w:szCs w:val="17"/>
                <w:color w:val="auto"/>
              </w:rPr>
            </w:pPr>
          </w:p>
        </w:tc>
        <w:tc>
          <w:tcPr>
            <w:tcW w:w="12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28.9</w:t>
            </w:r>
          </w:p>
        </w:tc>
        <w:tc>
          <w:tcPr>
            <w:tcW w:w="84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18.7</w:t>
            </w:r>
          </w:p>
        </w:tc>
      </w:tr>
      <w:tr>
        <w:trPr>
          <w:trHeight w:val="203"/>
        </w:trPr>
        <w:tc>
          <w:tcPr>
            <w:tcW w:w="4220" w:type="dxa"/>
            <w:vAlign w:val="bottom"/>
          </w:tcPr>
          <w:p>
            <w:pPr>
              <w:spacing w:after="0"/>
              <w:rPr>
                <w:sz w:val="17"/>
                <w:szCs w:val="17"/>
                <w:color w:val="auto"/>
              </w:rPr>
            </w:pP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costs and expenses</w:t>
            </w:r>
          </w:p>
        </w:tc>
        <w:tc>
          <w:tcPr>
            <w:tcW w:w="420" w:type="dxa"/>
            <w:vAlign w:val="bottom"/>
          </w:tcPr>
          <w:p>
            <w:pPr>
              <w:spacing w:after="0"/>
              <w:rPr>
                <w:sz w:val="17"/>
                <w:szCs w:val="17"/>
                <w:color w:val="auto"/>
              </w:rPr>
            </w:pPr>
          </w:p>
        </w:tc>
        <w:tc>
          <w:tcPr>
            <w:tcW w:w="12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335.4</w:t>
            </w:r>
          </w:p>
        </w:tc>
        <w:tc>
          <w:tcPr>
            <w:tcW w:w="84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255.9</w:t>
            </w:r>
          </w:p>
        </w:tc>
      </w:tr>
      <w:tr>
        <w:trPr>
          <w:trHeight w:val="203"/>
        </w:trPr>
        <w:tc>
          <w:tcPr>
            <w:tcW w:w="4220" w:type="dxa"/>
            <w:vAlign w:val="bottom"/>
          </w:tcPr>
          <w:p>
            <w:pPr>
              <w:spacing w:after="0"/>
              <w:rPr>
                <w:sz w:val="17"/>
                <w:szCs w:val="17"/>
                <w:color w:val="auto"/>
              </w:rPr>
            </w:pP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2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420" w:type="dxa"/>
            <w:vAlign w:val="bottom"/>
          </w:tcPr>
          <w:p>
            <w:pPr>
              <w:spacing w:after="0"/>
              <w:rPr>
                <w:sz w:val="24"/>
                <w:szCs w:val="24"/>
                <w:color w:val="auto"/>
              </w:rPr>
            </w:pPr>
          </w:p>
        </w:tc>
        <w:tc>
          <w:tcPr>
            <w:tcW w:w="12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293.1</w:t>
            </w:r>
          </w:p>
        </w:tc>
        <w:tc>
          <w:tcPr>
            <w:tcW w:w="8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134.6</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income, net</w:t>
            </w:r>
          </w:p>
        </w:tc>
        <w:tc>
          <w:tcPr>
            <w:tcW w:w="420" w:type="dxa"/>
            <w:vAlign w:val="bottom"/>
          </w:tcPr>
          <w:p>
            <w:pPr>
              <w:spacing w:after="0"/>
              <w:rPr>
                <w:sz w:val="17"/>
                <w:szCs w:val="17"/>
                <w:color w:val="auto"/>
              </w:rPr>
            </w:pPr>
          </w:p>
        </w:tc>
        <w:tc>
          <w:tcPr>
            <w:tcW w:w="12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6.5</w:t>
            </w:r>
          </w:p>
        </w:tc>
        <w:tc>
          <w:tcPr>
            <w:tcW w:w="84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4220" w:type="dxa"/>
            <w:vAlign w:val="bottom"/>
          </w:tcPr>
          <w:p>
            <w:pPr>
              <w:spacing w:after="0"/>
              <w:rPr>
                <w:sz w:val="17"/>
                <w:szCs w:val="17"/>
                <w:color w:val="auto"/>
              </w:rPr>
            </w:pP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 taxes</w:t>
            </w:r>
          </w:p>
        </w:tc>
        <w:tc>
          <w:tcPr>
            <w:tcW w:w="420" w:type="dxa"/>
            <w:vAlign w:val="bottom"/>
          </w:tcPr>
          <w:p>
            <w:pPr>
              <w:spacing w:after="0"/>
              <w:rPr>
                <w:sz w:val="17"/>
                <w:szCs w:val="17"/>
                <w:color w:val="auto"/>
              </w:rPr>
            </w:pPr>
          </w:p>
        </w:tc>
        <w:tc>
          <w:tcPr>
            <w:tcW w:w="12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299.6</w:t>
            </w:r>
          </w:p>
        </w:tc>
        <w:tc>
          <w:tcPr>
            <w:tcW w:w="84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135.6</w:t>
            </w:r>
          </w:p>
        </w:tc>
      </w:tr>
      <w:tr>
        <w:trPr>
          <w:trHeight w:val="405"/>
        </w:trPr>
        <w:tc>
          <w:tcPr>
            <w:tcW w:w="4220" w:type="dxa"/>
            <w:vAlign w:val="bottom"/>
          </w:tcPr>
          <w:p>
            <w:pPr>
              <w:spacing w:after="0"/>
              <w:rPr>
                <w:sz w:val="20"/>
                <w:szCs w:val="20"/>
                <w:color w:val="auto"/>
              </w:rPr>
            </w:pPr>
            <w:r>
              <w:rPr>
                <w:rFonts w:ascii="Courier New" w:cs="Courier New" w:eastAsia="Courier New" w:hAnsi="Courier New"/>
                <w:sz w:val="18"/>
                <w:szCs w:val="18"/>
                <w:color w:val="auto"/>
              </w:rPr>
              <w:t>Income tax provision</w:t>
            </w:r>
          </w:p>
        </w:tc>
        <w:tc>
          <w:tcPr>
            <w:tcW w:w="420" w:type="dxa"/>
            <w:vAlign w:val="bottom"/>
          </w:tcPr>
          <w:p>
            <w:pPr>
              <w:spacing w:after="0"/>
              <w:rPr>
                <w:sz w:val="24"/>
                <w:szCs w:val="24"/>
                <w:color w:val="auto"/>
              </w:rPr>
            </w:pPr>
          </w:p>
        </w:tc>
        <w:tc>
          <w:tcPr>
            <w:tcW w:w="12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116.1</w:t>
            </w:r>
          </w:p>
        </w:tc>
        <w:tc>
          <w:tcPr>
            <w:tcW w:w="8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48.8</w:t>
            </w:r>
          </w:p>
        </w:tc>
      </w:tr>
      <w:tr>
        <w:trPr>
          <w:trHeight w:val="203"/>
        </w:trPr>
        <w:tc>
          <w:tcPr>
            <w:tcW w:w="4220" w:type="dxa"/>
            <w:vAlign w:val="bottom"/>
          </w:tcPr>
          <w:p>
            <w:pPr>
              <w:spacing w:after="0"/>
              <w:rPr>
                <w:sz w:val="17"/>
                <w:szCs w:val="17"/>
                <w:color w:val="auto"/>
              </w:rPr>
            </w:pP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183.5</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86.8</w:t>
            </w:r>
          </w:p>
        </w:tc>
      </w:tr>
      <w:tr>
        <w:trPr>
          <w:trHeight w:val="203"/>
        </w:trPr>
        <w:tc>
          <w:tcPr>
            <w:tcW w:w="4220" w:type="dxa"/>
            <w:vAlign w:val="bottom"/>
          </w:tcPr>
          <w:p>
            <w:pPr>
              <w:spacing w:after="0"/>
              <w:rPr>
                <w:sz w:val="17"/>
                <w:szCs w:val="17"/>
                <w:color w:val="auto"/>
              </w:rPr>
            </w:pP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4220" w:type="dxa"/>
            <w:vAlign w:val="bottom"/>
          </w:tcPr>
          <w:p>
            <w:pPr>
              <w:spacing w:after="0"/>
              <w:rPr>
                <w:sz w:val="20"/>
                <w:szCs w:val="20"/>
                <w:color w:val="auto"/>
              </w:rPr>
            </w:pPr>
            <w:r>
              <w:rPr>
                <w:rFonts w:ascii="Courier New" w:cs="Courier New" w:eastAsia="Courier New" w:hAnsi="Courier New"/>
                <w:sz w:val="18"/>
                <w:szCs w:val="18"/>
                <w:color w:val="auto"/>
              </w:rPr>
              <w:t>Earnings per share:</w:t>
            </w: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4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Primary</w:t>
            </w:r>
          </w:p>
        </w:tc>
        <w:tc>
          <w:tcPr>
            <w:tcW w:w="420" w:type="dxa"/>
            <w:vAlign w:val="bottom"/>
          </w:tcPr>
          <w:p>
            <w:pPr>
              <w:spacing w:after="0"/>
              <w:rPr>
                <w:sz w:val="17"/>
                <w:szCs w:val="17"/>
                <w:color w:val="auto"/>
              </w:rPr>
            </w:pPr>
          </w:p>
        </w:tc>
        <w:tc>
          <w:tcPr>
            <w:tcW w:w="12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$1.72</w:t>
            </w:r>
          </w:p>
        </w:tc>
        <w:tc>
          <w:tcPr>
            <w:tcW w:w="84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$0.83</w:t>
            </w:r>
          </w:p>
        </w:tc>
      </w:tr>
      <w:tr>
        <w:trPr>
          <w:trHeight w:val="203"/>
        </w:trPr>
        <w:tc>
          <w:tcPr>
            <w:tcW w:w="4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Fully diluted</w:t>
            </w:r>
          </w:p>
        </w:tc>
        <w:tc>
          <w:tcPr>
            <w:tcW w:w="420" w:type="dxa"/>
            <w:vAlign w:val="bottom"/>
          </w:tcPr>
          <w:p>
            <w:pPr>
              <w:spacing w:after="0"/>
              <w:rPr>
                <w:sz w:val="17"/>
                <w:szCs w:val="17"/>
                <w:color w:val="auto"/>
              </w:rPr>
            </w:pPr>
          </w:p>
        </w:tc>
        <w:tc>
          <w:tcPr>
            <w:tcW w:w="12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$1.71</w:t>
            </w:r>
          </w:p>
        </w:tc>
        <w:tc>
          <w:tcPr>
            <w:tcW w:w="84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$0.83</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used in per share</w:t>
            </w: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calculations:</w:t>
            </w: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Primary</w:t>
            </w:r>
          </w:p>
        </w:tc>
        <w:tc>
          <w:tcPr>
            <w:tcW w:w="420" w:type="dxa"/>
            <w:vAlign w:val="bottom"/>
          </w:tcPr>
          <w:p>
            <w:pPr>
              <w:spacing w:after="0"/>
              <w:rPr>
                <w:sz w:val="17"/>
                <w:szCs w:val="17"/>
                <w:color w:val="auto"/>
              </w:rPr>
            </w:pPr>
          </w:p>
        </w:tc>
        <w:tc>
          <w:tcPr>
            <w:tcW w:w="12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106.4</w:t>
            </w:r>
          </w:p>
        </w:tc>
        <w:tc>
          <w:tcPr>
            <w:tcW w:w="84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104.3</w:t>
            </w:r>
          </w:p>
        </w:tc>
      </w:tr>
      <w:tr>
        <w:trPr>
          <w:trHeight w:val="203"/>
        </w:trPr>
        <w:tc>
          <w:tcPr>
            <w:tcW w:w="4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Fully diluted</w:t>
            </w:r>
          </w:p>
        </w:tc>
        <w:tc>
          <w:tcPr>
            <w:tcW w:w="420" w:type="dxa"/>
            <w:vAlign w:val="bottom"/>
          </w:tcPr>
          <w:p>
            <w:pPr>
              <w:spacing w:after="0"/>
              <w:rPr>
                <w:sz w:val="17"/>
                <w:szCs w:val="17"/>
                <w:color w:val="auto"/>
              </w:rPr>
            </w:pPr>
          </w:p>
        </w:tc>
        <w:tc>
          <w:tcPr>
            <w:tcW w:w="12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107.2</w:t>
            </w:r>
          </w:p>
        </w:tc>
        <w:tc>
          <w:tcPr>
            <w:tcW w:w="84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105.1</w:t>
            </w:r>
          </w:p>
        </w:tc>
      </w:tr>
      <w:tr>
        <w:trPr>
          <w:trHeight w:val="608"/>
        </w:trPr>
        <w:tc>
          <w:tcPr>
            <w:tcW w:w="4220" w:type="dxa"/>
            <w:vAlign w:val="bottom"/>
          </w:tcPr>
          <w:p>
            <w:pPr>
              <w:spacing w:after="0"/>
              <w:rPr>
                <w:sz w:val="20"/>
                <w:szCs w:val="20"/>
                <w:color w:val="auto"/>
              </w:rPr>
            </w:pPr>
            <w:r>
              <w:rPr>
                <w:rFonts w:ascii="Courier New" w:cs="Courier New" w:eastAsia="Courier New" w:hAnsi="Courier New"/>
                <w:sz w:val="18"/>
                <w:szCs w:val="18"/>
                <w:color w:val="auto"/>
              </w:rPr>
              <w:t>Cash dividend declared per share</w:t>
            </w:r>
          </w:p>
        </w:tc>
        <w:tc>
          <w:tcPr>
            <w:tcW w:w="420" w:type="dxa"/>
            <w:vAlign w:val="bottom"/>
          </w:tcPr>
          <w:p>
            <w:pPr>
              <w:spacing w:after="0"/>
              <w:rPr>
                <w:sz w:val="24"/>
                <w:szCs w:val="24"/>
                <w:color w:val="auto"/>
              </w:rPr>
            </w:pPr>
          </w:p>
        </w:tc>
        <w:tc>
          <w:tcPr>
            <w:tcW w:w="12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$0.05</w:t>
            </w:r>
          </w:p>
        </w:tc>
        <w:tc>
          <w:tcPr>
            <w:tcW w:w="8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consolidated financial statements.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3" w:name="page4"/>
    <w:bookmarkEnd w:id="3"/>
    <w:p>
      <w:pPr>
        <w:ind w:left="2740"/>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Consolidated Statements of Operations</w:t>
      </w:r>
    </w:p>
    <w:p>
      <w:pPr>
        <w:ind w:left="1480"/>
        <w:spacing w:after="0" w:line="238" w:lineRule="auto"/>
        <w:rPr>
          <w:sz w:val="20"/>
          <w:szCs w:val="20"/>
          <w:color w:val="auto"/>
        </w:rPr>
      </w:pPr>
      <w:r>
        <w:rPr>
          <w:rFonts w:ascii="Courier New" w:cs="Courier New" w:eastAsia="Courier New" w:hAnsi="Courier New"/>
          <w:sz w:val="18"/>
          <w:szCs w:val="18"/>
          <w:color w:val="auto"/>
        </w:rPr>
        <w:t>(Amounts in millions, except for per share data)</w:t>
      </w:r>
    </w:p>
    <w:p>
      <w:pPr>
        <w:ind w:left="328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March</w:t>
            </w:r>
          </w:p>
        </w:tc>
        <w:tc>
          <w:tcPr>
            <w:tcW w:w="88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2,</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March</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3,</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For the six months ended</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1995</w:t>
            </w:r>
          </w:p>
        </w:tc>
        <w:tc>
          <w:tcPr>
            <w:tcW w:w="8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1994</w:t>
            </w:r>
          </w:p>
        </w:tc>
        <w:tc>
          <w:tcPr>
            <w:tcW w:w="26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2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68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$1,163.5</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710.6</w:t>
            </w:r>
          </w:p>
        </w:tc>
      </w:tr>
      <w:tr>
        <w:trPr>
          <w:trHeight w:val="203"/>
        </w:trPr>
        <w:tc>
          <w:tcPr>
            <w:tcW w:w="4220" w:type="dxa"/>
            <w:vAlign w:val="bottom"/>
          </w:tcPr>
          <w:p>
            <w:pPr>
              <w:spacing w:after="0"/>
              <w:rPr>
                <w:sz w:val="17"/>
                <w:szCs w:val="17"/>
                <w:color w:val="auto"/>
              </w:rPr>
            </w:pPr>
          </w:p>
        </w:tc>
        <w:tc>
          <w:tcPr>
            <w:tcW w:w="16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1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16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492.0</w:t>
            </w:r>
          </w:p>
        </w:tc>
        <w:tc>
          <w:tcPr>
            <w:tcW w:w="84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370.7</w:t>
            </w:r>
          </w:p>
        </w:tc>
      </w:tr>
      <w:tr>
        <w:trPr>
          <w:trHeight w:val="203"/>
        </w:trPr>
        <w:tc>
          <w:tcPr>
            <w:tcW w:w="4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16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77.2</w:t>
            </w:r>
          </w:p>
        </w:tc>
        <w:tc>
          <w:tcPr>
            <w:tcW w:w="84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67.2</w:t>
            </w:r>
          </w:p>
        </w:tc>
      </w:tr>
      <w:tr>
        <w:trPr>
          <w:trHeight w:val="203"/>
        </w:trPr>
        <w:tc>
          <w:tcPr>
            <w:tcW w:w="4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16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55.9</w:t>
            </w:r>
          </w:p>
        </w:tc>
        <w:tc>
          <w:tcPr>
            <w:tcW w:w="84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33.0</w:t>
            </w:r>
          </w:p>
        </w:tc>
      </w:tr>
      <w:tr>
        <w:trPr>
          <w:trHeight w:val="203"/>
        </w:trPr>
        <w:tc>
          <w:tcPr>
            <w:tcW w:w="4220" w:type="dxa"/>
            <w:vAlign w:val="bottom"/>
          </w:tcPr>
          <w:p>
            <w:pPr>
              <w:spacing w:after="0"/>
              <w:rPr>
                <w:sz w:val="17"/>
                <w:szCs w:val="17"/>
                <w:color w:val="auto"/>
              </w:rPr>
            </w:pPr>
          </w:p>
        </w:tc>
        <w:tc>
          <w:tcPr>
            <w:tcW w:w="16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costs and expenses</w:t>
            </w:r>
          </w:p>
        </w:tc>
        <w:tc>
          <w:tcPr>
            <w:tcW w:w="16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625.1</w:t>
            </w:r>
          </w:p>
        </w:tc>
        <w:tc>
          <w:tcPr>
            <w:tcW w:w="84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470.9</w:t>
            </w:r>
          </w:p>
        </w:tc>
      </w:tr>
      <w:tr>
        <w:trPr>
          <w:trHeight w:val="203"/>
        </w:trPr>
        <w:tc>
          <w:tcPr>
            <w:tcW w:w="4220" w:type="dxa"/>
            <w:vAlign w:val="bottom"/>
          </w:tcPr>
          <w:p>
            <w:pPr>
              <w:spacing w:after="0"/>
              <w:rPr>
                <w:sz w:val="17"/>
                <w:szCs w:val="17"/>
                <w:color w:val="auto"/>
              </w:rPr>
            </w:pPr>
          </w:p>
        </w:tc>
        <w:tc>
          <w:tcPr>
            <w:tcW w:w="16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2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168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538.4</w:t>
            </w:r>
          </w:p>
        </w:tc>
        <w:tc>
          <w:tcPr>
            <w:tcW w:w="8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239.7</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income, net</w:t>
            </w:r>
          </w:p>
        </w:tc>
        <w:tc>
          <w:tcPr>
            <w:tcW w:w="16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10.1</w:t>
            </w:r>
          </w:p>
        </w:tc>
        <w:tc>
          <w:tcPr>
            <w:tcW w:w="84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4220" w:type="dxa"/>
            <w:vAlign w:val="bottom"/>
          </w:tcPr>
          <w:p>
            <w:pPr>
              <w:spacing w:after="0"/>
              <w:rPr>
                <w:sz w:val="17"/>
                <w:szCs w:val="17"/>
                <w:color w:val="auto"/>
              </w:rPr>
            </w:pPr>
          </w:p>
        </w:tc>
        <w:tc>
          <w:tcPr>
            <w:tcW w:w="16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 taxes</w:t>
            </w:r>
          </w:p>
        </w:tc>
        <w:tc>
          <w:tcPr>
            <w:tcW w:w="16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548.5</w:t>
            </w:r>
          </w:p>
        </w:tc>
        <w:tc>
          <w:tcPr>
            <w:tcW w:w="84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241.1</w:t>
            </w:r>
          </w:p>
        </w:tc>
      </w:tr>
      <w:tr>
        <w:trPr>
          <w:trHeight w:val="405"/>
        </w:trPr>
        <w:tc>
          <w:tcPr>
            <w:tcW w:w="4220" w:type="dxa"/>
            <w:vAlign w:val="bottom"/>
          </w:tcPr>
          <w:p>
            <w:pPr>
              <w:spacing w:after="0"/>
              <w:rPr>
                <w:sz w:val="20"/>
                <w:szCs w:val="20"/>
                <w:color w:val="auto"/>
              </w:rPr>
            </w:pPr>
            <w:r>
              <w:rPr>
                <w:rFonts w:ascii="Courier New" w:cs="Courier New" w:eastAsia="Courier New" w:hAnsi="Courier New"/>
                <w:sz w:val="18"/>
                <w:szCs w:val="18"/>
                <w:color w:val="auto"/>
              </w:rPr>
              <w:t>Income tax provision</w:t>
            </w:r>
          </w:p>
        </w:tc>
        <w:tc>
          <w:tcPr>
            <w:tcW w:w="168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205.7</w:t>
            </w:r>
          </w:p>
        </w:tc>
        <w:tc>
          <w:tcPr>
            <w:tcW w:w="8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86.8</w:t>
            </w:r>
          </w:p>
        </w:tc>
      </w:tr>
      <w:tr>
        <w:trPr>
          <w:trHeight w:val="203"/>
        </w:trPr>
        <w:tc>
          <w:tcPr>
            <w:tcW w:w="4220" w:type="dxa"/>
            <w:vAlign w:val="bottom"/>
          </w:tcPr>
          <w:p>
            <w:pPr>
              <w:spacing w:after="0"/>
              <w:rPr>
                <w:sz w:val="17"/>
                <w:szCs w:val="17"/>
                <w:color w:val="auto"/>
              </w:rPr>
            </w:pPr>
          </w:p>
        </w:tc>
        <w:tc>
          <w:tcPr>
            <w:tcW w:w="16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6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  342.8</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154.3</w:t>
            </w:r>
          </w:p>
        </w:tc>
      </w:tr>
      <w:tr>
        <w:trPr>
          <w:trHeight w:val="203"/>
        </w:trPr>
        <w:tc>
          <w:tcPr>
            <w:tcW w:w="4220" w:type="dxa"/>
            <w:vAlign w:val="bottom"/>
          </w:tcPr>
          <w:p>
            <w:pPr>
              <w:spacing w:after="0"/>
              <w:rPr>
                <w:sz w:val="17"/>
                <w:szCs w:val="17"/>
                <w:color w:val="auto"/>
              </w:rPr>
            </w:pPr>
          </w:p>
        </w:tc>
        <w:tc>
          <w:tcPr>
            <w:tcW w:w="16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4220" w:type="dxa"/>
            <w:vAlign w:val="bottom"/>
          </w:tcPr>
          <w:p>
            <w:pPr>
              <w:spacing w:after="0"/>
              <w:rPr>
                <w:sz w:val="20"/>
                <w:szCs w:val="20"/>
                <w:color w:val="auto"/>
              </w:rPr>
            </w:pPr>
            <w:r>
              <w:rPr>
                <w:rFonts w:ascii="Courier New" w:cs="Courier New" w:eastAsia="Courier New" w:hAnsi="Courier New"/>
                <w:sz w:val="18"/>
                <w:szCs w:val="18"/>
                <w:color w:val="auto"/>
              </w:rPr>
              <w:t>Earnings per share:</w:t>
            </w:r>
          </w:p>
        </w:tc>
        <w:tc>
          <w:tcPr>
            <w:tcW w:w="1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4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Primary</w:t>
            </w:r>
          </w:p>
        </w:tc>
        <w:tc>
          <w:tcPr>
            <w:tcW w:w="16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$3.24</w:t>
            </w:r>
          </w:p>
        </w:tc>
        <w:tc>
          <w:tcPr>
            <w:tcW w:w="84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$1.49</w:t>
            </w:r>
          </w:p>
        </w:tc>
      </w:tr>
      <w:tr>
        <w:trPr>
          <w:trHeight w:val="203"/>
        </w:trPr>
        <w:tc>
          <w:tcPr>
            <w:tcW w:w="4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Fully diluted</w:t>
            </w:r>
          </w:p>
        </w:tc>
        <w:tc>
          <w:tcPr>
            <w:tcW w:w="16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3.21</w:t>
            </w:r>
          </w:p>
        </w:tc>
        <w:tc>
          <w:tcPr>
            <w:tcW w:w="84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1.48</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used in per share</w:t>
            </w:r>
          </w:p>
        </w:tc>
        <w:tc>
          <w:tcPr>
            <w:tcW w:w="1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calculations:</w:t>
            </w:r>
          </w:p>
        </w:tc>
        <w:tc>
          <w:tcPr>
            <w:tcW w:w="1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Primary</w:t>
            </w:r>
          </w:p>
        </w:tc>
        <w:tc>
          <w:tcPr>
            <w:tcW w:w="16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105.8</w:t>
            </w:r>
          </w:p>
        </w:tc>
        <w:tc>
          <w:tcPr>
            <w:tcW w:w="84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103.7</w:t>
            </w:r>
          </w:p>
        </w:tc>
      </w:tr>
      <w:tr>
        <w:trPr>
          <w:trHeight w:val="203"/>
        </w:trPr>
        <w:tc>
          <w:tcPr>
            <w:tcW w:w="4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Fully diluted</w:t>
            </w:r>
          </w:p>
        </w:tc>
        <w:tc>
          <w:tcPr>
            <w:tcW w:w="16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106.8</w:t>
            </w:r>
          </w:p>
        </w:tc>
        <w:tc>
          <w:tcPr>
            <w:tcW w:w="84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104.5</w:t>
            </w:r>
          </w:p>
        </w:tc>
      </w:tr>
      <w:tr>
        <w:trPr>
          <w:trHeight w:val="608"/>
        </w:trPr>
        <w:tc>
          <w:tcPr>
            <w:tcW w:w="4220" w:type="dxa"/>
            <w:vAlign w:val="bottom"/>
          </w:tcPr>
          <w:p>
            <w:pPr>
              <w:spacing w:after="0"/>
              <w:rPr>
                <w:sz w:val="20"/>
                <w:szCs w:val="20"/>
                <w:color w:val="auto"/>
              </w:rPr>
            </w:pPr>
            <w:r>
              <w:rPr>
                <w:rFonts w:ascii="Courier New" w:cs="Courier New" w:eastAsia="Courier New" w:hAnsi="Courier New"/>
                <w:sz w:val="18"/>
                <w:szCs w:val="18"/>
                <w:color w:val="auto"/>
              </w:rPr>
              <w:t>Cash dividend declared per share</w:t>
            </w:r>
          </w:p>
        </w:tc>
        <w:tc>
          <w:tcPr>
            <w:tcW w:w="168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$0.10</w:t>
            </w:r>
          </w:p>
        </w:tc>
        <w:tc>
          <w:tcPr>
            <w:tcW w:w="8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$0.02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consolidated financial statements.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4" w:name="page5"/>
    <w:bookmarkEnd w:id="4"/>
    <w:p>
      <w:pPr>
        <w:ind w:left="3060"/>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Consolidated Statements of Cash Flows</w:t>
      </w:r>
    </w:p>
    <w:p>
      <w:pPr>
        <w:jc w:val="center"/>
        <w:ind w:right="1879"/>
        <w:spacing w:after="0" w:line="238" w:lineRule="auto"/>
        <w:rPr>
          <w:sz w:val="20"/>
          <w:szCs w:val="20"/>
          <w:color w:val="auto"/>
        </w:rPr>
      </w:pPr>
      <w:r>
        <w:rPr>
          <w:rFonts w:ascii="Courier New" w:cs="Courier New" w:eastAsia="Courier New" w:hAnsi="Courier New"/>
          <w:sz w:val="18"/>
          <w:szCs w:val="18"/>
          <w:color w:val="auto"/>
        </w:rPr>
        <w:t>(Dollars in millions)</w:t>
      </w:r>
    </w:p>
    <w:p>
      <w:pPr>
        <w:jc w:val="center"/>
        <w:ind w:right="1879"/>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March</w:t>
            </w:r>
          </w:p>
        </w:tc>
        <w:tc>
          <w:tcPr>
            <w:tcW w:w="88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2,</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March</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3,</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For the six months ended</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1995</w:t>
            </w:r>
          </w:p>
        </w:tc>
        <w:tc>
          <w:tcPr>
            <w:tcW w:w="8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1994</w:t>
            </w:r>
          </w:p>
        </w:tc>
        <w:tc>
          <w:tcPr>
            <w:tcW w:w="26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2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342.8</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154.3</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Adjustments to reconcile net income to</w:t>
            </w: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cash provided by operating</w:t>
            </w: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activities:</w:t>
            </w: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Depreciation</w:t>
            </w:r>
          </w:p>
        </w:tc>
        <w:tc>
          <w:tcPr>
            <w:tcW w:w="280" w:type="dxa"/>
            <w:vAlign w:val="bottom"/>
          </w:tcPr>
          <w:p>
            <w:pPr>
              <w:spacing w:after="0"/>
              <w:rPr>
                <w:sz w:val="17"/>
                <w:szCs w:val="17"/>
                <w:color w:val="auto"/>
              </w:rPr>
            </w:pPr>
          </w:p>
        </w:tc>
        <w:tc>
          <w:tcPr>
            <w:tcW w:w="13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86.6</w:t>
            </w:r>
          </w:p>
        </w:tc>
        <w:tc>
          <w:tcPr>
            <w:tcW w:w="74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64.7</w:t>
            </w:r>
          </w:p>
        </w:tc>
      </w:tr>
      <w:tr>
        <w:trPr>
          <w:trHeight w:val="203"/>
        </w:trPr>
        <w:tc>
          <w:tcPr>
            <w:tcW w:w="4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Increase in receivables</w:t>
            </w:r>
          </w:p>
        </w:tc>
        <w:tc>
          <w:tcPr>
            <w:tcW w:w="280" w:type="dxa"/>
            <w:vAlign w:val="bottom"/>
          </w:tcPr>
          <w:p>
            <w:pPr>
              <w:spacing w:after="0"/>
              <w:rPr>
                <w:sz w:val="17"/>
                <w:szCs w:val="17"/>
                <w:color w:val="auto"/>
              </w:rPr>
            </w:pPr>
          </w:p>
        </w:tc>
        <w:tc>
          <w:tcPr>
            <w:tcW w:w="13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(30.4)</w:t>
            </w:r>
          </w:p>
        </w:tc>
        <w:tc>
          <w:tcPr>
            <w:tcW w:w="74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(38.2)</w:t>
            </w:r>
          </w:p>
        </w:tc>
      </w:tr>
      <w:tr>
        <w:trPr>
          <w:trHeight w:val="203"/>
        </w:trPr>
        <w:tc>
          <w:tcPr>
            <w:tcW w:w="4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Increase in inventories</w:t>
            </w:r>
          </w:p>
        </w:tc>
        <w:tc>
          <w:tcPr>
            <w:tcW w:w="280" w:type="dxa"/>
            <w:vAlign w:val="bottom"/>
          </w:tcPr>
          <w:p>
            <w:pPr>
              <w:spacing w:after="0"/>
              <w:rPr>
                <w:sz w:val="17"/>
                <w:szCs w:val="17"/>
                <w:color w:val="auto"/>
              </w:rPr>
            </w:pPr>
          </w:p>
        </w:tc>
        <w:tc>
          <w:tcPr>
            <w:tcW w:w="13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(41.7)</w:t>
            </w:r>
          </w:p>
        </w:tc>
        <w:tc>
          <w:tcPr>
            <w:tcW w:w="74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(12.4)</w:t>
            </w:r>
          </w:p>
        </w:tc>
      </w:tr>
      <w:tr>
        <w:trPr>
          <w:trHeight w:val="203"/>
        </w:trPr>
        <w:tc>
          <w:tcPr>
            <w:tcW w:w="4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Increase in accounts payable and</w:t>
            </w: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3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accrued expenses</w:t>
            </w:r>
          </w:p>
        </w:tc>
        <w:tc>
          <w:tcPr>
            <w:tcW w:w="280" w:type="dxa"/>
            <w:vAlign w:val="bottom"/>
          </w:tcPr>
          <w:p>
            <w:pPr>
              <w:spacing w:after="0"/>
              <w:rPr>
                <w:sz w:val="17"/>
                <w:szCs w:val="17"/>
                <w:color w:val="auto"/>
              </w:rPr>
            </w:pPr>
          </w:p>
        </w:tc>
        <w:tc>
          <w:tcPr>
            <w:tcW w:w="13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38.4</w:t>
            </w:r>
          </w:p>
        </w:tc>
        <w:tc>
          <w:tcPr>
            <w:tcW w:w="74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25.0</w:t>
            </w:r>
          </w:p>
        </w:tc>
      </w:tr>
      <w:tr>
        <w:trPr>
          <w:trHeight w:val="203"/>
        </w:trPr>
        <w:tc>
          <w:tcPr>
            <w:tcW w:w="4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w:t>
            </w:r>
          </w:p>
        </w:tc>
        <w:tc>
          <w:tcPr>
            <w:tcW w:w="280" w:type="dxa"/>
            <w:vAlign w:val="bottom"/>
          </w:tcPr>
          <w:p>
            <w:pPr>
              <w:spacing w:after="0"/>
              <w:rPr>
                <w:sz w:val="17"/>
                <w:szCs w:val="17"/>
                <w:color w:val="auto"/>
              </w:rPr>
            </w:pPr>
          </w:p>
        </w:tc>
        <w:tc>
          <w:tcPr>
            <w:tcW w:w="13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16.6</w:t>
            </w:r>
          </w:p>
        </w:tc>
        <w:tc>
          <w:tcPr>
            <w:tcW w:w="74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36.0</w:t>
            </w:r>
          </w:p>
        </w:tc>
      </w:tr>
      <w:tr>
        <w:trPr>
          <w:trHeight w:val="203"/>
        </w:trPr>
        <w:tc>
          <w:tcPr>
            <w:tcW w:w="4320" w:type="dxa"/>
            <w:vAlign w:val="bottom"/>
          </w:tcPr>
          <w:p>
            <w:pPr>
              <w:spacing w:after="0"/>
              <w:rPr>
                <w:sz w:val="17"/>
                <w:szCs w:val="17"/>
                <w:color w:val="auto"/>
              </w:rPr>
            </w:pPr>
          </w:p>
        </w:tc>
        <w:tc>
          <w:tcPr>
            <w:tcW w:w="164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8"/>
              </w:rPr>
              <w:t>Net cash provided by operating activities</w:t>
            </w:r>
          </w:p>
        </w:tc>
        <w:tc>
          <w:tcPr>
            <w:tcW w:w="13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412.3</w:t>
            </w:r>
          </w:p>
        </w:tc>
        <w:tc>
          <w:tcPr>
            <w:tcW w:w="74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229.4</w:t>
            </w:r>
          </w:p>
        </w:tc>
      </w:tr>
      <w:tr>
        <w:trPr>
          <w:trHeight w:val="203"/>
        </w:trPr>
        <w:tc>
          <w:tcPr>
            <w:tcW w:w="4320" w:type="dxa"/>
            <w:vAlign w:val="bottom"/>
          </w:tcPr>
          <w:p>
            <w:pPr>
              <w:spacing w:after="0"/>
              <w:rPr>
                <w:sz w:val="17"/>
                <w:szCs w:val="17"/>
                <w:color w:val="auto"/>
              </w:rPr>
            </w:pPr>
          </w:p>
        </w:tc>
        <w:tc>
          <w:tcPr>
            <w:tcW w:w="164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Purchase of investments</w:t>
            </w:r>
          </w:p>
        </w:tc>
        <w:tc>
          <w:tcPr>
            <w:tcW w:w="280" w:type="dxa"/>
            <w:vAlign w:val="bottom"/>
          </w:tcPr>
          <w:p>
            <w:pPr>
              <w:spacing w:after="0"/>
              <w:rPr>
                <w:sz w:val="17"/>
                <w:szCs w:val="17"/>
                <w:color w:val="auto"/>
              </w:rPr>
            </w:pPr>
          </w:p>
        </w:tc>
        <w:tc>
          <w:tcPr>
            <w:tcW w:w="13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(420.6)</w:t>
            </w:r>
          </w:p>
        </w:tc>
        <w:tc>
          <w:tcPr>
            <w:tcW w:w="74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(109.0)</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Proceeds from sale and maturity of</w:t>
            </w: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investments</w:t>
            </w:r>
          </w:p>
        </w:tc>
        <w:tc>
          <w:tcPr>
            <w:tcW w:w="280" w:type="dxa"/>
            <w:vAlign w:val="bottom"/>
          </w:tcPr>
          <w:p>
            <w:pPr>
              <w:spacing w:after="0"/>
              <w:rPr>
                <w:sz w:val="17"/>
                <w:szCs w:val="17"/>
                <w:color w:val="auto"/>
              </w:rPr>
            </w:pPr>
          </w:p>
        </w:tc>
        <w:tc>
          <w:tcPr>
            <w:tcW w:w="13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281.8</w:t>
            </w:r>
          </w:p>
        </w:tc>
        <w:tc>
          <w:tcPr>
            <w:tcW w:w="74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64.1</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Expenditures for property, plant, and</w:t>
            </w: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equipment</w:t>
            </w:r>
          </w:p>
        </w:tc>
        <w:tc>
          <w:tcPr>
            <w:tcW w:w="280" w:type="dxa"/>
            <w:vAlign w:val="bottom"/>
          </w:tcPr>
          <w:p>
            <w:pPr>
              <w:spacing w:after="0"/>
              <w:rPr>
                <w:sz w:val="17"/>
                <w:szCs w:val="17"/>
                <w:color w:val="auto"/>
              </w:rPr>
            </w:pPr>
          </w:p>
        </w:tc>
        <w:tc>
          <w:tcPr>
            <w:tcW w:w="13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(242.7)</w:t>
            </w:r>
          </w:p>
        </w:tc>
        <w:tc>
          <w:tcPr>
            <w:tcW w:w="74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(106.7)</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280" w:type="dxa"/>
            <w:vAlign w:val="bottom"/>
          </w:tcPr>
          <w:p>
            <w:pPr>
              <w:spacing w:after="0"/>
              <w:rPr>
                <w:sz w:val="17"/>
                <w:szCs w:val="17"/>
                <w:color w:val="auto"/>
              </w:rPr>
            </w:pPr>
          </w:p>
        </w:tc>
        <w:tc>
          <w:tcPr>
            <w:tcW w:w="13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9.2</w:t>
            </w:r>
          </w:p>
        </w:tc>
        <w:tc>
          <w:tcPr>
            <w:tcW w:w="74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w:t>
            </w:r>
          </w:p>
        </w:tc>
      </w:tr>
      <w:tr>
        <w:trPr>
          <w:trHeight w:val="203"/>
        </w:trPr>
        <w:tc>
          <w:tcPr>
            <w:tcW w:w="4320" w:type="dxa"/>
            <w:vAlign w:val="bottom"/>
          </w:tcPr>
          <w:p>
            <w:pPr>
              <w:spacing w:after="0"/>
              <w:rPr>
                <w:sz w:val="17"/>
                <w:szCs w:val="17"/>
                <w:color w:val="auto"/>
              </w:rPr>
            </w:pPr>
          </w:p>
        </w:tc>
        <w:tc>
          <w:tcPr>
            <w:tcW w:w="164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Net cash used for investing activities</w:t>
            </w:r>
          </w:p>
        </w:tc>
        <w:tc>
          <w:tcPr>
            <w:tcW w:w="280" w:type="dxa"/>
            <w:vAlign w:val="bottom"/>
          </w:tcPr>
          <w:p>
            <w:pPr>
              <w:spacing w:after="0"/>
              <w:rPr>
                <w:sz w:val="17"/>
                <w:szCs w:val="17"/>
                <w:color w:val="auto"/>
              </w:rPr>
            </w:pPr>
          </w:p>
        </w:tc>
        <w:tc>
          <w:tcPr>
            <w:tcW w:w="13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(372.3)</w:t>
            </w:r>
          </w:p>
        </w:tc>
        <w:tc>
          <w:tcPr>
            <w:tcW w:w="74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(161.0)</w:t>
            </w:r>
          </w:p>
        </w:tc>
      </w:tr>
      <w:tr>
        <w:trPr>
          <w:trHeight w:val="203"/>
        </w:trPr>
        <w:tc>
          <w:tcPr>
            <w:tcW w:w="4320" w:type="dxa"/>
            <w:vAlign w:val="bottom"/>
          </w:tcPr>
          <w:p>
            <w:pPr>
              <w:spacing w:after="0"/>
              <w:rPr>
                <w:sz w:val="17"/>
                <w:szCs w:val="17"/>
                <w:color w:val="auto"/>
              </w:rPr>
            </w:pPr>
          </w:p>
        </w:tc>
        <w:tc>
          <w:tcPr>
            <w:tcW w:w="164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Payments on equipment purchase contracts</w:t>
            </w:r>
          </w:p>
        </w:tc>
        <w:tc>
          <w:tcPr>
            <w:tcW w:w="280" w:type="dxa"/>
            <w:vAlign w:val="bottom"/>
          </w:tcPr>
          <w:p>
            <w:pPr>
              <w:spacing w:after="0"/>
              <w:rPr>
                <w:sz w:val="17"/>
                <w:szCs w:val="17"/>
                <w:color w:val="auto"/>
              </w:rPr>
            </w:pPr>
          </w:p>
        </w:tc>
        <w:tc>
          <w:tcPr>
            <w:tcW w:w="13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(71.1)</w:t>
            </w:r>
          </w:p>
        </w:tc>
        <w:tc>
          <w:tcPr>
            <w:tcW w:w="74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(62.5)</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Repayments of debt</w:t>
            </w:r>
          </w:p>
        </w:tc>
        <w:tc>
          <w:tcPr>
            <w:tcW w:w="280" w:type="dxa"/>
            <w:vAlign w:val="bottom"/>
          </w:tcPr>
          <w:p>
            <w:pPr>
              <w:spacing w:after="0"/>
              <w:rPr>
                <w:sz w:val="17"/>
                <w:szCs w:val="17"/>
                <w:color w:val="auto"/>
              </w:rPr>
            </w:pPr>
          </w:p>
        </w:tc>
        <w:tc>
          <w:tcPr>
            <w:tcW w:w="13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(21.0)</w:t>
            </w:r>
          </w:p>
        </w:tc>
        <w:tc>
          <w:tcPr>
            <w:tcW w:w="74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(37.5)</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Proceeds from issuance of debt</w:t>
            </w:r>
          </w:p>
        </w:tc>
        <w:tc>
          <w:tcPr>
            <w:tcW w:w="280" w:type="dxa"/>
            <w:vAlign w:val="bottom"/>
          </w:tcPr>
          <w:p>
            <w:pPr>
              <w:spacing w:after="0"/>
              <w:rPr>
                <w:sz w:val="17"/>
                <w:szCs w:val="17"/>
                <w:color w:val="auto"/>
              </w:rPr>
            </w:pPr>
          </w:p>
        </w:tc>
        <w:tc>
          <w:tcPr>
            <w:tcW w:w="13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59.7</w:t>
            </w:r>
          </w:p>
        </w:tc>
        <w:tc>
          <w:tcPr>
            <w:tcW w:w="74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20.3</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Proceeds from issuance of common stock</w:t>
            </w:r>
          </w:p>
        </w:tc>
        <w:tc>
          <w:tcPr>
            <w:tcW w:w="280" w:type="dxa"/>
            <w:vAlign w:val="bottom"/>
          </w:tcPr>
          <w:p>
            <w:pPr>
              <w:spacing w:after="0"/>
              <w:rPr>
                <w:sz w:val="17"/>
                <w:szCs w:val="17"/>
                <w:color w:val="auto"/>
              </w:rPr>
            </w:pPr>
          </w:p>
        </w:tc>
        <w:tc>
          <w:tcPr>
            <w:tcW w:w="13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8.6</w:t>
            </w:r>
          </w:p>
        </w:tc>
        <w:tc>
          <w:tcPr>
            <w:tcW w:w="74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Payment of dividends</w:t>
            </w:r>
          </w:p>
        </w:tc>
        <w:tc>
          <w:tcPr>
            <w:tcW w:w="280" w:type="dxa"/>
            <w:vAlign w:val="bottom"/>
          </w:tcPr>
          <w:p>
            <w:pPr>
              <w:spacing w:after="0"/>
              <w:rPr>
                <w:sz w:val="17"/>
                <w:szCs w:val="17"/>
                <w:color w:val="auto"/>
              </w:rPr>
            </w:pPr>
          </w:p>
        </w:tc>
        <w:tc>
          <w:tcPr>
            <w:tcW w:w="13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(10.2)</w:t>
            </w:r>
          </w:p>
        </w:tc>
        <w:tc>
          <w:tcPr>
            <w:tcW w:w="74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280" w:type="dxa"/>
            <w:vAlign w:val="bottom"/>
          </w:tcPr>
          <w:p>
            <w:pPr>
              <w:spacing w:after="0"/>
              <w:rPr>
                <w:sz w:val="17"/>
                <w:szCs w:val="17"/>
                <w:color w:val="auto"/>
              </w:rPr>
            </w:pPr>
          </w:p>
        </w:tc>
        <w:tc>
          <w:tcPr>
            <w:tcW w:w="13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(2.9)</w:t>
            </w:r>
          </w:p>
        </w:tc>
        <w:tc>
          <w:tcPr>
            <w:tcW w:w="74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w:t>
            </w:r>
          </w:p>
        </w:tc>
      </w:tr>
      <w:tr>
        <w:trPr>
          <w:trHeight w:val="203"/>
        </w:trPr>
        <w:tc>
          <w:tcPr>
            <w:tcW w:w="4320" w:type="dxa"/>
            <w:vAlign w:val="bottom"/>
          </w:tcPr>
          <w:p>
            <w:pPr>
              <w:spacing w:after="0"/>
              <w:rPr>
                <w:sz w:val="17"/>
                <w:szCs w:val="17"/>
                <w:color w:val="auto"/>
              </w:rPr>
            </w:pPr>
          </w:p>
        </w:tc>
        <w:tc>
          <w:tcPr>
            <w:tcW w:w="164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Net cash used for financing activities</w:t>
            </w:r>
          </w:p>
        </w:tc>
        <w:tc>
          <w:tcPr>
            <w:tcW w:w="280" w:type="dxa"/>
            <w:vAlign w:val="bottom"/>
          </w:tcPr>
          <w:p>
            <w:pPr>
              <w:spacing w:after="0"/>
              <w:rPr>
                <w:sz w:val="17"/>
                <w:szCs w:val="17"/>
                <w:color w:val="auto"/>
              </w:rPr>
            </w:pPr>
          </w:p>
        </w:tc>
        <w:tc>
          <w:tcPr>
            <w:tcW w:w="13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(36.9)</w:t>
            </w:r>
          </w:p>
        </w:tc>
        <w:tc>
          <w:tcPr>
            <w:tcW w:w="74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(75.1)</w:t>
            </w:r>
          </w:p>
        </w:tc>
      </w:tr>
      <w:tr>
        <w:trPr>
          <w:trHeight w:val="203"/>
        </w:trPr>
        <w:tc>
          <w:tcPr>
            <w:tcW w:w="4320" w:type="dxa"/>
            <w:vAlign w:val="bottom"/>
          </w:tcPr>
          <w:p>
            <w:pPr>
              <w:spacing w:after="0"/>
              <w:rPr>
                <w:sz w:val="17"/>
                <w:szCs w:val="17"/>
                <w:color w:val="auto"/>
              </w:rPr>
            </w:pPr>
          </w:p>
        </w:tc>
        <w:tc>
          <w:tcPr>
            <w:tcW w:w="164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Net increase (decrease) in cash and</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equivalents</w:t>
            </w:r>
          </w:p>
        </w:tc>
        <w:tc>
          <w:tcPr>
            <w:tcW w:w="280" w:type="dxa"/>
            <w:vAlign w:val="bottom"/>
          </w:tcPr>
          <w:p>
            <w:pPr>
              <w:spacing w:after="0"/>
              <w:rPr>
                <w:sz w:val="17"/>
                <w:szCs w:val="17"/>
                <w:color w:val="auto"/>
              </w:rPr>
            </w:pPr>
          </w:p>
        </w:tc>
        <w:tc>
          <w:tcPr>
            <w:tcW w:w="13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3.1</w:t>
            </w:r>
          </w:p>
        </w:tc>
        <w:tc>
          <w:tcPr>
            <w:tcW w:w="74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equivalents at beginning of</w:t>
            </w: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period</w:t>
            </w:r>
          </w:p>
        </w:tc>
        <w:tc>
          <w:tcPr>
            <w:tcW w:w="280" w:type="dxa"/>
            <w:vAlign w:val="bottom"/>
          </w:tcPr>
          <w:p>
            <w:pPr>
              <w:spacing w:after="0"/>
              <w:rPr>
                <w:sz w:val="17"/>
                <w:szCs w:val="17"/>
                <w:color w:val="auto"/>
              </w:rPr>
            </w:pPr>
          </w:p>
        </w:tc>
        <w:tc>
          <w:tcPr>
            <w:tcW w:w="13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78.4</w:t>
            </w:r>
          </w:p>
        </w:tc>
        <w:tc>
          <w:tcPr>
            <w:tcW w:w="74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47.5</w:t>
            </w:r>
          </w:p>
        </w:tc>
      </w:tr>
      <w:tr>
        <w:trPr>
          <w:trHeight w:val="203"/>
        </w:trPr>
        <w:tc>
          <w:tcPr>
            <w:tcW w:w="4320" w:type="dxa"/>
            <w:vAlign w:val="bottom"/>
          </w:tcPr>
          <w:p>
            <w:pPr>
              <w:spacing w:after="0"/>
              <w:rPr>
                <w:sz w:val="17"/>
                <w:szCs w:val="17"/>
                <w:color w:val="auto"/>
              </w:rPr>
            </w:pPr>
          </w:p>
        </w:tc>
        <w:tc>
          <w:tcPr>
            <w:tcW w:w="164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equivalents at end of period</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81.5</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40.8</w:t>
            </w:r>
          </w:p>
        </w:tc>
      </w:tr>
      <w:tr>
        <w:trPr>
          <w:trHeight w:val="203"/>
        </w:trPr>
        <w:tc>
          <w:tcPr>
            <w:tcW w:w="4320" w:type="dxa"/>
            <w:vAlign w:val="bottom"/>
          </w:tcPr>
          <w:p>
            <w:pPr>
              <w:spacing w:after="0"/>
              <w:rPr>
                <w:sz w:val="17"/>
                <w:szCs w:val="17"/>
                <w:color w:val="auto"/>
              </w:rPr>
            </w:pPr>
          </w:p>
        </w:tc>
        <w:tc>
          <w:tcPr>
            <w:tcW w:w="164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Supplemental disclosures</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 paid, net</w:t>
            </w:r>
          </w:p>
        </w:tc>
        <w:tc>
          <w:tcPr>
            <w:tcW w:w="16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 (214.8)</w:t>
            </w:r>
          </w:p>
        </w:tc>
        <w:tc>
          <w:tcPr>
            <w:tcW w:w="1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(109.8)</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paid</w:t>
            </w:r>
          </w:p>
        </w:tc>
        <w:tc>
          <w:tcPr>
            <w:tcW w:w="280" w:type="dxa"/>
            <w:vAlign w:val="bottom"/>
          </w:tcPr>
          <w:p>
            <w:pPr>
              <w:spacing w:after="0"/>
              <w:rPr>
                <w:sz w:val="17"/>
                <w:szCs w:val="17"/>
                <w:color w:val="auto"/>
              </w:rPr>
            </w:pPr>
          </w:p>
        </w:tc>
        <w:tc>
          <w:tcPr>
            <w:tcW w:w="13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(4.5)</w:t>
            </w:r>
          </w:p>
        </w:tc>
        <w:tc>
          <w:tcPr>
            <w:tcW w:w="74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w:t>
            </w:r>
          </w:p>
        </w:tc>
      </w:tr>
      <w:tr>
        <w:trPr>
          <w:trHeight w:val="203"/>
        </w:trPr>
        <w:tc>
          <w:tcPr>
            <w:tcW w:w="46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Noncash investing and financing activities:</w:t>
            </w:r>
          </w:p>
        </w:tc>
        <w:tc>
          <w:tcPr>
            <w:tcW w:w="1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Equipment acquisitions on contracts</w:t>
            </w: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payable and capital leases</w:t>
            </w:r>
          </w:p>
        </w:tc>
        <w:tc>
          <w:tcPr>
            <w:tcW w:w="280" w:type="dxa"/>
            <w:vAlign w:val="bottom"/>
          </w:tcPr>
          <w:p>
            <w:pPr>
              <w:spacing w:after="0"/>
              <w:rPr>
                <w:sz w:val="17"/>
                <w:szCs w:val="17"/>
                <w:color w:val="auto"/>
              </w:rPr>
            </w:pPr>
          </w:p>
        </w:tc>
        <w:tc>
          <w:tcPr>
            <w:tcW w:w="13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62.8</w:t>
            </w:r>
          </w:p>
        </w:tc>
        <w:tc>
          <w:tcPr>
            <w:tcW w:w="74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consolidated financial statements.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564" w:gutter="0" w:footer="0" w:header="0"/>
        </w:sectPr>
      </w:pPr>
    </w:p>
    <w:bookmarkStart w:id="5" w:name="page6"/>
    <w:bookmarkEnd w:id="5"/>
    <w:p>
      <w:pPr>
        <w:ind w:left="1160" w:right="3679" w:firstLine="527"/>
        <w:spacing w:after="0" w:line="290" w:lineRule="auto"/>
        <w:rPr>
          <w:sz w:val="20"/>
          <w:szCs w:val="20"/>
          <w:color w:val="auto"/>
        </w:rPr>
      </w:pPr>
      <w:r>
        <w:rPr>
          <w:rFonts w:ascii="Courier New" w:cs="Courier New" w:eastAsia="Courier New" w:hAnsi="Courier New"/>
          <w:sz w:val="16"/>
          <w:szCs w:val="16"/>
          <w:color w:val="auto"/>
        </w:rPr>
        <w:t>Notes to Consolidated Financial Statements (All tabular dollar amounts are stated in millions)</w:t>
      </w:r>
    </w:p>
    <w:p>
      <w:pPr>
        <w:spacing w:after="0" w:line="367"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Unaudited Interim Financial Statements</w:t>
      </w:r>
    </w:p>
    <w:p>
      <w:pPr>
        <w:spacing w:after="0" w:line="207" w:lineRule="exact"/>
        <w:rPr>
          <w:sz w:val="20"/>
          <w:szCs w:val="20"/>
          <w:color w:val="auto"/>
        </w:rPr>
      </w:pPr>
    </w:p>
    <w:p>
      <w:pPr>
        <w:ind w:right="2419" w:firstLine="421"/>
        <w:spacing w:after="0" w:line="237" w:lineRule="auto"/>
        <w:rPr>
          <w:sz w:val="20"/>
          <w:szCs w:val="20"/>
          <w:color w:val="auto"/>
        </w:rPr>
      </w:pPr>
      <w:r>
        <w:rPr>
          <w:rFonts w:ascii="Courier New" w:cs="Courier New" w:eastAsia="Courier New" w:hAnsi="Courier New"/>
          <w:sz w:val="18"/>
          <w:szCs w:val="18"/>
          <w:color w:val="auto"/>
        </w:rPr>
        <w:t>In the opinion of management, the accompanying unaudited consolidated financial statements contain all adjustments necessary to present fairly the consolidated financial position of Micron Technology, Inc., and subsidiaries (the "Company"), and their consolidated results of operations and cash flows. During the second quarter of fiscal 1995, the Company changed its estimate of the effective income tax rate for fiscal 1995 to 37.5% from 36.0%.</w:t>
      </w:r>
    </w:p>
    <w:p>
      <w:pPr>
        <w:spacing w:after="0" w:line="211" w:lineRule="exact"/>
        <w:rPr>
          <w:sz w:val="20"/>
          <w:szCs w:val="20"/>
          <w:color w:val="auto"/>
        </w:rPr>
      </w:pPr>
    </w:p>
    <w:p>
      <w:pPr>
        <w:ind w:right="2419" w:firstLine="421"/>
        <w:spacing w:after="0" w:line="236" w:lineRule="auto"/>
        <w:rPr>
          <w:sz w:val="20"/>
          <w:szCs w:val="20"/>
          <w:color w:val="auto"/>
        </w:rPr>
      </w:pPr>
      <w:r>
        <w:rPr>
          <w:rFonts w:ascii="Courier New" w:cs="Courier New" w:eastAsia="Courier New" w:hAnsi="Courier New"/>
          <w:sz w:val="18"/>
          <w:szCs w:val="18"/>
          <w:color w:val="auto"/>
        </w:rPr>
        <w:t>This report on Form 10-Q for the quarter and six months ended March 2, 1995, should be read in conjunction with the Company's Annual Report to Shareholders and/or Form 10-K for the year ended September 1, 1994.</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20" w:type="dxa"/>
            <w:vAlign w:val="bottom"/>
          </w:tcPr>
          <w:p>
            <w:pPr>
              <w:spacing w:after="0"/>
              <w:rPr>
                <w:sz w:val="20"/>
                <w:szCs w:val="20"/>
                <w:color w:val="auto"/>
              </w:rPr>
            </w:pPr>
            <w:r>
              <w:rPr>
                <w:rFonts w:ascii="Courier New" w:cs="Courier New" w:eastAsia="Courier New" w:hAnsi="Courier New"/>
                <w:sz w:val="18"/>
                <w:szCs w:val="18"/>
                <w:color w:val="auto"/>
              </w:rPr>
              <w:t>2.  Receivables</w:t>
            </w:r>
          </w:p>
        </w:tc>
        <w:tc>
          <w:tcPr>
            <w:tcW w:w="2000" w:type="dxa"/>
            <w:vAlign w:val="bottom"/>
          </w:tcPr>
          <w:p>
            <w:pPr>
              <w:jc w:val="right"/>
              <w:spacing w:after="0"/>
              <w:rPr>
                <w:sz w:val="20"/>
                <w:szCs w:val="20"/>
                <w:color w:val="auto"/>
              </w:rPr>
            </w:pPr>
            <w:r>
              <w:rPr>
                <w:rFonts w:ascii="Courier New" w:cs="Courier New" w:eastAsia="Courier New" w:hAnsi="Courier New"/>
                <w:sz w:val="18"/>
                <w:szCs w:val="18"/>
                <w:color w:val="auto"/>
              </w:rPr>
              <w:t>March</w:t>
            </w:r>
          </w:p>
        </w:tc>
        <w:tc>
          <w:tcPr>
            <w:tcW w:w="6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w:t>
            </w:r>
          </w:p>
        </w:tc>
        <w:tc>
          <w:tcPr>
            <w:tcW w:w="1680" w:type="dxa"/>
            <w:vAlign w:val="bottom"/>
          </w:tcPr>
          <w:p>
            <w:pPr>
              <w:jc w:val="center"/>
              <w:ind w:left="332"/>
              <w:spacing w:after="0"/>
              <w:rPr>
                <w:sz w:val="20"/>
                <w:szCs w:val="20"/>
                <w:color w:val="auto"/>
              </w:rPr>
            </w:pPr>
            <w:r>
              <w:rPr>
                <w:rFonts w:ascii="Courier New" w:cs="Courier New" w:eastAsia="Courier New" w:hAnsi="Courier New"/>
                <w:sz w:val="18"/>
                <w:szCs w:val="18"/>
                <w:color w:val="auto"/>
                <w:w w:val="97"/>
              </w:rPr>
              <w:t>September 1,</w:t>
            </w:r>
          </w:p>
        </w:tc>
      </w:tr>
      <w:tr>
        <w:trPr>
          <w:trHeight w:val="203"/>
        </w:trPr>
        <w:tc>
          <w:tcPr>
            <w:tcW w:w="3020" w:type="dxa"/>
            <w:vAlign w:val="bottom"/>
          </w:tcPr>
          <w:p>
            <w:pPr>
              <w:spacing w:after="0"/>
              <w:rPr>
                <w:sz w:val="17"/>
                <w:szCs w:val="17"/>
                <w:color w:val="auto"/>
              </w:rPr>
            </w:pP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1995</w:t>
            </w:r>
          </w:p>
        </w:tc>
        <w:tc>
          <w:tcPr>
            <w:tcW w:w="680" w:type="dxa"/>
            <w:vAlign w:val="bottom"/>
          </w:tcPr>
          <w:p>
            <w:pPr>
              <w:spacing w:after="0"/>
              <w:rPr>
                <w:sz w:val="17"/>
                <w:szCs w:val="17"/>
                <w:color w:val="auto"/>
              </w:rPr>
            </w:pP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1994</w:t>
            </w:r>
          </w:p>
        </w:tc>
      </w:tr>
    </w:tbl>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80" w:type="dxa"/>
            <w:vAlign w:val="bottom"/>
          </w:tcPr>
          <w:p>
            <w:pPr>
              <w:ind w:left="420"/>
              <w:spacing w:after="0"/>
              <w:rPr>
                <w:sz w:val="20"/>
                <w:szCs w:val="20"/>
                <w:color w:val="auto"/>
              </w:rPr>
            </w:pPr>
            <w:r>
              <w:rPr>
                <w:rFonts w:ascii="Courier New" w:cs="Courier New" w:eastAsia="Courier New" w:hAnsi="Courier New"/>
                <w:sz w:val="18"/>
                <w:szCs w:val="18"/>
                <w:color w:val="auto"/>
              </w:rPr>
              <w:t>Trade receivables</w:t>
            </w:r>
          </w:p>
        </w:tc>
        <w:tc>
          <w:tcPr>
            <w:tcW w:w="260" w:type="dxa"/>
            <w:vAlign w:val="bottom"/>
          </w:tcPr>
          <w:p>
            <w:pPr>
              <w:ind w:left="160"/>
              <w:spacing w:after="0"/>
              <w:rPr>
                <w:sz w:val="20"/>
                <w:szCs w:val="20"/>
                <w:color w:val="auto"/>
              </w:rPr>
            </w:pPr>
            <w:r>
              <w:rPr>
                <w:rFonts w:ascii="Courier New" w:cs="Courier New" w:eastAsia="Courier New" w:hAnsi="Courier New"/>
                <w:sz w:val="18"/>
                <w:szCs w:val="18"/>
                <w:color w:val="auto"/>
                <w:w w:val="73"/>
              </w:rPr>
              <w:t>$</w:t>
            </w:r>
          </w:p>
        </w:tc>
        <w:tc>
          <w:tcPr>
            <w:tcW w:w="12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265.5</w:t>
            </w:r>
          </w:p>
        </w:tc>
        <w:tc>
          <w:tcPr>
            <w:tcW w:w="1000" w:type="dxa"/>
            <w:vAlign w:val="bottom"/>
          </w:tcPr>
          <w:p>
            <w:pPr>
              <w:ind w:left="800"/>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227.6</w:t>
            </w:r>
          </w:p>
        </w:tc>
      </w:tr>
      <w:tr>
        <w:trPr>
          <w:trHeight w:val="203"/>
        </w:trPr>
        <w:tc>
          <w:tcPr>
            <w:tcW w:w="4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w:t>
            </w:r>
          </w:p>
        </w:tc>
        <w:tc>
          <w:tcPr>
            <w:tcW w:w="26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9.7</w:t>
            </w:r>
          </w:p>
        </w:tc>
        <w:tc>
          <w:tcPr>
            <w:tcW w:w="10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15.9</w:t>
            </w:r>
          </w:p>
        </w:tc>
      </w:tr>
      <w:tr>
        <w:trPr>
          <w:trHeight w:val="203"/>
        </w:trPr>
        <w:tc>
          <w:tcPr>
            <w:tcW w:w="4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Allowance for returns and discounts</w:t>
            </w:r>
          </w:p>
        </w:tc>
        <w:tc>
          <w:tcPr>
            <w:tcW w:w="26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(5.9)</w:t>
            </w:r>
          </w:p>
        </w:tc>
        <w:tc>
          <w:tcPr>
            <w:tcW w:w="10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w:t>
            </w:r>
          </w:p>
        </w:tc>
      </w:tr>
      <w:tr>
        <w:trPr>
          <w:trHeight w:val="203"/>
        </w:trPr>
        <w:tc>
          <w:tcPr>
            <w:tcW w:w="4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Allowance for doubtful accounts</w:t>
            </w:r>
          </w:p>
        </w:tc>
        <w:tc>
          <w:tcPr>
            <w:tcW w:w="26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(3.2)</w:t>
            </w:r>
          </w:p>
        </w:tc>
        <w:tc>
          <w:tcPr>
            <w:tcW w:w="10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w:t>
            </w:r>
          </w:p>
        </w:tc>
      </w:tr>
      <w:tr>
        <w:trPr>
          <w:trHeight w:val="203"/>
        </w:trPr>
        <w:tc>
          <w:tcPr>
            <w:tcW w:w="4280" w:type="dxa"/>
            <w:vAlign w:val="bottom"/>
          </w:tcPr>
          <w:p>
            <w:pPr>
              <w:spacing w:after="0"/>
              <w:rPr>
                <w:sz w:val="17"/>
                <w:szCs w:val="17"/>
                <w:color w:val="auto"/>
              </w:rPr>
            </w:pPr>
          </w:p>
        </w:tc>
        <w:tc>
          <w:tcPr>
            <w:tcW w:w="146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spacing w:after="0"/>
              <w:rPr>
                <w:sz w:val="17"/>
                <w:szCs w:val="17"/>
                <w:color w:val="auto"/>
              </w:rPr>
            </w:pP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266.1</w:t>
            </w:r>
          </w:p>
        </w:tc>
        <w:tc>
          <w:tcPr>
            <w:tcW w:w="100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235.7</w:t>
            </w:r>
          </w:p>
        </w:tc>
      </w:tr>
      <w:tr>
        <w:trPr>
          <w:trHeight w:val="203"/>
        </w:trPr>
        <w:tc>
          <w:tcPr>
            <w:tcW w:w="4280" w:type="dxa"/>
            <w:vAlign w:val="bottom"/>
          </w:tcPr>
          <w:p>
            <w:pPr>
              <w:spacing w:after="0"/>
              <w:rPr>
                <w:sz w:val="17"/>
                <w:szCs w:val="17"/>
                <w:color w:val="auto"/>
              </w:rPr>
            </w:pPr>
          </w:p>
        </w:tc>
        <w:tc>
          <w:tcPr>
            <w:tcW w:w="146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4280" w:type="dxa"/>
            <w:vAlign w:val="bottom"/>
          </w:tcPr>
          <w:p>
            <w:pPr>
              <w:spacing w:after="0"/>
              <w:rPr>
                <w:sz w:val="20"/>
                <w:szCs w:val="20"/>
                <w:color w:val="auto"/>
              </w:rPr>
            </w:pPr>
            <w:r>
              <w:rPr>
                <w:rFonts w:ascii="Courier New" w:cs="Courier New" w:eastAsia="Courier New" w:hAnsi="Courier New"/>
                <w:sz w:val="18"/>
                <w:szCs w:val="18"/>
                <w:color w:val="auto"/>
              </w:rPr>
              <w:t>3.  Inventories</w:t>
            </w:r>
          </w:p>
        </w:tc>
        <w:tc>
          <w:tcPr>
            <w:tcW w:w="146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March 2,</w:t>
            </w:r>
          </w:p>
        </w:tc>
        <w:tc>
          <w:tcPr>
            <w:tcW w:w="17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September 1,</w:t>
            </w:r>
          </w:p>
        </w:tc>
      </w:tr>
      <w:tr>
        <w:trPr>
          <w:trHeight w:val="203"/>
        </w:trPr>
        <w:tc>
          <w:tcPr>
            <w:tcW w:w="4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w w:val="92"/>
              </w:rPr>
              <w:t>1995</w:t>
            </w:r>
          </w:p>
        </w:tc>
        <w:tc>
          <w:tcPr>
            <w:tcW w:w="174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1994</w:t>
            </w:r>
          </w:p>
        </w:tc>
      </w:tr>
    </w:tbl>
    <w:p>
      <w:pPr>
        <w:spacing w:after="0" w:line="238" w:lineRule="auto"/>
        <w:rPr>
          <w:sz w:val="20"/>
          <w:szCs w:val="20"/>
          <w:color w:val="auto"/>
        </w:rPr>
      </w:pPr>
      <w:r>
        <w:rPr>
          <w:rFonts w:ascii="Courier New" w:cs="Courier New" w:eastAsia="Courier New" w:hAnsi="Courier New"/>
          <w:sz w:val="18"/>
          <w:szCs w:val="18"/>
          <w:color w:val="auto"/>
        </w:rPr>
        <w:t>- ----------------------------------------------------------------------</w:t>
      </w:r>
    </w:p>
    <w:tbl>
      <w:tblPr>
        <w:tblLayout w:type="fixed"/>
        <w:tblInd w:w="0" w:type="dxa"/>
        <w:tblCellMar>
          <w:top w:w="0" w:type="dxa"/>
          <w:left w:w="0" w:type="dxa"/>
          <w:bottom w:w="0" w:type="dxa"/>
          <w:right w:w="0" w:type="dxa"/>
        </w:tblCellMar>
      </w:tblPr>
      <w:tr>
        <w:trPr>
          <w:trHeight w:val="203"/>
        </w:trPr>
        <w:tc>
          <w:tcPr>
            <w:tcW w:w="4280" w:type="dxa"/>
            <w:vAlign w:val="bottom"/>
          </w:tcPr>
          <w:p>
            <w:pPr>
              <w:ind w:left="420"/>
              <w:spacing w:after="0"/>
              <w:rPr>
                <w:sz w:val="20"/>
                <w:szCs w:val="20"/>
                <w:color w:val="auto"/>
              </w:rPr>
            </w:pPr>
            <w:r>
              <w:rPr>
                <w:rFonts w:ascii="Courier New" w:cs="Courier New" w:eastAsia="Courier New" w:hAnsi="Courier New"/>
                <w:sz w:val="18"/>
                <w:szCs w:val="18"/>
                <w:color w:val="auto"/>
              </w:rPr>
              <w:t>Finished goods</w:t>
            </w:r>
          </w:p>
        </w:tc>
        <w:tc>
          <w:tcPr>
            <w:tcW w:w="260" w:type="dxa"/>
            <w:vAlign w:val="bottom"/>
          </w:tcPr>
          <w:p>
            <w:pPr>
              <w:ind w:left="160"/>
              <w:spacing w:after="0"/>
              <w:rPr>
                <w:sz w:val="20"/>
                <w:szCs w:val="20"/>
                <w:color w:val="auto"/>
              </w:rPr>
            </w:pPr>
            <w:r>
              <w:rPr>
                <w:rFonts w:ascii="Courier New" w:cs="Courier New" w:eastAsia="Courier New" w:hAnsi="Courier New"/>
                <w:sz w:val="18"/>
                <w:szCs w:val="18"/>
                <w:color w:val="auto"/>
                <w:w w:val="73"/>
              </w:rPr>
              <w:t>$</w:t>
            </w:r>
          </w:p>
        </w:tc>
        <w:tc>
          <w:tcPr>
            <w:tcW w:w="11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3.8</w:t>
            </w:r>
          </w:p>
        </w:tc>
        <w:tc>
          <w:tcPr>
            <w:tcW w:w="12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5.2</w:t>
            </w:r>
          </w:p>
        </w:tc>
      </w:tr>
      <w:tr>
        <w:trPr>
          <w:trHeight w:val="203"/>
        </w:trPr>
        <w:tc>
          <w:tcPr>
            <w:tcW w:w="4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Work in progress</w:t>
            </w:r>
          </w:p>
        </w:tc>
        <w:tc>
          <w:tcPr>
            <w:tcW w:w="26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78.8</w:t>
            </w:r>
          </w:p>
        </w:tc>
        <w:tc>
          <w:tcPr>
            <w:tcW w:w="122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64.2</w:t>
            </w:r>
          </w:p>
        </w:tc>
      </w:tr>
      <w:tr>
        <w:trPr>
          <w:trHeight w:val="203"/>
        </w:trPr>
        <w:tc>
          <w:tcPr>
            <w:tcW w:w="4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Raw materials and supplies</w:t>
            </w:r>
          </w:p>
        </w:tc>
        <w:tc>
          <w:tcPr>
            <w:tcW w:w="26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60.2</w:t>
            </w:r>
          </w:p>
        </w:tc>
        <w:tc>
          <w:tcPr>
            <w:tcW w:w="122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31.7</w:t>
            </w:r>
          </w:p>
        </w:tc>
      </w:tr>
      <w:tr>
        <w:trPr>
          <w:trHeight w:val="203"/>
        </w:trPr>
        <w:tc>
          <w:tcPr>
            <w:tcW w:w="4280" w:type="dxa"/>
            <w:vAlign w:val="bottom"/>
          </w:tcPr>
          <w:p>
            <w:pPr>
              <w:spacing w:after="0"/>
              <w:rPr>
                <w:sz w:val="17"/>
                <w:szCs w:val="17"/>
                <w:color w:val="auto"/>
              </w:rPr>
            </w:pPr>
          </w:p>
        </w:tc>
        <w:tc>
          <w:tcPr>
            <w:tcW w:w="13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spacing w:after="0"/>
              <w:rPr>
                <w:sz w:val="17"/>
                <w:szCs w:val="17"/>
                <w:color w:val="auto"/>
              </w:rPr>
            </w:pP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142.8</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101.1</w:t>
            </w:r>
          </w:p>
        </w:tc>
      </w:tr>
      <w:tr>
        <w:trPr>
          <w:trHeight w:val="203"/>
        </w:trPr>
        <w:tc>
          <w:tcPr>
            <w:tcW w:w="4280" w:type="dxa"/>
            <w:vAlign w:val="bottom"/>
          </w:tcPr>
          <w:p>
            <w:pPr>
              <w:spacing w:after="0"/>
              <w:rPr>
                <w:sz w:val="17"/>
                <w:szCs w:val="17"/>
                <w:color w:val="auto"/>
              </w:rPr>
            </w:pPr>
          </w:p>
        </w:tc>
        <w:tc>
          <w:tcPr>
            <w:tcW w:w="13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4280" w:type="dxa"/>
            <w:vAlign w:val="bottom"/>
          </w:tcPr>
          <w:p>
            <w:pPr>
              <w:spacing w:after="0"/>
              <w:rPr>
                <w:sz w:val="20"/>
                <w:szCs w:val="20"/>
                <w:color w:val="auto"/>
              </w:rPr>
            </w:pPr>
            <w:r>
              <w:rPr>
                <w:rFonts w:ascii="Courier New" w:cs="Courier New" w:eastAsia="Courier New" w:hAnsi="Courier New"/>
                <w:sz w:val="18"/>
                <w:szCs w:val="18"/>
                <w:color w:val="auto"/>
              </w:rPr>
              <w:t>4.  Product and process technology, net</w:t>
            </w:r>
          </w:p>
        </w:tc>
        <w:tc>
          <w:tcPr>
            <w:tcW w:w="136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March 2,</w:t>
            </w:r>
          </w:p>
        </w:tc>
        <w:tc>
          <w:tcPr>
            <w:tcW w:w="17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September 1,</w:t>
            </w:r>
          </w:p>
        </w:tc>
      </w:tr>
      <w:tr>
        <w:trPr>
          <w:trHeight w:val="203"/>
        </w:trPr>
        <w:tc>
          <w:tcPr>
            <w:tcW w:w="4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2"/>
              </w:rPr>
              <w:t>1995</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1994</w:t>
            </w:r>
          </w:p>
        </w:tc>
        <w:tc>
          <w:tcPr>
            <w:tcW w:w="520" w:type="dxa"/>
            <w:vAlign w:val="bottom"/>
          </w:tcPr>
          <w:p>
            <w:pPr>
              <w:spacing w:after="0"/>
              <w:rPr>
                <w:sz w:val="17"/>
                <w:szCs w:val="17"/>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 ----------------------------------------------------------------------</w:t>
      </w:r>
    </w:p>
    <w:tbl>
      <w:tblPr>
        <w:tblLayout w:type="fixed"/>
        <w:tblInd w:w="0" w:type="dxa"/>
        <w:tblCellMar>
          <w:top w:w="0" w:type="dxa"/>
          <w:left w:w="0" w:type="dxa"/>
          <w:bottom w:w="0" w:type="dxa"/>
          <w:right w:w="0" w:type="dxa"/>
        </w:tblCellMar>
      </w:tblPr>
      <w:tr>
        <w:trPr>
          <w:trHeight w:val="203"/>
        </w:trPr>
        <w:tc>
          <w:tcPr>
            <w:tcW w:w="4280" w:type="dxa"/>
            <w:vAlign w:val="bottom"/>
          </w:tcPr>
          <w:p>
            <w:pPr>
              <w:ind w:left="420"/>
              <w:spacing w:after="0"/>
              <w:rPr>
                <w:sz w:val="20"/>
                <w:szCs w:val="20"/>
                <w:color w:val="auto"/>
              </w:rPr>
            </w:pPr>
            <w:r>
              <w:rPr>
                <w:rFonts w:ascii="Courier New" w:cs="Courier New" w:eastAsia="Courier New" w:hAnsi="Courier New"/>
                <w:sz w:val="18"/>
                <w:szCs w:val="18"/>
                <w:color w:val="auto"/>
              </w:rPr>
              <w:t>Product and process technology,</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at cost</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149.4</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148.6</w:t>
            </w:r>
          </w:p>
        </w:tc>
      </w:tr>
      <w:tr>
        <w:trPr>
          <w:trHeight w:val="203"/>
        </w:trPr>
        <w:tc>
          <w:tcPr>
            <w:tcW w:w="4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Less accumulated amortization</w:t>
            </w:r>
          </w:p>
        </w:tc>
        <w:tc>
          <w:tcPr>
            <w:tcW w:w="26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(105.5)</w:t>
            </w:r>
          </w:p>
        </w:tc>
        <w:tc>
          <w:tcPr>
            <w:tcW w:w="10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(100.4)</w:t>
            </w:r>
          </w:p>
        </w:tc>
      </w:tr>
      <w:tr>
        <w:trPr>
          <w:trHeight w:val="203"/>
        </w:trPr>
        <w:tc>
          <w:tcPr>
            <w:tcW w:w="4280" w:type="dxa"/>
            <w:vAlign w:val="bottom"/>
          </w:tcPr>
          <w:p>
            <w:pPr>
              <w:spacing w:after="0"/>
              <w:rPr>
                <w:sz w:val="17"/>
                <w:szCs w:val="17"/>
                <w:color w:val="auto"/>
              </w:rPr>
            </w:pPr>
          </w:p>
        </w:tc>
        <w:tc>
          <w:tcPr>
            <w:tcW w:w="14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spacing w:after="0"/>
              <w:rPr>
                <w:sz w:val="17"/>
                <w:szCs w:val="17"/>
                <w:color w:val="auto"/>
              </w:rPr>
            </w:pP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43.9</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48.2</w:t>
            </w:r>
          </w:p>
        </w:tc>
      </w:tr>
      <w:tr>
        <w:trPr>
          <w:trHeight w:val="203"/>
        </w:trPr>
        <w:tc>
          <w:tcPr>
            <w:tcW w:w="4280" w:type="dxa"/>
            <w:vAlign w:val="bottom"/>
          </w:tcPr>
          <w:p>
            <w:pPr>
              <w:spacing w:after="0"/>
              <w:rPr>
                <w:sz w:val="17"/>
                <w:szCs w:val="17"/>
                <w:color w:val="auto"/>
              </w:rPr>
            </w:pPr>
          </w:p>
        </w:tc>
        <w:tc>
          <w:tcPr>
            <w:tcW w:w="14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4280" w:type="dxa"/>
            <w:vAlign w:val="bottom"/>
          </w:tcPr>
          <w:p>
            <w:pPr>
              <w:spacing w:after="0"/>
              <w:rPr>
                <w:sz w:val="20"/>
                <w:szCs w:val="20"/>
                <w:color w:val="auto"/>
              </w:rPr>
            </w:pPr>
            <w:r>
              <w:rPr>
                <w:rFonts w:ascii="Courier New" w:cs="Courier New" w:eastAsia="Courier New" w:hAnsi="Courier New"/>
                <w:sz w:val="18"/>
                <w:szCs w:val="18"/>
                <w:color w:val="auto"/>
              </w:rPr>
              <w:t>5.  Property, plant, and equipment, net</w:t>
            </w:r>
          </w:p>
        </w:tc>
        <w:tc>
          <w:tcPr>
            <w:tcW w:w="14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March 2,</w:t>
            </w:r>
          </w:p>
        </w:tc>
        <w:tc>
          <w:tcPr>
            <w:tcW w:w="178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September 1,</w:t>
            </w:r>
          </w:p>
        </w:tc>
      </w:tr>
      <w:tr>
        <w:trPr>
          <w:trHeight w:val="203"/>
        </w:trPr>
        <w:tc>
          <w:tcPr>
            <w:tcW w:w="4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w w:val="92"/>
              </w:rPr>
              <w:t>1995</w:t>
            </w:r>
          </w:p>
        </w:tc>
        <w:tc>
          <w:tcPr>
            <w:tcW w:w="17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1994</w:t>
            </w:r>
          </w:p>
        </w:tc>
      </w:tr>
    </w:tbl>
    <w:p>
      <w:pPr>
        <w:spacing w:after="0" w:line="238" w:lineRule="auto"/>
        <w:rPr>
          <w:sz w:val="20"/>
          <w:szCs w:val="20"/>
          <w:color w:val="auto"/>
        </w:rPr>
      </w:pPr>
      <w:r>
        <w:rPr>
          <w:rFonts w:ascii="Courier New" w:cs="Courier New" w:eastAsia="Courier New" w:hAnsi="Courier New"/>
          <w:sz w:val="18"/>
          <w:szCs w:val="18"/>
          <w:color w:val="auto"/>
        </w:rPr>
        <w:t>- ----------------------------------------------------------------------</w:t>
      </w:r>
    </w:p>
    <w:tbl>
      <w:tblPr>
        <w:tblLayout w:type="fixed"/>
        <w:tblInd w:w="420" w:type="dxa"/>
        <w:tblCellMar>
          <w:top w:w="0" w:type="dxa"/>
          <w:left w:w="0" w:type="dxa"/>
          <w:bottom w:w="0" w:type="dxa"/>
          <w:right w:w="0" w:type="dxa"/>
        </w:tblCellMar>
      </w:tblPr>
      <w:tr>
        <w:trPr>
          <w:trHeight w:val="203"/>
        </w:trPr>
        <w:tc>
          <w:tcPr>
            <w:tcW w:w="3540" w:type="dxa"/>
            <w:vAlign w:val="bottom"/>
          </w:tcPr>
          <w:p>
            <w:pPr>
              <w:spacing w:after="0"/>
              <w:rPr>
                <w:sz w:val="20"/>
                <w:szCs w:val="20"/>
                <w:color w:val="auto"/>
              </w:rPr>
            </w:pPr>
            <w:r>
              <w:rPr>
                <w:rFonts w:ascii="Courier New" w:cs="Courier New" w:eastAsia="Courier New" w:hAnsi="Courier New"/>
                <w:sz w:val="18"/>
                <w:szCs w:val="18"/>
                <w:color w:val="auto"/>
              </w:rPr>
              <w:t>Land</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8.0</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7.9</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Buildings</w:t>
            </w:r>
          </w:p>
        </w:tc>
        <w:tc>
          <w:tcPr>
            <w:tcW w:w="580" w:type="dxa"/>
            <w:vAlign w:val="bottom"/>
          </w:tcPr>
          <w:p>
            <w:pPr>
              <w:spacing w:after="0"/>
              <w:rPr>
                <w:sz w:val="17"/>
                <w:szCs w:val="17"/>
                <w:color w:val="auto"/>
              </w:rPr>
            </w:pPr>
          </w:p>
        </w:tc>
        <w:tc>
          <w:tcPr>
            <w:tcW w:w="1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308.9</w:t>
            </w:r>
          </w:p>
        </w:tc>
        <w:tc>
          <w:tcPr>
            <w:tcW w:w="6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260.0</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580" w:type="dxa"/>
            <w:vAlign w:val="bottom"/>
          </w:tcPr>
          <w:p>
            <w:pPr>
              <w:spacing w:after="0"/>
              <w:rPr>
                <w:sz w:val="17"/>
                <w:szCs w:val="17"/>
                <w:color w:val="auto"/>
              </w:rPr>
            </w:pPr>
          </w:p>
        </w:tc>
        <w:tc>
          <w:tcPr>
            <w:tcW w:w="1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993.2</w:t>
            </w:r>
          </w:p>
        </w:tc>
        <w:tc>
          <w:tcPr>
            <w:tcW w:w="6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825.5</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Construction in progress</w:t>
            </w:r>
          </w:p>
        </w:tc>
        <w:tc>
          <w:tcPr>
            <w:tcW w:w="580" w:type="dxa"/>
            <w:vAlign w:val="bottom"/>
          </w:tcPr>
          <w:p>
            <w:pPr>
              <w:spacing w:after="0"/>
              <w:rPr>
                <w:sz w:val="17"/>
                <w:szCs w:val="17"/>
                <w:color w:val="auto"/>
              </w:rPr>
            </w:pPr>
          </w:p>
        </w:tc>
        <w:tc>
          <w:tcPr>
            <w:tcW w:w="1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111.6</w:t>
            </w:r>
          </w:p>
        </w:tc>
        <w:tc>
          <w:tcPr>
            <w:tcW w:w="6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68.7</w:t>
            </w:r>
          </w:p>
        </w:tc>
      </w:tr>
      <w:tr>
        <w:trPr>
          <w:trHeight w:val="203"/>
        </w:trPr>
        <w:tc>
          <w:tcPr>
            <w:tcW w:w="3540" w:type="dxa"/>
            <w:vAlign w:val="bottom"/>
          </w:tcPr>
          <w:p>
            <w:pPr>
              <w:spacing w:after="0"/>
              <w:rPr>
                <w:sz w:val="17"/>
                <w:szCs w:val="17"/>
                <w:color w:val="auto"/>
              </w:rPr>
            </w:pPr>
          </w:p>
        </w:tc>
        <w:tc>
          <w:tcPr>
            <w:tcW w:w="200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5"/>
              </w:rPr>
              <w:t>1,421.7</w:t>
            </w:r>
          </w:p>
        </w:tc>
        <w:tc>
          <w:tcPr>
            <w:tcW w:w="6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1,162.1</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Less accumulated depreciation and</w:t>
            </w:r>
          </w:p>
        </w:tc>
        <w:tc>
          <w:tcPr>
            <w:tcW w:w="5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amortization</w:t>
            </w:r>
          </w:p>
        </w:tc>
        <w:tc>
          <w:tcPr>
            <w:tcW w:w="58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(554.1)</w:t>
            </w:r>
          </w:p>
        </w:tc>
        <w:tc>
          <w:tcPr>
            <w:tcW w:w="6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(498.6)</w:t>
            </w:r>
          </w:p>
        </w:tc>
      </w:tr>
      <w:tr>
        <w:trPr>
          <w:trHeight w:val="203"/>
        </w:trPr>
        <w:tc>
          <w:tcPr>
            <w:tcW w:w="3540" w:type="dxa"/>
            <w:vAlign w:val="bottom"/>
          </w:tcPr>
          <w:p>
            <w:pPr>
              <w:spacing w:after="0"/>
              <w:rPr>
                <w:sz w:val="17"/>
                <w:szCs w:val="17"/>
                <w:color w:val="auto"/>
              </w:rPr>
            </w:pPr>
          </w:p>
        </w:tc>
        <w:tc>
          <w:tcPr>
            <w:tcW w:w="200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4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867.6</w:t>
            </w:r>
          </w:p>
        </w:tc>
        <w:tc>
          <w:tcPr>
            <w:tcW w:w="6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$663.5</w:t>
            </w:r>
          </w:p>
        </w:tc>
      </w:tr>
      <w:tr>
        <w:trPr>
          <w:trHeight w:val="203"/>
        </w:trPr>
        <w:tc>
          <w:tcPr>
            <w:tcW w:w="3540" w:type="dxa"/>
            <w:vAlign w:val="bottom"/>
          </w:tcPr>
          <w:p>
            <w:pPr>
              <w:spacing w:after="0"/>
              <w:rPr>
                <w:sz w:val="17"/>
                <w:szCs w:val="17"/>
                <w:color w:val="auto"/>
              </w:rPr>
            </w:pPr>
          </w:p>
        </w:tc>
        <w:tc>
          <w:tcPr>
            <w:tcW w:w="200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540" w:type="dxa"/>
            <w:vAlign w:val="bottom"/>
          </w:tcPr>
          <w:p>
            <w:pPr>
              <w:spacing w:after="0"/>
              <w:rPr>
                <w:sz w:val="24"/>
                <w:szCs w:val="24"/>
                <w:color w:val="auto"/>
              </w:rPr>
            </w:pPr>
          </w:p>
        </w:tc>
        <w:tc>
          <w:tcPr>
            <w:tcW w:w="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w:t>
            </w:r>
          </w:p>
        </w:tc>
        <w:tc>
          <w:tcPr>
            <w:tcW w:w="1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219"/>
          </w:cols>
          <w:pgMar w:left="240" w:top="723" w:right="1440" w:bottom="564" w:gutter="0" w:footer="0" w:header="0"/>
        </w:sectPr>
      </w:pPr>
    </w:p>
    <w:bookmarkStart w:id="6" w:name="page7"/>
    <w:bookmarkEnd w:id="6"/>
    <w:p>
      <w:pPr>
        <w:ind w:left="220"/>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0" w:lineRule="exact"/>
        <w:rPr>
          <w:sz w:val="20"/>
          <w:szCs w:val="20"/>
          <w:color w:val="auto"/>
        </w:rPr>
      </w:pPr>
    </w:p>
    <w:p>
      <w:pPr>
        <w:spacing w:after="0" w:line="204" w:lineRule="exact"/>
        <w:rPr>
          <w:sz w:val="20"/>
          <w:szCs w:val="20"/>
          <w:color w:val="auto"/>
        </w:rPr>
      </w:pPr>
    </w:p>
    <w:p>
      <w:pPr>
        <w:spacing w:after="0"/>
        <w:tabs>
          <w:tab w:leader="none" w:pos="400" w:val="left"/>
          <w:tab w:leader="none" w:pos="6100" w:val="left"/>
        </w:tabs>
        <w:rPr>
          <w:sz w:val="20"/>
          <w:szCs w:val="20"/>
          <w:color w:val="auto"/>
        </w:rPr>
      </w:pPr>
      <w:r>
        <w:rPr>
          <w:rFonts w:ascii="Courier New" w:cs="Courier New" w:eastAsia="Courier New" w:hAnsi="Courier New"/>
          <w:sz w:val="18"/>
          <w:szCs w:val="18"/>
          <w:color w:val="auto"/>
        </w:rPr>
        <w:t>6.</w:t>
        <w:tab/>
        <w:t>Accounts payable and accrued expenses March 2,</w:t>
      </w:r>
      <w:r>
        <w:rPr>
          <w:sz w:val="20"/>
          <w:szCs w:val="20"/>
          <w:color w:val="auto"/>
        </w:rPr>
        <w:tab/>
      </w:r>
      <w:r>
        <w:rPr>
          <w:rFonts w:ascii="Courier New" w:cs="Courier New" w:eastAsia="Courier New" w:hAnsi="Courier New"/>
          <w:sz w:val="16"/>
          <w:szCs w:val="16"/>
          <w:color w:val="auto"/>
        </w:rPr>
        <w:t>September 1,</w:t>
      </w:r>
    </w:p>
    <w:p>
      <w:pPr>
        <w:ind w:left="4540"/>
        <w:spacing w:after="0" w:line="238" w:lineRule="auto"/>
        <w:tabs>
          <w:tab w:leader="none" w:pos="6520" w:val="left"/>
        </w:tabs>
        <w:rPr>
          <w:sz w:val="20"/>
          <w:szCs w:val="20"/>
          <w:color w:val="auto"/>
        </w:rPr>
      </w:pPr>
      <w:r>
        <w:rPr>
          <w:rFonts w:ascii="Courier New" w:cs="Courier New" w:eastAsia="Courier New" w:hAnsi="Courier New"/>
          <w:sz w:val="18"/>
          <w:szCs w:val="18"/>
          <w:color w:val="auto"/>
        </w:rPr>
        <w:t>1995</w:t>
      </w:r>
      <w:r>
        <w:rPr>
          <w:sz w:val="20"/>
          <w:szCs w:val="20"/>
          <w:color w:val="auto"/>
        </w:rPr>
        <w:tab/>
      </w:r>
      <w:r>
        <w:rPr>
          <w:rFonts w:ascii="Courier New" w:cs="Courier New" w:eastAsia="Courier New" w:hAnsi="Courier New"/>
          <w:sz w:val="18"/>
          <w:szCs w:val="18"/>
          <w:color w:val="auto"/>
        </w:rPr>
        <w:t>1994</w:t>
      </w:r>
    </w:p>
    <w:p>
      <w:pPr>
        <w:spacing w:after="0"/>
        <w:rPr>
          <w:sz w:val="20"/>
          <w:szCs w:val="20"/>
          <w:color w:val="auto"/>
        </w:rPr>
      </w:pPr>
      <w:r>
        <w:rPr>
          <w:rFonts w:ascii="Courier New" w:cs="Courier New" w:eastAsia="Courier New" w:hAnsi="Courier New"/>
          <w:sz w:val="18"/>
          <w:szCs w:val="18"/>
          <w:color w:val="auto"/>
        </w:rPr>
        <w:t>- ----------------------------------------------------------------------</w:t>
      </w:r>
    </w:p>
    <w:tbl>
      <w:tblPr>
        <w:tblLayout w:type="fixed"/>
        <w:tblInd w:w="0" w:type="dxa"/>
        <w:tblCellMar>
          <w:top w:w="0" w:type="dxa"/>
          <w:left w:w="0" w:type="dxa"/>
          <w:bottom w:w="0" w:type="dxa"/>
          <w:right w:w="0" w:type="dxa"/>
        </w:tblCellMar>
      </w:tblPr>
      <w:tr>
        <w:trPr>
          <w:trHeight w:val="202"/>
        </w:trPr>
        <w:tc>
          <w:tcPr>
            <w:tcW w:w="402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rPr>
              <w:t>Accounts payable</w:t>
            </w:r>
          </w:p>
        </w:tc>
        <w:tc>
          <w:tcPr>
            <w:tcW w:w="52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76.8</w:t>
            </w:r>
          </w:p>
        </w:tc>
        <w:tc>
          <w:tcPr>
            <w:tcW w:w="1040" w:type="dxa"/>
            <w:vAlign w:val="bottom"/>
          </w:tcPr>
          <w:p>
            <w:pPr>
              <w:ind w:left="840"/>
              <w:spacing w:after="0" w:line="202"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55.3</w:t>
            </w:r>
          </w:p>
        </w:tc>
      </w:tr>
      <w:tr>
        <w:trPr>
          <w:trHeight w:val="203"/>
        </w:trPr>
        <w:tc>
          <w:tcPr>
            <w:tcW w:w="4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Salaries, wages, and benefits</w:t>
            </w:r>
          </w:p>
        </w:tc>
        <w:tc>
          <w:tcPr>
            <w:tcW w:w="5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75.6</w:t>
            </w:r>
          </w:p>
        </w:tc>
        <w:tc>
          <w:tcPr>
            <w:tcW w:w="104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63.5</w:t>
            </w:r>
          </w:p>
        </w:tc>
      </w:tr>
      <w:tr>
        <w:trPr>
          <w:trHeight w:val="203"/>
        </w:trPr>
        <w:tc>
          <w:tcPr>
            <w:tcW w:w="4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Product and process technology</w:t>
            </w:r>
          </w:p>
        </w:tc>
        <w:tc>
          <w:tcPr>
            <w:tcW w:w="5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40.2</w:t>
            </w:r>
          </w:p>
        </w:tc>
        <w:tc>
          <w:tcPr>
            <w:tcW w:w="104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16.6</w:t>
            </w:r>
          </w:p>
        </w:tc>
      </w:tr>
      <w:tr>
        <w:trPr>
          <w:trHeight w:val="203"/>
        </w:trPr>
        <w:tc>
          <w:tcPr>
            <w:tcW w:w="4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5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20.4</w:t>
            </w:r>
          </w:p>
        </w:tc>
        <w:tc>
          <w:tcPr>
            <w:tcW w:w="104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44.0</w:t>
            </w:r>
          </w:p>
        </w:tc>
      </w:tr>
      <w:tr>
        <w:trPr>
          <w:trHeight w:val="203"/>
        </w:trPr>
        <w:tc>
          <w:tcPr>
            <w:tcW w:w="4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Commissions</w:t>
            </w:r>
          </w:p>
        </w:tc>
        <w:tc>
          <w:tcPr>
            <w:tcW w:w="5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4.1</w:t>
            </w:r>
          </w:p>
        </w:tc>
        <w:tc>
          <w:tcPr>
            <w:tcW w:w="104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w:t>
            </w:r>
          </w:p>
        </w:tc>
      </w:tr>
      <w:tr>
        <w:trPr>
          <w:trHeight w:val="203"/>
        </w:trPr>
        <w:tc>
          <w:tcPr>
            <w:tcW w:w="4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w:t>
            </w:r>
          </w:p>
        </w:tc>
        <w:tc>
          <w:tcPr>
            <w:tcW w:w="5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21.5</w:t>
            </w:r>
          </w:p>
        </w:tc>
        <w:tc>
          <w:tcPr>
            <w:tcW w:w="104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16.3</w:t>
            </w:r>
          </w:p>
        </w:tc>
      </w:tr>
      <w:tr>
        <w:trPr>
          <w:trHeight w:val="203"/>
        </w:trPr>
        <w:tc>
          <w:tcPr>
            <w:tcW w:w="4020" w:type="dxa"/>
            <w:vAlign w:val="bottom"/>
          </w:tcPr>
          <w:p>
            <w:pPr>
              <w:spacing w:after="0"/>
              <w:rPr>
                <w:sz w:val="17"/>
                <w:szCs w:val="17"/>
                <w:color w:val="auto"/>
              </w:rPr>
            </w:pPr>
          </w:p>
        </w:tc>
        <w:tc>
          <w:tcPr>
            <w:tcW w:w="16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spacing w:after="0"/>
              <w:rPr>
                <w:sz w:val="17"/>
                <w:szCs w:val="17"/>
                <w:color w:val="auto"/>
              </w:rPr>
            </w:pPr>
          </w:p>
        </w:tc>
        <w:tc>
          <w:tcPr>
            <w:tcW w:w="5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238.6</w:t>
            </w:r>
          </w:p>
        </w:tc>
        <w:tc>
          <w:tcPr>
            <w:tcW w:w="10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200.2</w:t>
            </w:r>
          </w:p>
        </w:tc>
      </w:tr>
      <w:tr>
        <w:trPr>
          <w:trHeight w:val="203"/>
        </w:trPr>
        <w:tc>
          <w:tcPr>
            <w:tcW w:w="4020" w:type="dxa"/>
            <w:vAlign w:val="bottom"/>
          </w:tcPr>
          <w:p>
            <w:pPr>
              <w:spacing w:after="0"/>
              <w:rPr>
                <w:sz w:val="17"/>
                <w:szCs w:val="17"/>
                <w:color w:val="auto"/>
              </w:rPr>
            </w:pPr>
          </w:p>
        </w:tc>
        <w:tc>
          <w:tcPr>
            <w:tcW w:w="16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4020" w:type="dxa"/>
            <w:vAlign w:val="bottom"/>
          </w:tcPr>
          <w:p>
            <w:pPr>
              <w:spacing w:after="0"/>
              <w:rPr>
                <w:sz w:val="20"/>
                <w:szCs w:val="20"/>
                <w:color w:val="auto"/>
              </w:rPr>
            </w:pPr>
            <w:r>
              <w:rPr>
                <w:rFonts w:ascii="Courier New" w:cs="Courier New" w:eastAsia="Courier New" w:hAnsi="Courier New"/>
                <w:sz w:val="18"/>
                <w:szCs w:val="18"/>
                <w:color w:val="auto"/>
              </w:rPr>
              <w:t>7.  Long-term debt</w:t>
            </w:r>
          </w:p>
        </w:tc>
        <w:tc>
          <w:tcPr>
            <w:tcW w:w="168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March 2,</w:t>
            </w:r>
          </w:p>
        </w:tc>
        <w:tc>
          <w:tcPr>
            <w:tcW w:w="16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September 1,</w:t>
            </w:r>
          </w:p>
        </w:tc>
      </w:tr>
      <w:tr>
        <w:trPr>
          <w:trHeight w:val="203"/>
        </w:trPr>
        <w:tc>
          <w:tcPr>
            <w:tcW w:w="4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w w:val="92"/>
              </w:rPr>
              <w:t>1995</w:t>
            </w:r>
          </w:p>
        </w:tc>
        <w:tc>
          <w:tcPr>
            <w:tcW w:w="168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rPr>
              <w:t>1994</w:t>
            </w:r>
          </w:p>
        </w:tc>
      </w:tr>
    </w:tbl>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Notes payable in periodic installments</w:t>
      </w:r>
    </w:p>
    <w:tbl>
      <w:tblPr>
        <w:tblLayout w:type="fixed"/>
        <w:tblInd w:w="420" w:type="dxa"/>
        <w:tblCellMar>
          <w:top w:w="0" w:type="dxa"/>
          <w:left w:w="0" w:type="dxa"/>
          <w:bottom w:w="0" w:type="dxa"/>
          <w:right w:w="0" w:type="dxa"/>
        </w:tblCellMar>
      </w:tblPr>
      <w:tr>
        <w:trPr>
          <w:trHeight w:val="203"/>
        </w:trPr>
        <w:tc>
          <w:tcPr>
            <w:tcW w:w="4020" w:type="dxa"/>
            <w:vAlign w:val="bottom"/>
          </w:tcPr>
          <w:p>
            <w:pPr>
              <w:ind w:left="220"/>
              <w:spacing w:after="0"/>
              <w:rPr>
                <w:sz w:val="20"/>
                <w:szCs w:val="20"/>
                <w:color w:val="auto"/>
              </w:rPr>
            </w:pPr>
            <w:r>
              <w:rPr>
                <w:rFonts w:ascii="Courier New" w:cs="Courier New" w:eastAsia="Courier New" w:hAnsi="Courier New"/>
                <w:sz w:val="18"/>
                <w:szCs w:val="18"/>
                <w:color w:val="auto"/>
              </w:rPr>
              <w:t>through May 1999, weighted average</w:t>
            </w: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rate of 6.84% and 7.30 %,</w:t>
            </w: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respectively</w:t>
            </w:r>
          </w:p>
        </w:tc>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w:t>
            </w: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99.4</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78.7</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w w:val="97"/>
              </w:rPr>
              <w:t>Notes payable, due at maturity ranging</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from April 1996 to December 1997,</w:t>
            </w: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weighted average interest rate of</w:t>
            </w: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6.10% and 5.11%, respectively</w:t>
            </w:r>
          </w:p>
        </w:tc>
        <w:tc>
          <w:tcPr>
            <w:tcW w:w="200" w:type="dxa"/>
            <w:vAlign w:val="bottom"/>
          </w:tcPr>
          <w:p>
            <w:pPr>
              <w:spacing w:after="0"/>
              <w:rPr>
                <w:sz w:val="17"/>
                <w:szCs w:val="17"/>
                <w:color w:val="auto"/>
              </w:rPr>
            </w:pP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50.0</w:t>
            </w:r>
          </w:p>
        </w:tc>
        <w:tc>
          <w:tcPr>
            <w:tcW w:w="78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37.0</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Noninterest bearing obligations,</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$19.8 million due June 1997 and</w:t>
            </w: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$20.5 million due December 1997,</w:t>
            </w: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original face amount of $40.3</w:t>
            </w: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million (net of discounts based</w:t>
            </w: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on imputed interest rate) weighted</w:t>
            </w: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average interests rate of 6.90% and</w:t>
            </w: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6.50%, respectively</w:t>
            </w:r>
          </w:p>
        </w:tc>
        <w:tc>
          <w:tcPr>
            <w:tcW w:w="200" w:type="dxa"/>
            <w:vAlign w:val="bottom"/>
          </w:tcPr>
          <w:p>
            <w:pPr>
              <w:spacing w:after="0"/>
              <w:rPr>
                <w:sz w:val="17"/>
                <w:szCs w:val="17"/>
                <w:color w:val="auto"/>
              </w:rPr>
            </w:pP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34.0</w:t>
            </w:r>
          </w:p>
        </w:tc>
        <w:tc>
          <w:tcPr>
            <w:tcW w:w="78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16.6</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Capitalized lease obligations payable</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 monthly installments through</w:t>
            </w: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April 1998, weighted average</w:t>
            </w: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rate of 7.91% and 7.93%,</w:t>
            </w: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respectively</w:t>
            </w:r>
          </w:p>
        </w:tc>
        <w:tc>
          <w:tcPr>
            <w:tcW w:w="200" w:type="dxa"/>
            <w:vAlign w:val="bottom"/>
          </w:tcPr>
          <w:p>
            <w:pPr>
              <w:spacing w:after="0"/>
              <w:rPr>
                <w:sz w:val="17"/>
                <w:szCs w:val="17"/>
                <w:color w:val="auto"/>
              </w:rPr>
            </w:pP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10.6</w:t>
            </w:r>
          </w:p>
        </w:tc>
        <w:tc>
          <w:tcPr>
            <w:tcW w:w="78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12.4</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Noninterest bearing obligation, paid</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 November 1994, original face</w:t>
            </w: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amount of $50.0 million (net of</w:t>
            </w: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discount based on imputed interest</w:t>
            </w: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rate of 10.25%)</w:t>
            </w:r>
          </w:p>
        </w:tc>
        <w:tc>
          <w:tcPr>
            <w:tcW w:w="200" w:type="dxa"/>
            <w:vAlign w:val="bottom"/>
          </w:tcPr>
          <w:p>
            <w:pPr>
              <w:spacing w:after="0"/>
              <w:rPr>
                <w:sz w:val="17"/>
                <w:szCs w:val="17"/>
                <w:color w:val="auto"/>
              </w:rPr>
            </w:pP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9.8</w:t>
            </w:r>
          </w:p>
        </w:tc>
      </w:tr>
      <w:tr>
        <w:trPr>
          <w:trHeight w:val="203"/>
        </w:trPr>
        <w:tc>
          <w:tcPr>
            <w:tcW w:w="4020" w:type="dxa"/>
            <w:vAlign w:val="bottom"/>
          </w:tcPr>
          <w:p>
            <w:pPr>
              <w:spacing w:after="0"/>
              <w:rPr>
                <w:sz w:val="17"/>
                <w:szCs w:val="17"/>
                <w:color w:val="auto"/>
              </w:rPr>
            </w:pPr>
          </w:p>
        </w:tc>
        <w:tc>
          <w:tcPr>
            <w:tcW w:w="152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w w:val="94"/>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194.0</w:t>
            </w:r>
          </w:p>
        </w:tc>
        <w:tc>
          <w:tcPr>
            <w:tcW w:w="78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154.5</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current portion</w:t>
            </w:r>
          </w:p>
        </w:tc>
        <w:tc>
          <w:tcPr>
            <w:tcW w:w="200" w:type="dxa"/>
            <w:vAlign w:val="bottom"/>
          </w:tcPr>
          <w:p>
            <w:pPr>
              <w:spacing w:after="0"/>
              <w:rPr>
                <w:sz w:val="17"/>
                <w:szCs w:val="17"/>
                <w:color w:val="auto"/>
              </w:rPr>
            </w:pP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(25.8)</w:t>
            </w:r>
          </w:p>
        </w:tc>
        <w:tc>
          <w:tcPr>
            <w:tcW w:w="7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(29.8)</w:t>
            </w:r>
          </w:p>
        </w:tc>
      </w:tr>
      <w:tr>
        <w:trPr>
          <w:trHeight w:val="203"/>
        </w:trPr>
        <w:tc>
          <w:tcPr>
            <w:tcW w:w="4020" w:type="dxa"/>
            <w:vAlign w:val="bottom"/>
          </w:tcPr>
          <w:p>
            <w:pPr>
              <w:spacing w:after="0"/>
              <w:rPr>
                <w:sz w:val="17"/>
                <w:szCs w:val="17"/>
                <w:color w:val="auto"/>
              </w:rPr>
            </w:pPr>
          </w:p>
        </w:tc>
        <w:tc>
          <w:tcPr>
            <w:tcW w:w="152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w w:val="94"/>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spacing w:after="0"/>
              <w:rPr>
                <w:sz w:val="17"/>
                <w:szCs w:val="17"/>
                <w:color w:val="auto"/>
              </w:rPr>
            </w:pPr>
          </w:p>
        </w:tc>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w:t>
            </w: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168.2</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124.7</w:t>
            </w:r>
          </w:p>
        </w:tc>
      </w:tr>
      <w:tr>
        <w:trPr>
          <w:trHeight w:val="203"/>
        </w:trPr>
        <w:tc>
          <w:tcPr>
            <w:tcW w:w="4020" w:type="dxa"/>
            <w:vAlign w:val="bottom"/>
          </w:tcPr>
          <w:p>
            <w:pPr>
              <w:spacing w:after="0"/>
              <w:rPr>
                <w:sz w:val="17"/>
                <w:szCs w:val="17"/>
                <w:color w:val="auto"/>
              </w:rPr>
            </w:pPr>
          </w:p>
        </w:tc>
        <w:tc>
          <w:tcPr>
            <w:tcW w:w="152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w w:val="94"/>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per share</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Earnings per share is computed using the weighted average number of common and common equivalent shares outstanding. Common equivalent shares result from the assumed exercise of outstanding stock options and affect earnings per share when they have a dilutive effect. Share and per share amounts for the second quarter and first six months of fiscal 1994 have been restated to reflect a 5 for 2 stock split effected in the form of a stock dividend in the third quarter of fiscal 1994.</w:t>
      </w:r>
    </w:p>
    <w:p>
      <w:pPr>
        <w:spacing w:after="0" w:line="200" w:lineRule="exact"/>
        <w:rPr>
          <w:sz w:val="20"/>
          <w:szCs w:val="20"/>
          <w:color w:val="auto"/>
        </w:rPr>
      </w:pPr>
    </w:p>
    <w:p>
      <w:pPr>
        <w:spacing w:after="0" w:line="208"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Income taxes</w:t>
      </w:r>
    </w:p>
    <w:p>
      <w:pPr>
        <w:spacing w:after="0" w:line="207" w:lineRule="exact"/>
        <w:rPr>
          <w:sz w:val="20"/>
          <w:szCs w:val="20"/>
          <w:color w:val="auto"/>
        </w:rPr>
      </w:pPr>
    </w:p>
    <w:p>
      <w:pPr>
        <w:ind w:right="2619" w:firstLine="527"/>
        <w:spacing w:after="0" w:line="237" w:lineRule="auto"/>
        <w:rPr>
          <w:sz w:val="20"/>
          <w:szCs w:val="20"/>
          <w:color w:val="auto"/>
        </w:rPr>
      </w:pPr>
      <w:r>
        <w:rPr>
          <w:rFonts w:ascii="Courier New" w:cs="Courier New" w:eastAsia="Courier New" w:hAnsi="Courier New"/>
          <w:sz w:val="18"/>
          <w:szCs w:val="18"/>
          <w:color w:val="auto"/>
        </w:rPr>
        <w:t>During the second quarter of fiscal 1995, the Company changed its estimate of the effective income tax rate for fiscal 1995 to 37.5% from 36.0%. The effective income tax reflects the statutory corporate income tax rate and the net effect of state taxation.</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514" w:right="1440" w:bottom="0" w:gutter="0" w:footer="0" w:header="0"/>
        </w:sectPr>
      </w:pPr>
    </w:p>
    <w:bookmarkStart w:id="7" w:name="page8"/>
    <w:bookmarkEnd w:id="7"/>
    <w:p>
      <w:pPr>
        <w:ind w:left="220"/>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Commitments</w:t>
      </w:r>
    </w:p>
    <w:p>
      <w:pPr>
        <w:spacing w:after="0" w:line="207"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As of March 2, 1995, the Company had commitments extending into fiscal 1997, of approximately $486.8 million for equipment purchases and $67.1 million for the construction of buildings.</w:t>
      </w:r>
    </w:p>
    <w:p>
      <w:pPr>
        <w:spacing w:after="0" w:line="200" w:lineRule="exact"/>
        <w:rPr>
          <w:sz w:val="20"/>
          <w:szCs w:val="20"/>
          <w:color w:val="auto"/>
        </w:rPr>
      </w:pPr>
    </w:p>
    <w:p>
      <w:pPr>
        <w:spacing w:after="0" w:line="206"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Contingencies</w:t>
      </w:r>
    </w:p>
    <w:p>
      <w:pPr>
        <w:spacing w:after="0" w:line="207" w:lineRule="exact"/>
        <w:rPr>
          <w:sz w:val="20"/>
          <w:szCs w:val="20"/>
          <w:color w:val="auto"/>
        </w:rPr>
      </w:pPr>
    </w:p>
    <w:p>
      <w:pPr>
        <w:ind w:right="2199" w:firstLine="527"/>
        <w:spacing w:after="0" w:line="238" w:lineRule="auto"/>
        <w:rPr>
          <w:sz w:val="20"/>
          <w:szCs w:val="20"/>
          <w:color w:val="auto"/>
        </w:rPr>
      </w:pPr>
      <w:r>
        <w:rPr>
          <w:rFonts w:ascii="Courier New" w:cs="Courier New" w:eastAsia="Courier New" w:hAnsi="Courier New"/>
          <w:sz w:val="18"/>
          <w:szCs w:val="18"/>
          <w:color w:val="auto"/>
        </w:rPr>
        <w:t>Periodically, the Company is made aware that technology used by the company in the manufacture of some or all of its products may infringe on product or process technology rights held by others. The Company has accrued a liability and charged operations for the estimated costs of settlement or adjudication of asserted and unasserted claims for infringement prior to the balance sheet date. Management can give no assurance that the amounts accrued have been adequate and cannot estimate the range of additional possible loss, if any, from resolution of these uncertainties. Resolution of whether the Company's manufacture of products has infringed on valid rights held by others may have a material adverse effect on the Company's financial position or results of operations, and may require material changes in production processes and products. The Company has various product and process technology agreements expiring in the remainder of 1995. The Company is not able to predict whether these license agreements can be renewed on terms acceptable to the Company.</w:t>
      </w:r>
    </w:p>
    <w:p>
      <w:pPr>
        <w:spacing w:after="0" w:line="208" w:lineRule="exact"/>
        <w:rPr>
          <w:sz w:val="20"/>
          <w:szCs w:val="20"/>
          <w:color w:val="auto"/>
        </w:rPr>
      </w:pPr>
    </w:p>
    <w:p>
      <w:pPr>
        <w:jc w:val="both"/>
        <w:ind w:right="2739" w:firstLine="527"/>
        <w:spacing w:after="0" w:line="279" w:lineRule="auto"/>
        <w:rPr>
          <w:sz w:val="20"/>
          <w:szCs w:val="20"/>
          <w:color w:val="auto"/>
        </w:rPr>
      </w:pPr>
      <w:r>
        <w:rPr>
          <w:rFonts w:ascii="Courier New" w:cs="Courier New" w:eastAsia="Courier New" w:hAnsi="Courier New"/>
          <w:sz w:val="16"/>
          <w:szCs w:val="16"/>
          <w:color w:val="auto"/>
        </w:rPr>
        <w:t>The Company is a party to various legal actions arising out of the normal course of business, none of which is expected to have a material effect on the Company's financial position or results of operations.</w:t>
      </w:r>
    </w:p>
    <w:p>
      <w:pPr>
        <w:spacing w:after="0" w:line="37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1440" w:gutter="0" w:footer="0" w:header="0"/>
        </w:sectPr>
      </w:pPr>
    </w:p>
    <w:bookmarkStart w:id="8" w:name="page9"/>
    <w:bookmarkEnd w:id="8"/>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Management's Discussion and Analysis of Financial Condition and</w:t>
      </w: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Results of Operations</w:t>
      </w: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All period references are to the Company's fiscal periods ended March 2, 1995, and March 3, 1994, unless otherwise indicated. Per share amounts for the second quarter and first six months of 1994 have been restated to reflect a 5 for 2 stock split effected in the form of a stock dividend during the third quarter of 1994. All tabular dollar amounts are stated in millions.</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Net sales for the Company's second quarter ended March 2, 1995, were</w:t>
      </w:r>
    </w:p>
    <w:p>
      <w:pPr>
        <w:spacing w:after="0" w:line="238" w:lineRule="auto"/>
        <w:rPr>
          <w:sz w:val="20"/>
          <w:szCs w:val="20"/>
          <w:color w:val="auto"/>
        </w:rPr>
      </w:pPr>
      <w:r>
        <w:rPr>
          <w:rFonts w:ascii="Courier New" w:cs="Courier New" w:eastAsia="Courier New" w:hAnsi="Courier New"/>
          <w:sz w:val="18"/>
          <w:szCs w:val="18"/>
          <w:color w:val="auto"/>
        </w:rPr>
        <w:t>$628.5 million, compared to net sales of $390.5 million for the same quarter</w:t>
      </w:r>
    </w:p>
    <w:p>
      <w:pPr>
        <w:spacing w:after="0"/>
        <w:tabs>
          <w:tab w:leader="none" w:pos="1360" w:val="left"/>
        </w:tabs>
        <w:rPr>
          <w:sz w:val="20"/>
          <w:szCs w:val="20"/>
          <w:color w:val="auto"/>
        </w:rPr>
      </w:pPr>
      <w:r>
        <w:rPr>
          <w:rFonts w:ascii="Courier New" w:cs="Courier New" w:eastAsia="Courier New" w:hAnsi="Courier New"/>
          <w:sz w:val="18"/>
          <w:szCs w:val="18"/>
          <w:color w:val="auto"/>
        </w:rPr>
        <w:t>a year ago.</w:t>
      </w:r>
      <w:r>
        <w:rPr>
          <w:sz w:val="20"/>
          <w:szCs w:val="20"/>
          <w:color w:val="auto"/>
        </w:rPr>
        <w:tab/>
      </w:r>
      <w:r>
        <w:rPr>
          <w:rFonts w:ascii="Courier New" w:cs="Courier New" w:eastAsia="Courier New" w:hAnsi="Courier New"/>
          <w:sz w:val="16"/>
          <w:szCs w:val="16"/>
          <w:color w:val="auto"/>
        </w:rPr>
        <w:t>Net income for the second quarter of 1995 was $183.5 million,</w:t>
      </w:r>
    </w:p>
    <w:p>
      <w:pPr>
        <w:spacing w:after="0" w:line="237" w:lineRule="auto"/>
        <w:rPr>
          <w:sz w:val="20"/>
          <w:szCs w:val="20"/>
          <w:color w:val="auto"/>
        </w:rPr>
      </w:pPr>
      <w:r>
        <w:rPr>
          <w:rFonts w:ascii="Courier New" w:cs="Courier New" w:eastAsia="Courier New" w:hAnsi="Courier New"/>
          <w:sz w:val="18"/>
          <w:szCs w:val="18"/>
          <w:color w:val="auto"/>
        </w:rPr>
        <w:t>or $1.71 per fully diluted share, as compared to net income of $86.8 million,</w:t>
      </w:r>
    </w:p>
    <w:p>
      <w:pPr>
        <w:spacing w:after="0" w:line="238" w:lineRule="auto"/>
        <w:rPr>
          <w:sz w:val="20"/>
          <w:szCs w:val="20"/>
          <w:color w:val="auto"/>
        </w:rPr>
      </w:pPr>
      <w:r>
        <w:rPr>
          <w:rFonts w:ascii="Courier New" w:cs="Courier New" w:eastAsia="Courier New" w:hAnsi="Courier New"/>
          <w:sz w:val="18"/>
          <w:szCs w:val="18"/>
          <w:color w:val="auto"/>
        </w:rPr>
        <w:t>or $0.83 per fully diluted share, for the second quarter of 1994, and as</w:t>
      </w:r>
    </w:p>
    <w:p>
      <w:pPr>
        <w:spacing w:after="0"/>
        <w:rPr>
          <w:sz w:val="20"/>
          <w:szCs w:val="20"/>
          <w:color w:val="auto"/>
        </w:rPr>
      </w:pPr>
      <w:r>
        <w:rPr>
          <w:rFonts w:ascii="Courier New" w:cs="Courier New" w:eastAsia="Courier New" w:hAnsi="Courier New"/>
          <w:sz w:val="18"/>
          <w:szCs w:val="18"/>
          <w:color w:val="auto"/>
        </w:rPr>
        <w:t>compared to $159.3 million, or $1.51 per fully diluted share, for the first</w:t>
      </w:r>
    </w:p>
    <w:p>
      <w:pPr>
        <w:spacing w:after="0"/>
        <w:tabs>
          <w:tab w:leader="none" w:pos="1880" w:val="left"/>
        </w:tabs>
        <w:rPr>
          <w:sz w:val="20"/>
          <w:szCs w:val="20"/>
          <w:color w:val="auto"/>
        </w:rPr>
      </w:pPr>
      <w:r>
        <w:rPr>
          <w:rFonts w:ascii="Courier New" w:cs="Courier New" w:eastAsia="Courier New" w:hAnsi="Courier New"/>
          <w:sz w:val="18"/>
          <w:szCs w:val="18"/>
          <w:color w:val="auto"/>
        </w:rPr>
        <w:t>quarter of 1995.</w:t>
      </w:r>
      <w:r>
        <w:rPr>
          <w:sz w:val="20"/>
          <w:szCs w:val="20"/>
          <w:color w:val="auto"/>
        </w:rPr>
        <w:tab/>
      </w:r>
      <w:r>
        <w:rPr>
          <w:rFonts w:ascii="Courier New" w:cs="Courier New" w:eastAsia="Courier New" w:hAnsi="Courier New"/>
          <w:sz w:val="16"/>
          <w:szCs w:val="16"/>
          <w:color w:val="auto"/>
        </w:rPr>
        <w:t>For the first six months of 1995, the Company reported net</w:t>
      </w:r>
    </w:p>
    <w:p>
      <w:pPr>
        <w:spacing w:after="0"/>
        <w:rPr>
          <w:sz w:val="20"/>
          <w:szCs w:val="20"/>
          <w:color w:val="auto"/>
        </w:rPr>
      </w:pPr>
      <w:r>
        <w:rPr>
          <w:rFonts w:ascii="Courier New" w:cs="Courier New" w:eastAsia="Courier New" w:hAnsi="Courier New"/>
          <w:sz w:val="18"/>
          <w:szCs w:val="18"/>
          <w:color w:val="auto"/>
        </w:rPr>
        <w:t>income of $342.8 million, or $3.21 per fully diluted share, on net sales of</w:t>
      </w:r>
    </w:p>
    <w:p>
      <w:pPr>
        <w:spacing w:after="0" w:line="237" w:lineRule="auto"/>
        <w:rPr>
          <w:sz w:val="20"/>
          <w:szCs w:val="20"/>
          <w:color w:val="auto"/>
        </w:rPr>
      </w:pPr>
      <w:r>
        <w:rPr>
          <w:rFonts w:ascii="Courier New" w:cs="Courier New" w:eastAsia="Courier New" w:hAnsi="Courier New"/>
          <w:sz w:val="18"/>
          <w:szCs w:val="18"/>
          <w:color w:val="auto"/>
        </w:rPr>
        <w:t>$1,164 million as compared to net income of $154.3 million, or $1.48 per</w:t>
      </w:r>
    </w:p>
    <w:p>
      <w:pPr>
        <w:spacing w:after="0"/>
        <w:rPr>
          <w:sz w:val="20"/>
          <w:szCs w:val="20"/>
          <w:color w:val="auto"/>
        </w:rPr>
      </w:pPr>
      <w:r>
        <w:rPr>
          <w:rFonts w:ascii="Courier New" w:cs="Courier New" w:eastAsia="Courier New" w:hAnsi="Courier New"/>
          <w:sz w:val="18"/>
          <w:szCs w:val="18"/>
          <w:color w:val="auto"/>
        </w:rPr>
        <w:t>fully diluted share, on net sales of $710.6 million for the first six months</w:t>
      </w:r>
    </w:p>
    <w:p>
      <w:pPr>
        <w:spacing w:after="0" w:line="237" w:lineRule="auto"/>
        <w:rPr>
          <w:sz w:val="20"/>
          <w:szCs w:val="20"/>
          <w:color w:val="auto"/>
        </w:rPr>
      </w:pPr>
      <w:r>
        <w:rPr>
          <w:rFonts w:ascii="Courier New" w:cs="Courier New" w:eastAsia="Courier New" w:hAnsi="Courier New"/>
          <w:sz w:val="18"/>
          <w:szCs w:val="18"/>
          <w:color w:val="auto"/>
        </w:rPr>
        <w:t>of 1994.</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The merger of Micron Custom Manufacturing Services, Inc., and Micron Computer, Inc., with ZEOS International, Ltd. ("ZEOS"), a personal computer manufacturer, is proceeding and is currently anticipated to be completed in early April following shareholder approval by each respective company. Upon completion of the merger, the operating results of ZEOS will be consolidated with the Company's.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Second Quarter</w:t>
            </w:r>
          </w:p>
        </w:tc>
        <w:tc>
          <w:tcPr>
            <w:tcW w:w="680" w:type="dxa"/>
            <w:vAlign w:val="bottom"/>
          </w:tcPr>
          <w:p>
            <w:pPr>
              <w:spacing w:after="0"/>
              <w:rPr>
                <w:sz w:val="17"/>
                <w:szCs w:val="17"/>
                <w:color w:val="auto"/>
              </w:rPr>
            </w:pPr>
          </w:p>
        </w:tc>
        <w:tc>
          <w:tcPr>
            <w:tcW w:w="248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Six Months Ended</w:t>
            </w:r>
          </w:p>
        </w:tc>
        <w:tc>
          <w:tcPr>
            <w:tcW w:w="520" w:type="dxa"/>
            <w:vAlign w:val="bottom"/>
          </w:tcPr>
          <w:p>
            <w:pPr>
              <w:spacing w:after="0"/>
              <w:rPr>
                <w:sz w:val="17"/>
                <w:szCs w:val="17"/>
                <w:color w:val="auto"/>
              </w:rPr>
            </w:pPr>
          </w:p>
        </w:tc>
      </w:tr>
      <w:tr>
        <w:trPr>
          <w:trHeight w:val="203"/>
        </w:trPr>
        <w:tc>
          <w:tcPr>
            <w:tcW w:w="1580" w:type="dxa"/>
            <w:vAlign w:val="bottom"/>
          </w:tcPr>
          <w:p>
            <w:pPr>
              <w:spacing w:after="0"/>
              <w:rPr>
                <w:sz w:val="17"/>
                <w:szCs w:val="17"/>
                <w:color w:val="auto"/>
              </w:rPr>
            </w:pPr>
          </w:p>
        </w:tc>
        <w:tc>
          <w:tcPr>
            <w:tcW w:w="2540" w:type="dxa"/>
            <w:vAlign w:val="bottom"/>
            <w:gridSpan w:val="2"/>
          </w:tcPr>
          <w:p>
            <w:pPr>
              <w:ind w:left="640"/>
              <w:spacing w:after="0"/>
              <w:rPr>
                <w:sz w:val="20"/>
                <w:szCs w:val="20"/>
                <w:color w:val="auto"/>
              </w:rPr>
            </w:pPr>
            <w:r>
              <w:rPr>
                <w:rFonts w:ascii="Courier New" w:cs="Courier New" w:eastAsia="Courier New" w:hAnsi="Courier New"/>
                <w:sz w:val="16"/>
                <w:szCs w:val="16"/>
                <w:color w:val="auto"/>
                <w:w w:val="72"/>
              </w:rPr>
              <w:t>---------------------------</w:t>
            </w: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58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1995</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Change</w:t>
            </w:r>
          </w:p>
        </w:tc>
        <w:tc>
          <w:tcPr>
            <w:tcW w:w="42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1994</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1995</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Change</w:t>
            </w:r>
          </w:p>
        </w:tc>
        <w:tc>
          <w:tcPr>
            <w:tcW w:w="42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1580" w:type="dxa"/>
            <w:vAlign w:val="bottom"/>
          </w:tcPr>
          <w:p>
            <w:pPr>
              <w:spacing w:after="0"/>
              <w:rPr>
                <w:sz w:val="17"/>
                <w:szCs w:val="17"/>
                <w:color w:val="auto"/>
              </w:rPr>
            </w:pPr>
          </w:p>
        </w:tc>
        <w:tc>
          <w:tcPr>
            <w:tcW w:w="2540" w:type="dxa"/>
            <w:vAlign w:val="bottom"/>
            <w:gridSpan w:val="2"/>
          </w:tcPr>
          <w:p>
            <w:pPr>
              <w:ind w:left="640"/>
              <w:spacing w:after="0"/>
              <w:rPr>
                <w:sz w:val="20"/>
                <w:szCs w:val="20"/>
                <w:color w:val="auto"/>
              </w:rPr>
            </w:pPr>
            <w:r>
              <w:rPr>
                <w:rFonts w:ascii="Courier New" w:cs="Courier New" w:eastAsia="Courier New" w:hAnsi="Courier New"/>
                <w:sz w:val="16"/>
                <w:szCs w:val="16"/>
                <w:color w:val="auto"/>
                <w:w w:val="72"/>
              </w:rPr>
              <w:t>---------------------------</w:t>
            </w: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480" w:type="dxa"/>
            <w:vAlign w:val="bottom"/>
          </w:tcPr>
          <w:p>
            <w:pPr>
              <w:ind w:left="640"/>
              <w:spacing w:after="0"/>
              <w:rPr>
                <w:sz w:val="20"/>
                <w:szCs w:val="20"/>
                <w:color w:val="auto"/>
              </w:rPr>
            </w:pPr>
            <w:r>
              <w:rPr>
                <w:rFonts w:ascii="Courier New" w:cs="Courier New" w:eastAsia="Courier New" w:hAnsi="Courier New"/>
                <w:sz w:val="18"/>
                <w:szCs w:val="18"/>
                <w:color w:val="auto"/>
                <w:w w:val="94"/>
              </w:rPr>
              <w:t>$  628.5</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60.9%</w:t>
            </w:r>
          </w:p>
        </w:tc>
        <w:tc>
          <w:tcPr>
            <w:tcW w:w="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390.5</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$1,163.5</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63.7%</w:t>
            </w:r>
          </w:p>
        </w:tc>
        <w:tc>
          <w:tcPr>
            <w:tcW w:w="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w w:val="92"/>
              </w:rPr>
              <w:t>710.6</w:t>
            </w:r>
          </w:p>
        </w:tc>
      </w:tr>
    </w:tbl>
    <w:p>
      <w:pPr>
        <w:spacing w:after="0" w:line="200" w:lineRule="exact"/>
        <w:rPr>
          <w:sz w:val="20"/>
          <w:szCs w:val="20"/>
          <w:color w:val="auto"/>
        </w:rPr>
      </w:pPr>
    </w:p>
    <w:p>
      <w:pPr>
        <w:spacing w:after="0" w:line="209"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The strong operating results for 1995 reflect increased production of semiconductor memory and continued favorable market conditions. Demand for the 4 Meg DRAM, the Company's largest volume product, continued to be strong through the second quarter of 1995 resulting in relatively stable pricing for the eleventh consecutive quarter. In the second quarter of 1995, megabit production of semiconductor memory produced was approximately 60% higher than the comparable quarter of 1994 and 8% higher compared to the first quarter of 1995. The higher volume of memory principally resulted from the transition to the third generation shrink version of the 4 Meg DRAM with higher potential die per wafer and from enhanced yields for existing products. Although the Company has commenced production of its fourth generation 4 Meg DRAM, the Company expects its third generation product to remain the principal product through the end of fiscal 1995. The level of total wafer output did not vary significantly comparing the second quarter of 1995 to both the first quarter of 1995 and the second quarter of 1994.</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Sales of personal computer systems and custom board level products in the second quarter of 1995 accounted for approximately 12% and 4%, respectively, of total net sales, excluding the value of the Company's memory components contained in such products, compared to 3% and 4%, respectively, of total net sales during the second quarter of 1994. Net sales of PC systems in future periods are expected to increase as a percentage of total net sales as a result of the Company's planned acquisition of ZEOS. In its fourth fiscal quarter ended December 31, 1994, ZEOS reported net sales of approximately $74 million.</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97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Second Quarter</w:t>
            </w:r>
          </w:p>
        </w:tc>
        <w:tc>
          <w:tcPr>
            <w:tcW w:w="680" w:type="dxa"/>
            <w:vAlign w:val="bottom"/>
          </w:tcPr>
          <w:p>
            <w:pPr>
              <w:spacing w:after="0"/>
              <w:rPr>
                <w:sz w:val="17"/>
                <w:szCs w:val="17"/>
                <w:color w:val="auto"/>
              </w:rPr>
            </w:pPr>
          </w:p>
        </w:tc>
        <w:tc>
          <w:tcPr>
            <w:tcW w:w="248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Six Months Ended</w:t>
            </w:r>
          </w:p>
        </w:tc>
        <w:tc>
          <w:tcPr>
            <w:tcW w:w="520" w:type="dxa"/>
            <w:vAlign w:val="bottom"/>
          </w:tcPr>
          <w:p>
            <w:pPr>
              <w:spacing w:after="0"/>
              <w:rPr>
                <w:sz w:val="17"/>
                <w:szCs w:val="17"/>
                <w:color w:val="auto"/>
              </w:rPr>
            </w:pPr>
          </w:p>
        </w:tc>
      </w:tr>
      <w:tr>
        <w:trPr>
          <w:trHeight w:val="203"/>
        </w:trPr>
        <w:tc>
          <w:tcPr>
            <w:tcW w:w="2060" w:type="dxa"/>
            <w:vAlign w:val="bottom"/>
          </w:tcPr>
          <w:p>
            <w:pPr>
              <w:spacing w:after="0"/>
              <w:rPr>
                <w:sz w:val="17"/>
                <w:szCs w:val="17"/>
                <w:color w:val="auto"/>
              </w:rPr>
            </w:pPr>
          </w:p>
        </w:tc>
        <w:tc>
          <w:tcPr>
            <w:tcW w:w="20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8"/>
              </w:rPr>
              <w:t>---------------------------</w:t>
            </w: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1995</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Change</w:t>
            </w:r>
          </w:p>
        </w:tc>
        <w:tc>
          <w:tcPr>
            <w:tcW w:w="42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1994</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1995</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Change</w:t>
            </w:r>
          </w:p>
        </w:tc>
        <w:tc>
          <w:tcPr>
            <w:tcW w:w="42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2060" w:type="dxa"/>
            <w:vAlign w:val="bottom"/>
          </w:tcPr>
          <w:p>
            <w:pPr>
              <w:spacing w:after="0"/>
              <w:rPr>
                <w:sz w:val="17"/>
                <w:szCs w:val="17"/>
                <w:color w:val="auto"/>
              </w:rPr>
            </w:pPr>
          </w:p>
        </w:tc>
        <w:tc>
          <w:tcPr>
            <w:tcW w:w="20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8"/>
              </w:rPr>
              <w:t>---------------------------</w:t>
            </w: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Cost of goods sold</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  267.5</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31.1%</w:t>
            </w:r>
          </w:p>
        </w:tc>
        <w:tc>
          <w:tcPr>
            <w:tcW w:w="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204.1</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492.0</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32.7%</w:t>
            </w:r>
          </w:p>
        </w:tc>
        <w:tc>
          <w:tcPr>
            <w:tcW w:w="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w w:val="92"/>
              </w:rPr>
              <w:t>370.7</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margin %</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57.4%</w:t>
            </w: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47.7%</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57.7%</w:t>
            </w: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47.8%</w:t>
            </w:r>
          </w:p>
        </w:tc>
      </w:tr>
    </w:tbl>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Company's overall gross margin percentage for both the second quarter and first six months of 1995 improved significantly compared to the corresponding periods of 1994 principally due to reductions in cost per unit of memory sold for DRAM products and continued relatively stable average selling prices for such products. Reductions in cost per unit were realized primarily from transition to a further shrink version of the 4 Meg DRAM with higher potential die per wafer and higher yields on existing products resulting principally from increased manufacturing efficiencies.</w:t>
      </w:r>
    </w:p>
    <w:p>
      <w:pPr>
        <w:spacing w:after="0" w:line="21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Market conditions during the most recent eleven quarters have resulted in relatively stable semiconductor memory pricing. This represents a significant deviation above the semiconductor industry's historical long-term trend line of declining per megabit pricing. The Company is unable to predict when or how quickly average selling prices per megabit may return to the historical long-term trend line.</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 continues to limit its production of 16 Meg DRAMs in order to maximize 4 Meg DRAM production consistent with existing customer preferences. The transition from the 4 Meg DRAM to the 16 Meg DRAM may adversely impact the Company's gross margin percentage as production capacity is shifted from a relatively mature device to a next generation device. The Company believes the market transition to the 16 Meg DRAM as its primary DRAM product will be largely driven by the timing of when the market price for the 1 Meg x 16 configuration of the 16 Meg DRAM reaches per megabit price parity with the equivalent 4 Meg DRAM and by the timing of increases in the memory requirements of personal computers.</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Cost of goods sold includes estimated costs of settlement or adjudication of asserted and unasserted claims for patent infringement prior to the balance sheet date, and costs of product and process technology licensing arrangements. The charges for product and process technology decreased as a percentage of net sales in the second quarter and first six months of 1995 compared to the same periods of 1994 primarily as a result of a paid-up license agreement that became fully amortized late in fiscal 1994. Future product and process technology charges may increase as a result of claims asserted or licenses acquired in the future. See "Certain Factors".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800" w:type="dxa"/>
            <w:vAlign w:val="bottom"/>
            <w:gridSpan w:val="8"/>
          </w:tcPr>
          <w:p>
            <w:pPr>
              <w:ind w:left="540"/>
              <w:spacing w:after="0"/>
              <w:rPr>
                <w:sz w:val="20"/>
                <w:szCs w:val="20"/>
                <w:color w:val="auto"/>
              </w:rPr>
            </w:pPr>
            <w:r>
              <w:rPr>
                <w:rFonts w:ascii="Courier New" w:cs="Courier New" w:eastAsia="Courier New" w:hAnsi="Courier New"/>
                <w:sz w:val="18"/>
                <w:szCs w:val="18"/>
                <w:color w:val="auto"/>
                <w:w w:val="97"/>
              </w:rPr>
              <w:t>The Company's gross margin percentage has been negatively impacted by</w:t>
            </w:r>
          </w:p>
        </w:tc>
        <w:tc>
          <w:tcPr>
            <w:tcW w:w="420" w:type="dxa"/>
            <w:vAlign w:val="bottom"/>
          </w:tcPr>
          <w:p>
            <w:pPr>
              <w:spacing w:after="0"/>
              <w:rPr>
                <w:sz w:val="17"/>
                <w:szCs w:val="17"/>
                <w:color w:val="auto"/>
              </w:rPr>
            </w:pPr>
          </w:p>
        </w:tc>
      </w:tr>
      <w:tr>
        <w:trPr>
          <w:trHeight w:val="203"/>
        </w:trPr>
        <w:tc>
          <w:tcPr>
            <w:tcW w:w="574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w w:val="98"/>
              </w:rPr>
              <w:t>the increase in net sales of personal computer systems</w:t>
            </w:r>
          </w:p>
        </w:tc>
        <w:tc>
          <w:tcPr>
            <w:tcW w:w="24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as a percentage of the</w:t>
            </w:r>
          </w:p>
        </w:tc>
      </w:tr>
      <w:tr>
        <w:trPr>
          <w:trHeight w:val="203"/>
        </w:trPr>
        <w:tc>
          <w:tcPr>
            <w:tcW w:w="7800" w:type="dxa"/>
            <w:vAlign w:val="bottom"/>
            <w:gridSpan w:val="8"/>
          </w:tcPr>
          <w:p>
            <w:pPr>
              <w:spacing w:after="0" w:line="203" w:lineRule="exact"/>
              <w:rPr>
                <w:sz w:val="20"/>
                <w:szCs w:val="20"/>
                <w:color w:val="auto"/>
              </w:rPr>
            </w:pPr>
            <w:r>
              <w:rPr>
                <w:rFonts w:ascii="Courier New" w:cs="Courier New" w:eastAsia="Courier New" w:hAnsi="Courier New"/>
                <w:sz w:val="18"/>
                <w:szCs w:val="18"/>
                <w:color w:val="auto"/>
                <w:w w:val="97"/>
              </w:rPr>
              <w:t>Company's total net sales.  Gross margin on sales of PC Systems during the</w:t>
            </w:r>
          </w:p>
        </w:tc>
        <w:tc>
          <w:tcPr>
            <w:tcW w:w="420" w:type="dxa"/>
            <w:vAlign w:val="bottom"/>
          </w:tcPr>
          <w:p>
            <w:pPr>
              <w:spacing w:after="0"/>
              <w:rPr>
                <w:sz w:val="17"/>
                <w:szCs w:val="17"/>
                <w:color w:val="auto"/>
              </w:rPr>
            </w:pPr>
          </w:p>
        </w:tc>
      </w:tr>
      <w:tr>
        <w:trPr>
          <w:trHeight w:val="203"/>
        </w:trPr>
        <w:tc>
          <w:tcPr>
            <w:tcW w:w="7800" w:type="dxa"/>
            <w:vAlign w:val="bottom"/>
            <w:gridSpan w:val="8"/>
          </w:tcPr>
          <w:p>
            <w:pPr>
              <w:spacing w:after="0" w:line="203" w:lineRule="exact"/>
              <w:rPr>
                <w:sz w:val="20"/>
                <w:szCs w:val="20"/>
                <w:color w:val="auto"/>
              </w:rPr>
            </w:pPr>
            <w:r>
              <w:rPr>
                <w:rFonts w:ascii="Courier New" w:cs="Courier New" w:eastAsia="Courier New" w:hAnsi="Courier New"/>
                <w:sz w:val="18"/>
                <w:szCs w:val="18"/>
                <w:color w:val="auto"/>
                <w:w w:val="98"/>
              </w:rPr>
              <w:t>second quarter of 1995 was approximately 8%.  Following completion of the</w:t>
            </w:r>
          </w:p>
        </w:tc>
        <w:tc>
          <w:tcPr>
            <w:tcW w:w="420" w:type="dxa"/>
            <w:vAlign w:val="bottom"/>
          </w:tcPr>
          <w:p>
            <w:pPr>
              <w:spacing w:after="0"/>
              <w:rPr>
                <w:sz w:val="17"/>
                <w:szCs w:val="17"/>
                <w:color w:val="auto"/>
              </w:rPr>
            </w:pPr>
          </w:p>
        </w:tc>
      </w:tr>
      <w:tr>
        <w:trPr>
          <w:trHeight w:val="203"/>
        </w:trPr>
        <w:tc>
          <w:tcPr>
            <w:tcW w:w="7800" w:type="dxa"/>
            <w:vAlign w:val="bottom"/>
            <w:gridSpan w:val="8"/>
          </w:tcPr>
          <w:p>
            <w:pPr>
              <w:spacing w:after="0" w:line="203" w:lineRule="exact"/>
              <w:rPr>
                <w:sz w:val="20"/>
                <w:szCs w:val="20"/>
                <w:color w:val="auto"/>
              </w:rPr>
            </w:pPr>
            <w:r>
              <w:rPr>
                <w:rFonts w:ascii="Courier New" w:cs="Courier New" w:eastAsia="Courier New" w:hAnsi="Courier New"/>
                <w:sz w:val="18"/>
                <w:szCs w:val="18"/>
                <w:color w:val="auto"/>
                <w:w w:val="97"/>
              </w:rPr>
              <w:t>Company's planned acquisition of ZEOS, it is anticipated that net sales of</w:t>
            </w:r>
          </w:p>
        </w:tc>
        <w:tc>
          <w:tcPr>
            <w:tcW w:w="420" w:type="dxa"/>
            <w:vAlign w:val="bottom"/>
          </w:tcPr>
          <w:p>
            <w:pPr>
              <w:spacing w:after="0"/>
              <w:rPr>
                <w:sz w:val="17"/>
                <w:szCs w:val="17"/>
                <w:color w:val="auto"/>
              </w:rPr>
            </w:pPr>
          </w:p>
        </w:tc>
      </w:tr>
      <w:tr>
        <w:trPr>
          <w:trHeight w:val="203"/>
        </w:trPr>
        <w:tc>
          <w:tcPr>
            <w:tcW w:w="574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w w:val="98"/>
              </w:rPr>
              <w:t>personal computer systems will continue to increase as</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a percentage of the</w:t>
            </w:r>
          </w:p>
        </w:tc>
        <w:tc>
          <w:tcPr>
            <w:tcW w:w="420" w:type="dxa"/>
            <w:vAlign w:val="bottom"/>
          </w:tcPr>
          <w:p>
            <w:pPr>
              <w:spacing w:after="0"/>
              <w:rPr>
                <w:sz w:val="17"/>
                <w:szCs w:val="17"/>
                <w:color w:val="auto"/>
              </w:rPr>
            </w:pPr>
          </w:p>
        </w:tc>
      </w:tr>
      <w:tr>
        <w:trPr>
          <w:trHeight w:val="203"/>
        </w:trPr>
        <w:tc>
          <w:tcPr>
            <w:tcW w:w="574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w w:val="98"/>
              </w:rPr>
              <w:t>Company's total net sales.  ZEOS reported gross margin</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percentages of</w:t>
            </w:r>
          </w:p>
        </w:tc>
        <w:tc>
          <w:tcPr>
            <w:tcW w:w="420" w:type="dxa"/>
            <w:vAlign w:val="bottom"/>
          </w:tcPr>
          <w:p>
            <w:pPr>
              <w:spacing w:after="0"/>
              <w:rPr>
                <w:sz w:val="17"/>
                <w:szCs w:val="17"/>
                <w:color w:val="auto"/>
              </w:rPr>
            </w:pPr>
          </w:p>
        </w:tc>
      </w:tr>
      <w:tr>
        <w:trPr>
          <w:trHeight w:val="203"/>
        </w:trPr>
        <w:tc>
          <w:tcPr>
            <w:tcW w:w="7800" w:type="dxa"/>
            <w:vAlign w:val="bottom"/>
            <w:gridSpan w:val="8"/>
          </w:tcPr>
          <w:p>
            <w:pPr>
              <w:spacing w:after="0" w:line="203" w:lineRule="exact"/>
              <w:rPr>
                <w:sz w:val="20"/>
                <w:szCs w:val="20"/>
                <w:color w:val="auto"/>
              </w:rPr>
            </w:pPr>
            <w:r>
              <w:rPr>
                <w:rFonts w:ascii="Courier New" w:cs="Courier New" w:eastAsia="Courier New" w:hAnsi="Courier New"/>
                <w:sz w:val="18"/>
                <w:szCs w:val="18"/>
                <w:color w:val="auto"/>
                <w:w w:val="98"/>
              </w:rPr>
              <w:t>approximately 11% and 8% for its fourth quarter and its fiscal year ended</w:t>
            </w:r>
          </w:p>
        </w:tc>
        <w:tc>
          <w:tcPr>
            <w:tcW w:w="420" w:type="dxa"/>
            <w:vAlign w:val="bottom"/>
          </w:tcPr>
          <w:p>
            <w:pPr>
              <w:spacing w:after="0"/>
              <w:rPr>
                <w:sz w:val="17"/>
                <w:szCs w:val="17"/>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December 31, 1994.</w:t>
            </w: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810"/>
        </w:trPr>
        <w:tc>
          <w:tcPr>
            <w:tcW w:w="2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w w:val="96"/>
              </w:rPr>
              <w:t>Second Quarter</w:t>
            </w: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60" w:type="dxa"/>
            <w:vAlign w:val="bottom"/>
            <w:gridSpan w:val="2"/>
          </w:tcPr>
          <w:p>
            <w:pPr>
              <w:jc w:val="center"/>
              <w:ind w:left="92"/>
              <w:spacing w:after="0"/>
              <w:rPr>
                <w:sz w:val="20"/>
                <w:szCs w:val="20"/>
                <w:color w:val="auto"/>
              </w:rPr>
            </w:pPr>
            <w:r>
              <w:rPr>
                <w:rFonts w:ascii="Courier New" w:cs="Courier New" w:eastAsia="Courier New" w:hAnsi="Courier New"/>
                <w:sz w:val="18"/>
                <w:szCs w:val="18"/>
                <w:color w:val="auto"/>
                <w:w w:val="97"/>
              </w:rPr>
              <w:t>Six Months Ended</w:t>
            </w:r>
          </w:p>
        </w:tc>
        <w:tc>
          <w:tcPr>
            <w:tcW w:w="420" w:type="dxa"/>
            <w:vAlign w:val="bottom"/>
          </w:tcPr>
          <w:p>
            <w:pPr>
              <w:spacing w:after="0"/>
              <w:rPr>
                <w:sz w:val="24"/>
                <w:szCs w:val="24"/>
                <w:color w:val="auto"/>
              </w:rPr>
            </w:pPr>
          </w:p>
        </w:tc>
      </w:tr>
      <w:tr>
        <w:trPr>
          <w:trHeight w:val="203"/>
        </w:trPr>
        <w:tc>
          <w:tcPr>
            <w:tcW w:w="222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2"/>
              </w:rPr>
              <w:t>---------------------------</w:t>
            </w:r>
          </w:p>
        </w:tc>
        <w:tc>
          <w:tcPr>
            <w:tcW w:w="1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1995</w:t>
            </w:r>
          </w:p>
        </w:tc>
        <w:tc>
          <w:tcPr>
            <w:tcW w:w="15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Change</w:t>
            </w:r>
          </w:p>
        </w:tc>
        <w:tc>
          <w:tcPr>
            <w:tcW w:w="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1994</w:t>
            </w:r>
          </w:p>
        </w:tc>
        <w:tc>
          <w:tcPr>
            <w:tcW w:w="520" w:type="dxa"/>
            <w:vAlign w:val="bottom"/>
          </w:tcPr>
          <w:p>
            <w:pPr>
              <w:spacing w:after="0"/>
              <w:rPr>
                <w:sz w:val="17"/>
                <w:szCs w:val="17"/>
                <w:color w:val="auto"/>
              </w:rPr>
            </w:pP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1995</w:t>
            </w:r>
          </w:p>
        </w:tc>
        <w:tc>
          <w:tcPr>
            <w:tcW w:w="142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w w:val="98"/>
              </w:rPr>
              <w:t>Change</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1994</w:t>
            </w:r>
          </w:p>
        </w:tc>
      </w:tr>
      <w:tr>
        <w:trPr>
          <w:trHeight w:val="203"/>
        </w:trPr>
        <w:tc>
          <w:tcPr>
            <w:tcW w:w="222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2"/>
              </w:rPr>
              <w:t>---------------------------</w:t>
            </w:r>
          </w:p>
        </w:tc>
        <w:tc>
          <w:tcPr>
            <w:tcW w:w="1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w w:val="96"/>
              </w:rPr>
              <w:t>Selling, general, and</w:t>
            </w: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3"/>
        </w:trPr>
        <w:tc>
          <w:tcPr>
            <w:tcW w:w="2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administrative</w:t>
            </w:r>
          </w:p>
        </w:tc>
        <w:tc>
          <w:tcPr>
            <w:tcW w:w="420" w:type="dxa"/>
            <w:vAlign w:val="bottom"/>
          </w:tcPr>
          <w:p>
            <w:pPr>
              <w:jc w:val="right"/>
              <w:ind w:right="269"/>
              <w:spacing w:after="0" w:line="203" w:lineRule="exact"/>
              <w:rPr>
                <w:sz w:val="20"/>
                <w:szCs w:val="20"/>
                <w:color w:val="auto"/>
              </w:rPr>
            </w:pPr>
            <w:r>
              <w:rPr>
                <w:rFonts w:ascii="Courier New" w:cs="Courier New" w:eastAsia="Courier New" w:hAnsi="Courier New"/>
                <w:sz w:val="18"/>
                <w:szCs w:val="18"/>
                <w:color w:val="auto"/>
                <w:w w:val="73"/>
              </w:rPr>
              <w: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39.0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17.8%  $</w:t>
            </w:r>
          </w:p>
        </w:tc>
        <w:tc>
          <w:tcPr>
            <w:tcW w:w="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33.1</w:t>
            </w:r>
          </w:p>
        </w:tc>
        <w:tc>
          <w:tcPr>
            <w:tcW w:w="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77.2</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14.9%  $</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67.2</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as a % of net sales</w:t>
            </w:r>
          </w:p>
        </w:tc>
        <w:tc>
          <w:tcPr>
            <w:tcW w:w="42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6.2%</w:t>
            </w:r>
          </w:p>
        </w:tc>
        <w:tc>
          <w:tcPr>
            <w:tcW w:w="1540" w:type="dxa"/>
            <w:vAlign w:val="bottom"/>
          </w:tcPr>
          <w:p>
            <w:pPr>
              <w:spacing w:after="0"/>
              <w:rPr>
                <w:sz w:val="17"/>
                <w:szCs w:val="17"/>
                <w:color w:val="auto"/>
              </w:rPr>
            </w:pPr>
          </w:p>
        </w:tc>
        <w:tc>
          <w:tcPr>
            <w:tcW w:w="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8.5%</w:t>
            </w:r>
          </w:p>
        </w:tc>
        <w:tc>
          <w:tcPr>
            <w:tcW w:w="520" w:type="dxa"/>
            <w:vAlign w:val="bottom"/>
          </w:tcPr>
          <w:p>
            <w:pPr>
              <w:spacing w:after="0"/>
              <w:rPr>
                <w:sz w:val="17"/>
                <w:szCs w:val="17"/>
                <w:color w:val="auto"/>
              </w:rPr>
            </w:pP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6.6%</w:t>
            </w:r>
          </w:p>
        </w:tc>
        <w:tc>
          <w:tcPr>
            <w:tcW w:w="142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9.5%</w:t>
            </w:r>
          </w:p>
        </w:tc>
      </w:tr>
    </w:tbl>
    <w:p>
      <w:pPr>
        <w:spacing w:after="0" w:line="200" w:lineRule="exact"/>
        <w:rPr>
          <w:sz w:val="20"/>
          <w:szCs w:val="20"/>
          <w:color w:val="auto"/>
        </w:rPr>
      </w:pPr>
    </w:p>
    <w:p>
      <w:pPr>
        <w:spacing w:after="0" w:line="209"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Selling, general, and administrative expenses increased in both the second quarter and first six months of 1995 compared to the same periods of 1994, but decreased as a percentage of net sales. The higher level of selling, general, and administrative expenses during the second quarter of 1995 as compared to 1994 resulted primarily from a higher level of personnel costs as a result of increased number of employees in administrative areas and increased costs associated with the profit sharing programs, and to a lesser extent increased advertising expense incurred in the Company's personal computer operation. These increases were partially offset by a reduction of legal fees</w:t>
      </w:r>
    </w:p>
    <w:p>
      <w:pPr>
        <w:sectPr>
          <w:pgSz w:w="11900" w:h="16838" w:orient="portrait"/>
          <w:cols w:equalWidth="0" w:num="1">
            <w:col w:w="10219"/>
          </w:cols>
          <w:pgMar w:left="240" w:top="919" w:right="1440" w:bottom="0" w:gutter="0" w:footer="0" w:header="0"/>
        </w:sectPr>
      </w:pPr>
    </w:p>
    <w:bookmarkStart w:id="10" w:name="page11"/>
    <w:bookmarkEnd w:id="10"/>
    <w:p>
      <w:pPr>
        <w:spacing w:after="0"/>
        <w:rPr>
          <w:sz w:val="20"/>
          <w:szCs w:val="20"/>
          <w:color w:val="auto"/>
        </w:rPr>
      </w:pPr>
      <w:r>
        <w:rPr>
          <w:rFonts w:ascii="Courier New" w:cs="Courier New" w:eastAsia="Courier New" w:hAnsi="Courier New"/>
          <w:sz w:val="16"/>
          <w:szCs w:val="16"/>
          <w:color w:val="auto"/>
        </w:rPr>
        <w:t>primarily resulting from settlement of patent litigation.</w:t>
      </w:r>
    </w:p>
    <w:p>
      <w:pPr>
        <w:sectPr>
          <w:pgSz w:w="11900" w:h="16838" w:orient="portrait"/>
          <w:cols w:equalWidth="0" w:num="1">
            <w:col w:w="10219"/>
          </w:cols>
          <w:pgMar w:left="240" w:top="142" w:right="1440" w:bottom="1440" w:gutter="0" w:footer="0" w:header="0"/>
        </w:sectPr>
      </w:pPr>
    </w:p>
    <w:p>
      <w:pPr>
        <w:spacing w:after="0" w:line="22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142" w:right="1440"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Second Quarter</w:t>
            </w:r>
          </w:p>
        </w:tc>
        <w:tc>
          <w:tcPr>
            <w:tcW w:w="720" w:type="dxa"/>
            <w:vAlign w:val="bottom"/>
          </w:tcPr>
          <w:p>
            <w:pPr>
              <w:spacing w:after="0"/>
              <w:rPr>
                <w:sz w:val="17"/>
                <w:szCs w:val="17"/>
                <w:color w:val="auto"/>
              </w:rPr>
            </w:pPr>
          </w:p>
        </w:tc>
        <w:tc>
          <w:tcPr>
            <w:tcW w:w="24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Six Months Ended</w:t>
            </w:r>
          </w:p>
        </w:tc>
        <w:tc>
          <w:tcPr>
            <w:tcW w:w="46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9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1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1995</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Change</w:t>
            </w:r>
          </w:p>
        </w:tc>
        <w:tc>
          <w:tcPr>
            <w:tcW w:w="480" w:type="dxa"/>
            <w:vAlign w:val="bottom"/>
          </w:tcPr>
          <w:p>
            <w:pPr>
              <w:spacing w:after="0"/>
              <w:rPr>
                <w:sz w:val="17"/>
                <w:szCs w:val="17"/>
                <w:color w:val="auto"/>
              </w:rPr>
            </w:pPr>
          </w:p>
        </w:tc>
        <w:tc>
          <w:tcPr>
            <w:tcW w:w="7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1994</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1995</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Change</w:t>
            </w:r>
          </w:p>
        </w:tc>
        <w:tc>
          <w:tcPr>
            <w:tcW w:w="480" w:type="dxa"/>
            <w:vAlign w:val="bottom"/>
          </w:tcPr>
          <w:p>
            <w:pPr>
              <w:spacing w:after="0"/>
              <w:rPr>
                <w:sz w:val="17"/>
                <w:szCs w:val="17"/>
                <w:color w:val="auto"/>
              </w:rPr>
            </w:pP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144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9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405"/>
        </w:trPr>
        <w:tc>
          <w:tcPr>
            <w:tcW w:w="144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Research and</w:t>
            </w: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03"/>
        </w:trPr>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development</w:t>
            </w:r>
          </w:p>
        </w:tc>
        <w:tc>
          <w:tcPr>
            <w:tcW w:w="1200" w:type="dxa"/>
            <w:vAlign w:val="bottom"/>
          </w:tcPr>
          <w:p>
            <w:pPr>
              <w:jc w:val="right"/>
              <w:ind w:right="239"/>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28.9</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54.5%</w:t>
            </w:r>
          </w:p>
        </w:tc>
        <w:tc>
          <w:tcPr>
            <w:tcW w:w="4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18.7</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55.9</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69.4%</w:t>
            </w:r>
          </w:p>
        </w:tc>
        <w:tc>
          <w:tcPr>
            <w:tcW w:w="4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33.0</w:t>
            </w:r>
          </w:p>
        </w:tc>
      </w:tr>
      <w:tr>
        <w:trPr>
          <w:trHeight w:val="203"/>
        </w:trPr>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as a % of net</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sales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4.6%</w:t>
            </w: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4.8%</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w:t>
            </w: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w:t>
            </w:r>
          </w:p>
        </w:tc>
      </w:tr>
      <w:tr>
        <w:trPr>
          <w:trHeight w:val="608"/>
        </w:trPr>
        <w:tc>
          <w:tcPr>
            <w:tcW w:w="1440" w:type="dxa"/>
            <w:vAlign w:val="bottom"/>
          </w:tcPr>
          <w:p>
            <w:pPr>
              <w:jc w:val="right"/>
              <w:spacing w:after="0"/>
              <w:rPr>
                <w:sz w:val="20"/>
                <w:szCs w:val="20"/>
                <w:color w:val="auto"/>
              </w:rPr>
            </w:pPr>
            <w:r>
              <w:rPr>
                <w:rFonts w:ascii="Courier New" w:cs="Courier New" w:eastAsia="Courier New" w:hAnsi="Courier New"/>
                <w:sz w:val="18"/>
                <w:szCs w:val="18"/>
                <w:color w:val="auto"/>
              </w:rPr>
              <w:t>Research</w:t>
            </w:r>
          </w:p>
        </w:tc>
        <w:tc>
          <w:tcPr>
            <w:tcW w:w="3880" w:type="dxa"/>
            <w:vAlign w:val="bottom"/>
            <w:gridSpan w:val="5"/>
          </w:tcPr>
          <w:p>
            <w:pPr>
              <w:ind w:left="40"/>
              <w:spacing w:after="0"/>
              <w:rPr>
                <w:sz w:val="20"/>
                <w:szCs w:val="20"/>
                <w:color w:val="auto"/>
              </w:rPr>
            </w:pPr>
            <w:r>
              <w:rPr>
                <w:rFonts w:ascii="Courier New" w:cs="Courier New" w:eastAsia="Courier New" w:hAnsi="Courier New"/>
                <w:sz w:val="18"/>
                <w:szCs w:val="18"/>
                <w:color w:val="auto"/>
                <w:w w:val="98"/>
              </w:rPr>
              <w:t>and development expenses, which vary</w:t>
            </w:r>
          </w:p>
        </w:tc>
        <w:tc>
          <w:tcPr>
            <w:tcW w:w="2900" w:type="dxa"/>
            <w:vAlign w:val="bottom"/>
            <w:gridSpan w:val="4"/>
          </w:tcPr>
          <w:p>
            <w:pPr>
              <w:jc w:val="right"/>
              <w:ind w:right="112"/>
              <w:spacing w:after="0"/>
              <w:rPr>
                <w:sz w:val="20"/>
                <w:szCs w:val="20"/>
                <w:color w:val="auto"/>
              </w:rPr>
            </w:pPr>
            <w:r>
              <w:rPr>
                <w:rFonts w:ascii="Courier New" w:cs="Courier New" w:eastAsia="Courier New" w:hAnsi="Courier New"/>
                <w:sz w:val="18"/>
                <w:szCs w:val="18"/>
                <w:color w:val="auto"/>
                <w:w w:val="99"/>
              </w:rPr>
              <w:t>primarily with the number</w:t>
            </w:r>
          </w:p>
        </w:tc>
      </w:tr>
    </w:tbl>
    <w:p>
      <w:pPr>
        <w:spacing w:after="0" w:line="4" w:lineRule="exact"/>
        <w:rPr>
          <w:sz w:val="20"/>
          <w:szCs w:val="20"/>
          <w:color w:val="auto"/>
        </w:rPr>
      </w:pPr>
    </w:p>
    <w:p>
      <w:pPr>
        <w:jc w:val="both"/>
        <w:ind w:right="1999"/>
        <w:spacing w:after="0" w:line="268" w:lineRule="auto"/>
        <w:rPr>
          <w:sz w:val="20"/>
          <w:szCs w:val="20"/>
          <w:color w:val="auto"/>
        </w:rPr>
      </w:pPr>
      <w:r>
        <w:rPr>
          <w:rFonts w:ascii="Courier New" w:cs="Courier New" w:eastAsia="Courier New" w:hAnsi="Courier New"/>
          <w:sz w:val="16"/>
          <w:szCs w:val="16"/>
          <w:color w:val="auto"/>
        </w:rPr>
        <w:t>of wafers and personnel dedicated to new product and process development, were higher in absolute dollars but remained fairly constant as a percentage of net sales in both the second quarter and first six months of 1995 as compared to</w:t>
      </w:r>
    </w:p>
    <w:tbl>
      <w:tblPr>
        <w:tblLayout w:type="fixed"/>
        <w:tblInd w:w="0" w:type="dxa"/>
        <w:tblCellMar>
          <w:top w:w="0" w:type="dxa"/>
          <w:left w:w="0" w:type="dxa"/>
          <w:bottom w:w="0" w:type="dxa"/>
          <w:right w:w="0" w:type="dxa"/>
        </w:tblCellMar>
      </w:tblPr>
      <w:tr>
        <w:trPr>
          <w:trHeight w:val="199"/>
        </w:trPr>
        <w:tc>
          <w:tcPr>
            <w:tcW w:w="380" w:type="dxa"/>
            <w:vAlign w:val="bottom"/>
          </w:tcPr>
          <w:p>
            <w:pPr>
              <w:spacing w:after="0" w:line="198" w:lineRule="exact"/>
              <w:rPr>
                <w:sz w:val="20"/>
                <w:szCs w:val="20"/>
                <w:color w:val="auto"/>
              </w:rPr>
            </w:pPr>
            <w:r>
              <w:rPr>
                <w:rFonts w:ascii="Courier New" w:cs="Courier New" w:eastAsia="Courier New" w:hAnsi="Courier New"/>
                <w:sz w:val="18"/>
                <w:szCs w:val="18"/>
                <w:color w:val="auto"/>
              </w:rPr>
              <w:t>the</w:t>
            </w:r>
          </w:p>
        </w:tc>
        <w:tc>
          <w:tcPr>
            <w:tcW w:w="1480" w:type="dxa"/>
            <w:vAlign w:val="bottom"/>
            <w:gridSpan w:val="2"/>
          </w:tcPr>
          <w:p>
            <w:pPr>
              <w:jc w:val="right"/>
              <w:spacing w:after="0" w:line="198" w:lineRule="exact"/>
              <w:rPr>
                <w:sz w:val="20"/>
                <w:szCs w:val="20"/>
                <w:color w:val="auto"/>
              </w:rPr>
            </w:pPr>
            <w:r>
              <w:rPr>
                <w:rFonts w:ascii="Courier New" w:cs="Courier New" w:eastAsia="Courier New" w:hAnsi="Courier New"/>
                <w:sz w:val="18"/>
                <w:szCs w:val="18"/>
                <w:color w:val="auto"/>
                <w:w w:val="99"/>
              </w:rPr>
              <w:t>corresponding</w:t>
            </w:r>
          </w:p>
        </w:tc>
        <w:tc>
          <w:tcPr>
            <w:tcW w:w="172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98"/>
              </w:rPr>
              <w:t>periods of 1994.</w:t>
            </w:r>
          </w:p>
        </w:tc>
        <w:tc>
          <w:tcPr>
            <w:tcW w:w="102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Efforts</w:t>
            </w:r>
          </w:p>
        </w:tc>
        <w:tc>
          <w:tcPr>
            <w:tcW w:w="720" w:type="dxa"/>
            <w:vAlign w:val="bottom"/>
            <w:gridSpan w:val="2"/>
          </w:tcPr>
          <w:p>
            <w:pPr>
              <w:jc w:val="right"/>
              <w:spacing w:after="0" w:line="198" w:lineRule="exact"/>
              <w:rPr>
                <w:sz w:val="20"/>
                <w:szCs w:val="20"/>
                <w:color w:val="auto"/>
              </w:rPr>
            </w:pPr>
            <w:r>
              <w:rPr>
                <w:rFonts w:ascii="Courier New" w:cs="Courier New" w:eastAsia="Courier New" w:hAnsi="Courier New"/>
                <w:sz w:val="18"/>
                <w:szCs w:val="18"/>
                <w:color w:val="auto"/>
              </w:rPr>
              <w:t>in the</w:t>
            </w:r>
          </w:p>
        </w:tc>
        <w:tc>
          <w:tcPr>
            <w:tcW w:w="740" w:type="dxa"/>
            <w:vAlign w:val="bottom"/>
            <w:gridSpan w:val="2"/>
          </w:tcPr>
          <w:p>
            <w:pPr>
              <w:ind w:left="60"/>
              <w:spacing w:after="0" w:line="198" w:lineRule="exact"/>
              <w:rPr>
                <w:sz w:val="20"/>
                <w:szCs w:val="20"/>
                <w:color w:val="auto"/>
              </w:rPr>
            </w:pPr>
            <w:r>
              <w:rPr>
                <w:rFonts w:ascii="Courier New" w:cs="Courier New" w:eastAsia="Courier New" w:hAnsi="Courier New"/>
                <w:sz w:val="18"/>
                <w:szCs w:val="18"/>
                <w:color w:val="auto"/>
              </w:rPr>
              <w:t>second</w:t>
            </w:r>
          </w:p>
        </w:tc>
        <w:tc>
          <w:tcPr>
            <w:tcW w:w="84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quarter</w:t>
            </w:r>
          </w:p>
        </w:tc>
        <w:tc>
          <w:tcPr>
            <w:tcW w:w="320" w:type="dxa"/>
            <w:vAlign w:val="bottom"/>
          </w:tcPr>
          <w:p>
            <w:pPr>
              <w:ind w:left="60"/>
              <w:spacing w:after="0" w:line="198" w:lineRule="exact"/>
              <w:rPr>
                <w:sz w:val="20"/>
                <w:szCs w:val="20"/>
                <w:color w:val="auto"/>
              </w:rPr>
            </w:pPr>
            <w:r>
              <w:rPr>
                <w:rFonts w:ascii="Courier New" w:cs="Courier New" w:eastAsia="Courier New" w:hAnsi="Courier New"/>
                <w:sz w:val="18"/>
                <w:szCs w:val="18"/>
                <w:color w:val="auto"/>
              </w:rPr>
              <w:t>of</w:t>
            </w:r>
          </w:p>
        </w:tc>
        <w:tc>
          <w:tcPr>
            <w:tcW w:w="540" w:type="dxa"/>
            <w:vAlign w:val="bottom"/>
          </w:tcPr>
          <w:p>
            <w:pPr>
              <w:ind w:left="60"/>
              <w:spacing w:after="0" w:line="198" w:lineRule="exact"/>
              <w:rPr>
                <w:sz w:val="20"/>
                <w:szCs w:val="20"/>
                <w:color w:val="auto"/>
              </w:rPr>
            </w:pPr>
            <w:r>
              <w:rPr>
                <w:rFonts w:ascii="Courier New" w:cs="Courier New" w:eastAsia="Courier New" w:hAnsi="Courier New"/>
                <w:sz w:val="18"/>
                <w:szCs w:val="18"/>
                <w:color w:val="auto"/>
              </w:rPr>
              <w:t>1995</w:t>
            </w:r>
          </w:p>
        </w:tc>
        <w:tc>
          <w:tcPr>
            <w:tcW w:w="580" w:type="dxa"/>
            <w:vAlign w:val="bottom"/>
          </w:tcPr>
          <w:p>
            <w:pPr>
              <w:ind w:left="40"/>
              <w:spacing w:after="0" w:line="198" w:lineRule="exact"/>
              <w:rPr>
                <w:sz w:val="20"/>
                <w:szCs w:val="20"/>
                <w:color w:val="auto"/>
              </w:rPr>
            </w:pPr>
            <w:r>
              <w:rPr>
                <w:rFonts w:ascii="Courier New" w:cs="Courier New" w:eastAsia="Courier New" w:hAnsi="Courier New"/>
                <w:sz w:val="18"/>
                <w:szCs w:val="18"/>
                <w:color w:val="auto"/>
              </w:rPr>
              <w:t>were</w:t>
            </w:r>
          </w:p>
        </w:tc>
      </w:tr>
      <w:tr>
        <w:trPr>
          <w:trHeight w:val="203"/>
        </w:trPr>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focused</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primarily</w:t>
            </w:r>
          </w:p>
        </w:tc>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on design and development</w:t>
            </w:r>
          </w:p>
        </w:tc>
        <w:tc>
          <w:tcPr>
            <w:tcW w:w="7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of the</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64</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Meg</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 256</w:t>
            </w:r>
          </w:p>
        </w:tc>
        <w:tc>
          <w:tcPr>
            <w:tcW w:w="14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Meg DRAMs,</w:t>
            </w:r>
          </w:p>
        </w:tc>
      </w:tr>
      <w:tr>
        <w:trPr>
          <w:trHeight w:val="203"/>
        </w:trPr>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further</w:t>
            </w:r>
          </w:p>
        </w:tc>
        <w:tc>
          <w:tcPr>
            <w:tcW w:w="2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development of the fourth</w:t>
            </w:r>
          </w:p>
        </w:tc>
        <w:tc>
          <w:tcPr>
            <w:tcW w:w="1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generation</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 Meg</w:t>
            </w:r>
          </w:p>
        </w:tc>
        <w:tc>
          <w:tcPr>
            <w:tcW w:w="302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w w:val="97"/>
              </w:rPr>
              <w:t>DRAM and of the 16 Meg DRAM,</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320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design and development of the</w:t>
            </w:r>
          </w:p>
        </w:tc>
        <w:tc>
          <w:tcPr>
            <w:tcW w:w="1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4 Meg SRAM</w:t>
            </w:r>
          </w:p>
        </w:tc>
        <w:tc>
          <w:tcPr>
            <w:tcW w:w="9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shrink.</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Company</w:t>
            </w:r>
          </w:p>
        </w:tc>
        <w:tc>
          <w:tcPr>
            <w:tcW w:w="8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expects</w:t>
            </w:r>
          </w:p>
        </w:tc>
        <w:tc>
          <w:tcPr>
            <w:tcW w:w="580" w:type="dxa"/>
            <w:vAlign w:val="bottom"/>
          </w:tcPr>
          <w:p>
            <w:pPr>
              <w:spacing w:after="0"/>
              <w:rPr>
                <w:sz w:val="17"/>
                <w:szCs w:val="17"/>
                <w:color w:val="auto"/>
              </w:rPr>
            </w:pPr>
          </w:p>
        </w:tc>
      </w:tr>
      <w:tr>
        <w:trPr>
          <w:trHeight w:val="203"/>
        </w:trPr>
        <w:tc>
          <w:tcPr>
            <w:tcW w:w="532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w w:val="98"/>
              </w:rPr>
              <w:t>research and development expense for the remainder</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fiscal 1995</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be</w:t>
            </w:r>
          </w:p>
        </w:tc>
        <w:tc>
          <w:tcPr>
            <w:tcW w:w="580" w:type="dxa"/>
            <w:vAlign w:val="bottom"/>
          </w:tcPr>
          <w:p>
            <w:pPr>
              <w:spacing w:after="0"/>
              <w:rPr>
                <w:sz w:val="17"/>
                <w:szCs w:val="17"/>
                <w:color w:val="auto"/>
              </w:rPr>
            </w:pPr>
          </w:p>
        </w:tc>
      </w:tr>
    </w:tbl>
    <w:p>
      <w:pPr>
        <w:spacing w:after="0" w:line="4"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significantly higher in absolute dollars compared to fiscal 1994 as additional resources are dedicated to development of the 64 Meg DRAM, and design and development of the 256 Meg DRAM, as well as design and development of new technologies including radio frequency identification products, nonvolatile semiconductor memory devices, and field emission flat panel displays.</w:t>
      </w:r>
    </w:p>
    <w:p>
      <w:pPr>
        <w:sectPr>
          <w:pgSz w:w="11900" w:h="16838" w:orient="portrait"/>
          <w:cols w:equalWidth="0" w:num="1">
            <w:col w:w="10219"/>
          </w:cols>
          <w:pgMar w:left="240" w:top="919" w:right="1440" w:bottom="0" w:gutter="0" w:footer="0" w:header="0"/>
        </w:sectPr>
      </w:pPr>
    </w:p>
    <w:p>
      <w:pPr>
        <w:spacing w:after="0" w:line="200" w:lineRule="exact"/>
        <w:rPr>
          <w:sz w:val="20"/>
          <w:szCs w:val="20"/>
          <w:color w:val="auto"/>
        </w:rPr>
      </w:pPr>
    </w:p>
    <w:p>
      <w:pPr>
        <w:spacing w:after="0" w:line="38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Second Quarter</w:t>
      </w:r>
    </w:p>
    <w:p>
      <w:pPr>
        <w:spacing w:after="0" w:line="4"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640"/>
        <w:spacing w:after="0"/>
        <w:tabs>
          <w:tab w:leader="none" w:pos="3360" w:val="left"/>
          <w:tab w:leader="none" w:pos="4620" w:val="left"/>
        </w:tabs>
        <w:rPr>
          <w:sz w:val="20"/>
          <w:szCs w:val="20"/>
          <w:color w:val="auto"/>
        </w:rPr>
      </w:pPr>
      <w:r>
        <w:rPr>
          <w:rFonts w:ascii="Courier New" w:cs="Courier New" w:eastAsia="Courier New" w:hAnsi="Courier New"/>
          <w:sz w:val="18"/>
          <w:szCs w:val="18"/>
          <w:color w:val="auto"/>
        </w:rPr>
        <w:t>1995</w:t>
      </w:r>
      <w:r>
        <w:rPr>
          <w:sz w:val="20"/>
          <w:szCs w:val="20"/>
          <w:color w:val="auto"/>
        </w:rPr>
        <w:tab/>
      </w:r>
      <w:r>
        <w:rPr>
          <w:rFonts w:ascii="Courier New" w:cs="Courier New" w:eastAsia="Courier New" w:hAnsi="Courier New"/>
          <w:sz w:val="18"/>
          <w:szCs w:val="18"/>
          <w:color w:val="auto"/>
        </w:rPr>
        <w:t>Change</w:t>
      </w:r>
      <w:r>
        <w:rPr>
          <w:sz w:val="20"/>
          <w:szCs w:val="20"/>
          <w:color w:val="auto"/>
        </w:rPr>
        <w:tab/>
      </w:r>
      <w:r>
        <w:rPr>
          <w:rFonts w:ascii="Courier New" w:cs="Courier New" w:eastAsia="Courier New" w:hAnsi="Courier New"/>
          <w:sz w:val="16"/>
          <w:szCs w:val="16"/>
          <w:color w:val="auto"/>
        </w:rPr>
        <w:t>1994</w:t>
      </w:r>
    </w:p>
    <w:p>
      <w:pPr>
        <w:spacing w:after="0" w:line="4"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Six Months Ended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tabs>
          <w:tab w:leader="none" w:pos="1140" w:val="left"/>
          <w:tab w:leader="none" w:pos="2400" w:val="left"/>
        </w:tabs>
        <w:rPr>
          <w:sz w:val="20"/>
          <w:szCs w:val="20"/>
          <w:color w:val="auto"/>
        </w:rPr>
      </w:pPr>
      <w:r>
        <w:rPr>
          <w:rFonts w:ascii="Courier New" w:cs="Courier New" w:eastAsia="Courier New" w:hAnsi="Courier New"/>
          <w:sz w:val="18"/>
          <w:szCs w:val="18"/>
          <w:color w:val="auto"/>
        </w:rPr>
        <w:t>1995</w:t>
      </w:r>
      <w:r>
        <w:rPr>
          <w:sz w:val="20"/>
          <w:szCs w:val="20"/>
          <w:color w:val="auto"/>
        </w:rPr>
        <w:tab/>
      </w:r>
      <w:r>
        <w:rPr>
          <w:rFonts w:ascii="Courier New" w:cs="Courier New" w:eastAsia="Courier New" w:hAnsi="Courier New"/>
          <w:sz w:val="18"/>
          <w:szCs w:val="18"/>
          <w:color w:val="auto"/>
        </w:rPr>
        <w:t>Change</w:t>
      </w:r>
      <w:r>
        <w:rPr>
          <w:sz w:val="20"/>
          <w:szCs w:val="20"/>
          <w:color w:val="auto"/>
        </w:rPr>
        <w:tab/>
      </w:r>
      <w:r>
        <w:rPr>
          <w:rFonts w:ascii="Courier New" w:cs="Courier New" w:eastAsia="Courier New" w:hAnsi="Courier New"/>
          <w:sz w:val="16"/>
          <w:szCs w:val="16"/>
          <w:color w:val="auto"/>
        </w:rPr>
        <w:t>1994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060" w:space="320"/>
            <w:col w:w="4839"/>
          </w:cols>
          <w:pgMar w:left="240" w:top="919"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Income tax provision $</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116.1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138%</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tabs>
          <w:tab w:leader="none" w:pos="720" w:val="left"/>
          <w:tab w:leader="none" w:pos="1040" w:val="left"/>
        </w:tabs>
        <w:rPr>
          <w:sz w:val="20"/>
          <w:szCs w:val="20"/>
          <w:color w:val="auto"/>
        </w:rPr>
      </w:pPr>
      <w:r>
        <w:rPr>
          <w:rFonts w:ascii="Courier New" w:cs="Courier New" w:eastAsia="Courier New" w:hAnsi="Courier New"/>
          <w:sz w:val="18"/>
          <w:szCs w:val="18"/>
          <w:color w:val="auto"/>
        </w:rPr>
        <w:t>48.8</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205.7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137%</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86.8</w:t>
      </w:r>
    </w:p>
    <w:p>
      <w:pPr>
        <w:spacing w:after="0" w:line="216" w:lineRule="exact"/>
        <w:rPr>
          <w:sz w:val="20"/>
          <w:szCs w:val="20"/>
          <w:color w:val="auto"/>
        </w:rPr>
      </w:pPr>
    </w:p>
    <w:p>
      <w:pPr>
        <w:sectPr>
          <w:pgSz w:w="11900" w:h="16838" w:orient="portrait"/>
          <w:cols w:equalWidth="0" w:num="8">
            <w:col w:w="2320" w:space="220"/>
            <w:col w:w="520" w:space="520"/>
            <w:col w:w="440" w:space="200"/>
            <w:col w:w="100" w:space="320"/>
            <w:col w:w="1580" w:space="520"/>
            <w:col w:w="440" w:space="200"/>
            <w:col w:w="100" w:space="320"/>
            <w:col w:w="2419"/>
          </w:cols>
          <w:pgMar w:left="240" w:top="919" w:right="1440" w:bottom="0" w:gutter="0" w:footer="0" w:header="0"/>
          <w:type w:val="continuous"/>
        </w:sectPr>
      </w:pPr>
    </w:p>
    <w:p>
      <w:pPr>
        <w:spacing w:after="0" w:line="209" w:lineRule="exact"/>
        <w:rPr>
          <w:sz w:val="20"/>
          <w:szCs w:val="20"/>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During the second quarter of 1995, the Company changed its estimate of the effective income tax rate for fiscal 1995 to 37.5% from 36.0%.</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The Company had cash and liquid investments of approximately $577 million as of March 2, 1995, representing an increase of approximately $144 million during the first six months of 1995. The Company's principal sources of liquidity during the first six months of 1995 were cash flows from operations of $412 million, issuance of long-term debt of $60 million, equipment financing of $63 million, and $9 million from the issuance of common stock in connection with the Company's employee stock purchase and stock option plans. The principal uses of funds in the first six months of 1995 were $306 million for property, plant, and equipment, $71 million for payments on equipment contracts, $21 million for payments on long-term debt, and $10 million for payment of cash dividends on common stock. The Company expects a significant reduction in cash and liquid investments through the remainder of the fiscal year as capital expenditures should exceed cash flows from operations.</w:t>
      </w:r>
    </w:p>
    <w:p>
      <w:pPr>
        <w:spacing w:after="0" w:line="389"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As of March 2, 1995, the Company had contractual commitments, extending into fiscal 1997, of approximately $487 million for equipment purchases and approximately $67 million for the construction of buildings. Anticipated capital expenditures include the upgrade of manufacturing equipment to 8-inch wafer processing capability, completion of an additional assembly and test facility, and remodels and upgrades of existing fabrication facilities. In addition, the Company recently completed the selection process for a proposed semiconductor memory manufacturing complex to be located in Utah County, Utah. Capital expenditures associated with construction and equipment for this complex are expected to exceed $1 billion. Completion of this long-term expansion project could take up to four years and will proceed in stages as future market conditions allow.</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Company's bank credit agreement provides for borrowings of up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$120 million under a revolving loan expiring January 1997. Substantially all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tangible assets of the Company's semiconductor memory manufacturing</w:t>
      </w:r>
    </w:p>
    <w:p>
      <w:pPr>
        <w:spacing w:after="0" w:line="238" w:lineRule="auto"/>
        <w:rPr>
          <w:sz w:val="20"/>
          <w:szCs w:val="20"/>
          <w:color w:val="auto"/>
        </w:rPr>
      </w:pPr>
      <w:r>
        <w:rPr>
          <w:rFonts w:ascii="Courier New" w:cs="Courier New" w:eastAsia="Courier New" w:hAnsi="Courier New"/>
          <w:sz w:val="18"/>
          <w:szCs w:val="18"/>
          <w:color w:val="auto"/>
        </w:rPr>
        <w:t>operations not otherwise pledged as collateral for other notes payable and</w:t>
      </w:r>
    </w:p>
    <w:p>
      <w:pPr>
        <w:spacing w:after="0"/>
        <w:tabs>
          <w:tab w:leader="none" w:pos="6620" w:val="left"/>
        </w:tabs>
        <w:rPr>
          <w:sz w:val="20"/>
          <w:szCs w:val="20"/>
          <w:color w:val="auto"/>
        </w:rPr>
      </w:pPr>
      <w:r>
        <w:rPr>
          <w:rFonts w:ascii="Courier New" w:cs="Courier New" w:eastAsia="Courier New" w:hAnsi="Courier New"/>
          <w:sz w:val="18"/>
          <w:szCs w:val="18"/>
          <w:color w:val="auto"/>
        </w:rPr>
        <w:t>capital leases are pledged as collateral under the agreement.</w:t>
      </w:r>
      <w:r>
        <w:rPr>
          <w:sz w:val="20"/>
          <w:szCs w:val="20"/>
          <w:color w:val="auto"/>
        </w:rPr>
        <w:tab/>
      </w:r>
      <w:r>
        <w:rPr>
          <w:rFonts w:ascii="Courier New" w:cs="Courier New" w:eastAsia="Courier New" w:hAnsi="Courier New"/>
          <w:sz w:val="16"/>
          <w:szCs w:val="16"/>
          <w:color w:val="auto"/>
        </w:rPr>
        <w:t>The agreement</w:t>
      </w:r>
    </w:p>
    <w:p>
      <w:pPr>
        <w:spacing w:after="0"/>
        <w:tabs>
          <w:tab w:leader="none" w:pos="4100" w:val="left"/>
        </w:tabs>
        <w:rPr>
          <w:sz w:val="20"/>
          <w:szCs w:val="20"/>
          <w:color w:val="auto"/>
        </w:rPr>
      </w:pPr>
      <w:r>
        <w:rPr>
          <w:rFonts w:ascii="Courier New" w:cs="Courier New" w:eastAsia="Courier New" w:hAnsi="Courier New"/>
          <w:sz w:val="18"/>
          <w:szCs w:val="18"/>
          <w:color w:val="auto"/>
        </w:rPr>
        <w:t>contains certain financial covenants.</w:t>
      </w:r>
      <w:r>
        <w:rPr>
          <w:sz w:val="20"/>
          <w:szCs w:val="20"/>
          <w:color w:val="auto"/>
        </w:rPr>
        <w:tab/>
      </w:r>
      <w:r>
        <w:rPr>
          <w:rFonts w:ascii="Courier New" w:cs="Courier New" w:eastAsia="Courier New" w:hAnsi="Courier New"/>
          <w:sz w:val="16"/>
          <w:szCs w:val="16"/>
          <w:color w:val="auto"/>
        </w:rPr>
        <w:t>As of March 2, 1995, the Company had no</w:t>
      </w:r>
    </w:p>
    <w:p>
      <w:pPr>
        <w:spacing w:after="0" w:line="238" w:lineRule="auto"/>
        <w:rPr>
          <w:sz w:val="20"/>
          <w:szCs w:val="20"/>
          <w:color w:val="auto"/>
        </w:rPr>
      </w:pPr>
      <w:r>
        <w:rPr>
          <w:rFonts w:ascii="Courier New" w:cs="Courier New" w:eastAsia="Courier New" w:hAnsi="Courier New"/>
          <w:sz w:val="18"/>
          <w:szCs w:val="18"/>
          <w:color w:val="auto"/>
        </w:rPr>
        <w:t>borrowings outstanding under the agreement.</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919" w:right="1440" w:bottom="0" w:gutter="0" w:footer="0" w:header="0"/>
          <w:type w:val="continuous"/>
        </w:sectPr>
      </w:pPr>
    </w:p>
    <w:bookmarkStart w:id="12" w:name="page13"/>
    <w:bookmarkEnd w:id="12"/>
    <w:p>
      <w:pPr>
        <w:ind w:left="540"/>
        <w:spacing w:after="0"/>
        <w:rPr>
          <w:sz w:val="20"/>
          <w:szCs w:val="20"/>
          <w:color w:val="auto"/>
        </w:rPr>
      </w:pPr>
      <w:r>
        <w:rPr>
          <w:rFonts w:ascii="Courier New" w:cs="Courier New" w:eastAsia="Courier New" w:hAnsi="Courier New"/>
          <w:sz w:val="16"/>
          <w:szCs w:val="16"/>
          <w:color w:val="auto"/>
        </w:rPr>
        <w:t>The Company believes continuing investments in manufacturing technology,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facilities and capital equipment, research and development, and product and</w:t>
      </w:r>
    </w:p>
    <w:p>
      <w:pPr>
        <w:spacing w:after="0" w:line="238" w:lineRule="auto"/>
        <w:rPr>
          <w:sz w:val="20"/>
          <w:szCs w:val="20"/>
          <w:color w:val="auto"/>
        </w:rPr>
      </w:pPr>
      <w:r>
        <w:rPr>
          <w:rFonts w:ascii="Courier New" w:cs="Courier New" w:eastAsia="Courier New" w:hAnsi="Courier New"/>
          <w:sz w:val="18"/>
          <w:szCs w:val="18"/>
          <w:color w:val="auto"/>
        </w:rPr>
        <w:t>process technology are necessary to support future growth, achieve operating</w:t>
      </w:r>
    </w:p>
    <w:p>
      <w:pPr>
        <w:spacing w:after="0"/>
        <w:tabs>
          <w:tab w:leader="none" w:pos="4720" w:val="left"/>
        </w:tabs>
        <w:rPr>
          <w:sz w:val="20"/>
          <w:szCs w:val="20"/>
          <w:color w:val="auto"/>
        </w:rPr>
      </w:pPr>
      <w:r>
        <w:rPr>
          <w:rFonts w:ascii="Courier New" w:cs="Courier New" w:eastAsia="Courier New" w:hAnsi="Courier New"/>
          <w:sz w:val="18"/>
          <w:szCs w:val="18"/>
          <w:color w:val="auto"/>
        </w:rPr>
        <w:t>efficiencies, and maintain product quality.</w:t>
      </w:r>
      <w:r>
        <w:rPr>
          <w:sz w:val="20"/>
          <w:szCs w:val="20"/>
          <w:color w:val="auto"/>
        </w:rPr>
        <w:tab/>
      </w:r>
      <w:r>
        <w:rPr>
          <w:rFonts w:ascii="Courier New" w:cs="Courier New" w:eastAsia="Courier New" w:hAnsi="Courier New"/>
          <w:sz w:val="16"/>
          <w:szCs w:val="16"/>
          <w:color w:val="auto"/>
        </w:rPr>
        <w:t>Although the Company has recently</w:t>
      </w:r>
    </w:p>
    <w:p>
      <w:pPr>
        <w:spacing w:after="0" w:line="237" w:lineRule="auto"/>
        <w:rPr>
          <w:sz w:val="20"/>
          <w:szCs w:val="20"/>
          <w:color w:val="auto"/>
        </w:rPr>
      </w:pPr>
      <w:r>
        <w:rPr>
          <w:rFonts w:ascii="Courier New" w:cs="Courier New" w:eastAsia="Courier New" w:hAnsi="Courier New"/>
          <w:sz w:val="18"/>
          <w:szCs w:val="18"/>
          <w:color w:val="auto"/>
        </w:rPr>
        <w:t>been able to fund its liquidity needs through cash flows from operations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equipment financings, external sources of cash have been required historically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supplement the Company's cash flows from operations to fund these ongoing</w:t>
      </w:r>
    </w:p>
    <w:p>
      <w:pPr>
        <w:spacing w:after="0"/>
        <w:tabs>
          <w:tab w:leader="none" w:pos="1460" w:val="left"/>
        </w:tabs>
        <w:rPr>
          <w:sz w:val="20"/>
          <w:szCs w:val="20"/>
          <w:color w:val="auto"/>
        </w:rPr>
      </w:pPr>
      <w:r>
        <w:rPr>
          <w:rFonts w:ascii="Courier New" w:cs="Courier New" w:eastAsia="Courier New" w:hAnsi="Courier New"/>
          <w:sz w:val="18"/>
          <w:szCs w:val="18"/>
          <w:color w:val="auto"/>
        </w:rPr>
        <w:t>investments.</w:t>
      </w:r>
      <w:r>
        <w:rPr>
          <w:sz w:val="20"/>
          <w:szCs w:val="20"/>
          <w:color w:val="auto"/>
        </w:rPr>
        <w:tab/>
      </w:r>
      <w:r>
        <w:rPr>
          <w:rFonts w:ascii="Courier New" w:cs="Courier New" w:eastAsia="Courier New" w:hAnsi="Courier New"/>
          <w:sz w:val="16"/>
          <w:szCs w:val="16"/>
          <w:color w:val="auto"/>
        </w:rPr>
        <w:t>In order to fund the Company's current capital development</w:t>
      </w:r>
    </w:p>
    <w:p>
      <w:pPr>
        <w:spacing w:after="0"/>
        <w:rPr>
          <w:sz w:val="20"/>
          <w:szCs w:val="20"/>
          <w:color w:val="auto"/>
        </w:rPr>
      </w:pPr>
      <w:r>
        <w:rPr>
          <w:rFonts w:ascii="Courier New" w:cs="Courier New" w:eastAsia="Courier New" w:hAnsi="Courier New"/>
          <w:sz w:val="18"/>
          <w:szCs w:val="18"/>
          <w:color w:val="auto"/>
        </w:rPr>
        <w:t>program as scheduled, the Company may be required to pursue external</w:t>
      </w:r>
    </w:p>
    <w:p>
      <w:pPr>
        <w:spacing w:after="0"/>
        <w:tabs>
          <w:tab w:leader="none" w:pos="2420" w:val="left"/>
        </w:tabs>
        <w:rPr>
          <w:sz w:val="20"/>
          <w:szCs w:val="20"/>
          <w:color w:val="auto"/>
        </w:rPr>
      </w:pPr>
      <w:r>
        <w:rPr>
          <w:rFonts w:ascii="Courier New" w:cs="Courier New" w:eastAsia="Courier New" w:hAnsi="Courier New"/>
          <w:sz w:val="18"/>
          <w:szCs w:val="18"/>
          <w:color w:val="auto"/>
        </w:rPr>
        <w:t>sources of liquidity.</w:t>
      </w:r>
      <w:r>
        <w:rPr>
          <w:sz w:val="20"/>
          <w:szCs w:val="20"/>
          <w:color w:val="auto"/>
        </w:rPr>
        <w:tab/>
      </w:r>
      <w:r>
        <w:rPr>
          <w:rFonts w:ascii="Courier New" w:cs="Courier New" w:eastAsia="Courier New" w:hAnsi="Courier New"/>
          <w:sz w:val="16"/>
          <w:szCs w:val="16"/>
          <w:color w:val="auto"/>
        </w:rPr>
        <w:t>There can be no assurance that external funds will be</w:t>
      </w:r>
    </w:p>
    <w:p>
      <w:pPr>
        <w:spacing w:after="0" w:line="238" w:lineRule="auto"/>
        <w:rPr>
          <w:sz w:val="20"/>
          <w:szCs w:val="20"/>
          <w:color w:val="auto"/>
        </w:rPr>
      </w:pPr>
      <w:r>
        <w:rPr>
          <w:rFonts w:ascii="Courier New" w:cs="Courier New" w:eastAsia="Courier New" w:hAnsi="Courier New"/>
          <w:sz w:val="18"/>
          <w:szCs w:val="18"/>
          <w:color w:val="auto"/>
        </w:rPr>
        <w:t>available to fund the Company's ongoing operations or capital development on</w:t>
      </w:r>
    </w:p>
    <w:p>
      <w:pPr>
        <w:spacing w:after="0"/>
        <w:rPr>
          <w:sz w:val="20"/>
          <w:szCs w:val="20"/>
          <w:color w:val="auto"/>
        </w:rPr>
      </w:pPr>
      <w:r>
        <w:rPr>
          <w:rFonts w:ascii="Courier New" w:cs="Courier New" w:eastAsia="Courier New" w:hAnsi="Courier New"/>
          <w:sz w:val="18"/>
          <w:szCs w:val="18"/>
          <w:color w:val="auto"/>
        </w:rPr>
        <w:t>terms acceptable to the Company.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Factors</w:t>
      </w:r>
    </w:p>
    <w:p>
      <w:pPr>
        <w:spacing w:after="0" w:line="207"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The semiconductor memory industry is characterized by rapid technological change, frequent product introductions and enhancements, difficult product transitions, relatively short product life cycles, and volatile market conditions. These characteristics historically have made the semiconductor industry highly cyclical, particularly in the market for DRAMs, which are the Company's primary products. Demand for semiconductor memory products has grown, fueled primarily by growth in the personal computer industry. Many of the Company's competitors are adding new facilities designed to process 8-inch wafers, which have approximately 84% greater usable surface area than the</w:t>
      </w:r>
    </w:p>
    <w:p>
      <w:pPr>
        <w:spacing w:after="0" w:line="2" w:lineRule="exact"/>
        <w:rPr>
          <w:sz w:val="20"/>
          <w:szCs w:val="20"/>
          <w:color w:val="auto"/>
        </w:rPr>
      </w:pPr>
    </w:p>
    <w:p>
      <w:pPr>
        <w:jc w:val="both"/>
        <w:ind w:right="1999"/>
        <w:spacing w:after="0" w:line="268" w:lineRule="auto"/>
        <w:rPr>
          <w:sz w:val="20"/>
          <w:szCs w:val="20"/>
          <w:color w:val="auto"/>
        </w:rPr>
      </w:pPr>
      <w:r>
        <w:rPr>
          <w:rFonts w:ascii="Courier New" w:cs="Courier New" w:eastAsia="Courier New" w:hAnsi="Courier New"/>
          <w:sz w:val="16"/>
          <w:szCs w:val="16"/>
          <w:color w:val="auto"/>
        </w:rPr>
        <w:t>6-inch wafer currently used by the Company. In addition, many competitors are currently believed to be running their 16 Meg DRAM manufacturing operations at significantly lower yields than could be expected when such products mature.</w:t>
      </w:r>
    </w:p>
    <w:p>
      <w:pPr>
        <w:spacing w:after="0" w:line="1"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Yield improvements by these competitors would dramatically increase worldwide semiconductor memory capacity. Excess supply as a result of increased semiconductor manufacturing capacity, adverse market conditions, or currency fluctuation resulting in a strengthening dollar against the yen, could result in downward pricing pressure. A decline in the current favorable product pricing would have a material adverse effect on the Company's results of operations.</w:t>
      </w:r>
    </w:p>
    <w:p>
      <w:pPr>
        <w:spacing w:after="0" w:line="200" w:lineRule="exact"/>
        <w:rPr>
          <w:sz w:val="20"/>
          <w:szCs w:val="20"/>
          <w:color w:val="auto"/>
        </w:rPr>
      </w:pPr>
    </w:p>
    <w:p>
      <w:pPr>
        <w:spacing w:after="0" w:line="214"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The manufacture of the Company's semiconductor memory products is a complex process and involves a number of precise steps, including wafer fabrication, assembly in a variety of packages, burn-in, and final test. From time to time, the Company has experienced volatility in its manufacturing yields, as it is not unusual to encounter difficulties in ramping shrink versions of existing devices or new generation devices to commercial volumes. The Company's net sales and operating results are highly dependent on increasing yields at an acceptable rate and to an acceptable level, of which there can be no assurance. Future results of operations may be adversely impacted if the Company is unable to transition to future generation products, in a timely fashion or at gross margin rates comparable to the Company's current primary products.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13" w:name="page14"/>
    <w:bookmarkEnd w:id="13"/>
    <w:p>
      <w:pPr>
        <w:ind w:right="1879" w:firstLine="527"/>
        <w:spacing w:after="0" w:line="238" w:lineRule="auto"/>
        <w:rPr>
          <w:sz w:val="20"/>
          <w:szCs w:val="20"/>
          <w:color w:val="auto"/>
        </w:rPr>
      </w:pPr>
      <w:r>
        <w:rPr>
          <w:rFonts w:ascii="Courier New" w:cs="Courier New" w:eastAsia="Courier New" w:hAnsi="Courier New"/>
          <w:sz w:val="18"/>
          <w:szCs w:val="18"/>
          <w:color w:val="auto"/>
        </w:rPr>
        <w:t>Periodically, the Company is made aware that technology used by the Company in the manufacture of some or all of its products may infringe on product or process technology rights held by others. The Company has accrued a liability and charged operations for the estimated costs of settlement or adjudication of asserted and unasserted claims for infringement prior to the balance sheet date. Management can give no assurance that the amounts accrued have been adequate and cannot estimate the range of additional possible loss, if any, from resolution of these uncertainties. Resolution of whether the Company's manufacture of products has infringed on valid rights held by others may have a material adverse effect on the Company's financial position or results of operations, and may require material changes in production processes and products. The Company has various product and process technology agreements expiring in the remainder of 1995. The Company is not able to predict whether these license agreements can be renewed on terms acceptable to the Company.</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14" w:name="page15"/>
    <w:bookmarkEnd w:id="14"/>
    <w:p>
      <w:pPr>
        <w:ind w:left="2120"/>
        <w:spacing w:after="0"/>
        <w:tabs>
          <w:tab w:leader="none" w:pos="314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Submission of Matters to a Vote of Shareholders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registrant's 1994 Annual Meeting of Shareholders was held on January 30, 1995 at the Registrant's corporate office. At the meeting, the following items were submitted to a vote of the shareholders. At the meeting, 102,128,550 shares were entitled to vote.</w:t>
      </w:r>
    </w:p>
    <w:p>
      <w:pPr>
        <w:spacing w:after="0" w:line="207" w:lineRule="exact"/>
        <w:rPr>
          <w:sz w:val="20"/>
          <w:szCs w:val="20"/>
          <w:color w:val="auto"/>
        </w:rPr>
      </w:pPr>
    </w:p>
    <w:p>
      <w:pPr>
        <w:ind w:right="1999" w:firstLine="535"/>
        <w:spacing w:after="0" w:line="236" w:lineRule="auto"/>
        <w:tabs>
          <w:tab w:leader="none" w:pos="105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nominees for Directors were elected. Each person elected as a Director will serve until the next annual meeting of shareholders or until such person's successor is elected and qualified:</w:t>
      </w:r>
    </w:p>
    <w:p>
      <w:pPr>
        <w:spacing w:after="0" w:line="203"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4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8"/>
                <w:szCs w:val="18"/>
                <w:color w:val="auto"/>
              </w:rPr>
              <w:t>Abstentions /</w:t>
            </w:r>
          </w:p>
        </w:tc>
      </w:tr>
      <w:tr>
        <w:trPr>
          <w:trHeight w:val="203"/>
        </w:trPr>
        <w:tc>
          <w:tcPr>
            <w:tcW w:w="2480" w:type="dxa"/>
            <w:vAlign w:val="bottom"/>
          </w:tcPr>
          <w:p>
            <w:pPr>
              <w:spacing w:after="0"/>
              <w:rPr>
                <w:sz w:val="17"/>
                <w:szCs w:val="17"/>
                <w:color w:val="auto"/>
              </w:rPr>
            </w:pPr>
          </w:p>
        </w:tc>
        <w:tc>
          <w:tcPr>
            <w:tcW w:w="16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Votes</w:t>
            </w:r>
          </w:p>
        </w:tc>
        <w:tc>
          <w:tcPr>
            <w:tcW w:w="186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Votes</w:t>
            </w:r>
          </w:p>
        </w:tc>
        <w:tc>
          <w:tcPr>
            <w:tcW w:w="16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Broker</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of Nominee</w:t>
            </w:r>
          </w:p>
        </w:tc>
        <w:tc>
          <w:tcPr>
            <w:tcW w:w="16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Cast For</w:t>
            </w:r>
          </w:p>
        </w:tc>
        <w:tc>
          <w:tcPr>
            <w:tcW w:w="1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Cast Against</w:t>
            </w:r>
          </w:p>
        </w:tc>
        <w:tc>
          <w:tcPr>
            <w:tcW w:w="1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Non-Votes</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c>
          <w:tcPr>
            <w:tcW w:w="1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Steven R. Appleton</w:t>
            </w:r>
          </w:p>
        </w:tc>
        <w:tc>
          <w:tcPr>
            <w:tcW w:w="16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94,463,128</w:t>
            </w:r>
          </w:p>
        </w:tc>
        <w:tc>
          <w:tcPr>
            <w:tcW w:w="1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31,192</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7,634,230</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Jerry M. Hess</w:t>
            </w:r>
          </w:p>
        </w:tc>
        <w:tc>
          <w:tcPr>
            <w:tcW w:w="16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94,458,483</w:t>
            </w:r>
          </w:p>
        </w:tc>
        <w:tc>
          <w:tcPr>
            <w:tcW w:w="1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23,237</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7,646,830</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Robert A. Lothrop</w:t>
            </w:r>
          </w:p>
        </w:tc>
        <w:tc>
          <w:tcPr>
            <w:tcW w:w="16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94,460,100</w:t>
            </w:r>
          </w:p>
        </w:tc>
        <w:tc>
          <w:tcPr>
            <w:tcW w:w="1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34,120</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7,634,330</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Tyler A. Lowrey</w:t>
            </w:r>
          </w:p>
        </w:tc>
        <w:tc>
          <w:tcPr>
            <w:tcW w:w="16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94,463,410</w:t>
            </w:r>
          </w:p>
        </w:tc>
        <w:tc>
          <w:tcPr>
            <w:tcW w:w="1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31,000</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7,634,140</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Thomas T. Nicholson</w:t>
            </w:r>
          </w:p>
        </w:tc>
        <w:tc>
          <w:tcPr>
            <w:tcW w:w="16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94,460,332</w:t>
            </w:r>
          </w:p>
        </w:tc>
        <w:tc>
          <w:tcPr>
            <w:tcW w:w="1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21,735</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7,646,483</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Allen T. Noble</w:t>
            </w:r>
          </w:p>
        </w:tc>
        <w:tc>
          <w:tcPr>
            <w:tcW w:w="16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94,461,252</w:t>
            </w:r>
          </w:p>
        </w:tc>
        <w:tc>
          <w:tcPr>
            <w:tcW w:w="1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20,668</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7,646,630</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Don J. Simplot</w:t>
            </w:r>
          </w:p>
        </w:tc>
        <w:tc>
          <w:tcPr>
            <w:tcW w:w="16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94,454,231</w:t>
            </w:r>
          </w:p>
        </w:tc>
        <w:tc>
          <w:tcPr>
            <w:tcW w:w="1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39,542</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7,634,777</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R. Simplot</w:t>
            </w:r>
          </w:p>
        </w:tc>
        <w:tc>
          <w:tcPr>
            <w:tcW w:w="16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94,401,999</w:t>
            </w:r>
          </w:p>
        </w:tc>
        <w:tc>
          <w:tcPr>
            <w:tcW w:w="1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39,575</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7,686,976</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Gordon C. Smith</w:t>
            </w:r>
          </w:p>
        </w:tc>
        <w:tc>
          <w:tcPr>
            <w:tcW w:w="16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94,401,254</w:t>
            </w:r>
          </w:p>
        </w:tc>
        <w:tc>
          <w:tcPr>
            <w:tcW w:w="1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34,282</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7,693,014</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Wilbur G. Stover, Jr.</w:t>
            </w:r>
          </w:p>
        </w:tc>
        <w:tc>
          <w:tcPr>
            <w:tcW w:w="16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94,403,899</w:t>
            </w:r>
          </w:p>
        </w:tc>
        <w:tc>
          <w:tcPr>
            <w:tcW w:w="1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32,697</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7,691,954</w:t>
            </w:r>
          </w:p>
        </w:tc>
      </w:tr>
    </w:tbl>
    <w:p>
      <w:pPr>
        <w:spacing w:after="0" w:line="200" w:lineRule="exact"/>
        <w:rPr>
          <w:sz w:val="20"/>
          <w:szCs w:val="20"/>
          <w:color w:val="auto"/>
        </w:rPr>
      </w:pPr>
    </w:p>
    <w:p>
      <w:pPr>
        <w:spacing w:after="0" w:line="209" w:lineRule="exact"/>
        <w:rPr>
          <w:sz w:val="20"/>
          <w:szCs w:val="20"/>
          <w:color w:val="auto"/>
        </w:rPr>
      </w:pPr>
    </w:p>
    <w:p>
      <w:pPr>
        <w:ind w:right="2319" w:firstLine="535"/>
        <w:spacing w:after="0" w:line="237" w:lineRule="auto"/>
        <w:tabs>
          <w:tab w:leader="none" w:pos="10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amendment to the Company's Certificate of Incorporation increasing the number of authorized shares of Common Stock from 150,000,000 shares to 300,000,000 shares was approved with 89,007,160 votes in favor, 5,359,072 votes against, and 7,762,318 representing abstentions and broker non-votes.</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1994 Stock Option Plan including the reservation</w:t>
      </w:r>
    </w:p>
    <w:p>
      <w:pPr>
        <w:spacing w:after="0" w:line="4"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of 1,000,000 shares of the Company's Common Stock for issuance thereunder was approved with 62,290,031 votes in favor, 31,843,303 votes against, and 7,995,216 representing abstentions and broker non-votes.</w:t>
      </w:r>
    </w:p>
    <w:p>
      <w:pPr>
        <w:spacing w:after="0" w:line="209" w:lineRule="exact"/>
        <w:rPr>
          <w:sz w:val="20"/>
          <w:szCs w:val="20"/>
          <w:color w:val="auto"/>
        </w:rPr>
      </w:pPr>
    </w:p>
    <w:p>
      <w:pPr>
        <w:ind w:right="1879" w:firstLine="535"/>
        <w:spacing w:after="0" w:line="236" w:lineRule="auto"/>
        <w:tabs>
          <w:tab w:leader="none" w:pos="105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Executive Bonus Plan was approved with 90,967,298 votes in favor, 2,971,765 votes against, and 8,189,487 representing abstentions and broker non-votes.</w:t>
      </w:r>
    </w:p>
    <w:p>
      <w:pPr>
        <w:spacing w:after="0" w:line="208" w:lineRule="exact"/>
        <w:rPr>
          <w:rFonts w:ascii="Courier New" w:cs="Courier New" w:eastAsia="Courier New" w:hAnsi="Courier New"/>
          <w:sz w:val="18"/>
          <w:szCs w:val="18"/>
          <w:color w:val="auto"/>
        </w:rPr>
      </w:pPr>
    </w:p>
    <w:p>
      <w:pPr>
        <w:ind w:right="1879" w:firstLine="535"/>
        <w:spacing w:after="0" w:line="237" w:lineRule="auto"/>
        <w:tabs>
          <w:tab w:leader="none" w:pos="105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ratification and appointment of Coopers &amp; Lybrand L.L.P. as independent public accountants of the Company for the fiscal year ending August 31, 1995 was approved with 93,289,329 votes in favor, 28,666 votes against, and 8,810,555 representing abstentions and broker non-votes.</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919" w:right="1440" w:bottom="1440" w:gutter="0" w:footer="0" w:header="0"/>
        </w:sectPr>
      </w:pPr>
    </w:p>
    <w:bookmarkStart w:id="15" w:name="page16"/>
    <w:bookmarkEnd w:id="15"/>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The following are filed as a part of this report:</w:t>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5780" w:type="dxa"/>
            <w:vAlign w:val="bottom"/>
          </w:tcPr>
          <w:p>
            <w:pPr>
              <w:spacing w:after="0"/>
              <w:rPr>
                <w:sz w:val="17"/>
                <w:szCs w:val="17"/>
                <w:color w:val="auto"/>
              </w:rPr>
            </w:pPr>
          </w:p>
        </w:tc>
        <w:tc>
          <w:tcPr>
            <w:tcW w:w="900" w:type="dxa"/>
            <w:vAlign w:val="bottom"/>
          </w:tcPr>
          <w:p>
            <w:pPr>
              <w:jc w:val="center"/>
              <w:ind w:left="192"/>
              <w:spacing w:after="0"/>
              <w:rPr>
                <w:sz w:val="20"/>
                <w:szCs w:val="20"/>
                <w:color w:val="auto"/>
              </w:rPr>
            </w:pPr>
            <w:r>
              <w:rPr>
                <w:rFonts w:ascii="Courier New" w:cs="Courier New" w:eastAsia="Courier New" w:hAnsi="Courier New"/>
                <w:sz w:val="18"/>
                <w:szCs w:val="18"/>
                <w:color w:val="auto"/>
                <w:w w:val="97"/>
              </w:rPr>
              <w:t>Page</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5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Description of Exhibit</w:t>
            </w:r>
          </w:p>
        </w:tc>
        <w:tc>
          <w:tcPr>
            <w:tcW w:w="900" w:type="dxa"/>
            <w:vAlign w:val="bottom"/>
          </w:tcPr>
          <w:p>
            <w:pPr>
              <w:jc w:val="center"/>
              <w:ind w:left="192"/>
              <w:spacing w:after="0" w:line="203" w:lineRule="exact"/>
              <w:rPr>
                <w:sz w:val="20"/>
                <w:szCs w:val="20"/>
                <w:color w:val="auto"/>
              </w:rPr>
            </w:pPr>
            <w:r>
              <w:rPr>
                <w:rFonts w:ascii="Courier New" w:cs="Courier New" w:eastAsia="Courier New" w:hAnsi="Courier New"/>
                <w:sz w:val="18"/>
                <w:szCs w:val="18"/>
                <w:color w:val="auto"/>
                <w:w w:val="95"/>
              </w:rPr>
              <w:t>Number</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5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center"/>
              <w:ind w:left="192"/>
              <w:spacing w:after="0" w:line="203" w:lineRule="exact"/>
              <w:rPr>
                <w:sz w:val="20"/>
                <w:szCs w:val="20"/>
                <w:color w:val="auto"/>
              </w:rPr>
            </w:pPr>
            <w:r>
              <w:rPr>
                <w:rFonts w:ascii="Courier New" w:cs="Courier New" w:eastAsia="Courier New" w:hAnsi="Courier New"/>
                <w:sz w:val="18"/>
                <w:szCs w:val="18"/>
                <w:color w:val="auto"/>
                <w:w w:val="95"/>
              </w:rPr>
              <w:t>------</w:t>
            </w:r>
          </w:p>
        </w:tc>
      </w:tr>
    </w:tbl>
    <w:p>
      <w:pPr>
        <w:spacing w:after="0" w:line="4" w:lineRule="exact"/>
        <w:rPr>
          <w:sz w:val="20"/>
          <w:szCs w:val="20"/>
          <w:color w:val="auto"/>
        </w:rPr>
      </w:pPr>
    </w:p>
    <w:p>
      <w:pPr>
        <w:ind w:left="1280" w:right="3579" w:hanging="851"/>
        <w:spacing w:after="0" w:line="268" w:lineRule="auto"/>
        <w:tabs>
          <w:tab w:leader="none" w:pos="12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Computation of per share earnings for the quarter and six month periods ended March 2, 1995 and March</w:t>
      </w:r>
    </w:p>
    <w:tbl>
      <w:tblPr>
        <w:tblLayout w:type="fixed"/>
        <w:tblInd w:w="420" w:type="dxa"/>
        <w:tblCellMar>
          <w:top w:w="0" w:type="dxa"/>
          <w:left w:w="0" w:type="dxa"/>
          <w:bottom w:w="0" w:type="dxa"/>
          <w:right w:w="0" w:type="dxa"/>
        </w:tblCellMar>
      </w:tblPr>
      <w:tr>
        <w:trPr>
          <w:trHeight w:val="199"/>
        </w:trPr>
        <w:tc>
          <w:tcPr>
            <w:tcW w:w="540" w:type="dxa"/>
            <w:vAlign w:val="bottom"/>
          </w:tcPr>
          <w:p>
            <w:pPr>
              <w:spacing w:after="0"/>
              <w:rPr>
                <w:sz w:val="17"/>
                <w:szCs w:val="17"/>
                <w:color w:val="auto"/>
              </w:rPr>
            </w:pPr>
          </w:p>
        </w:tc>
        <w:tc>
          <w:tcPr>
            <w:tcW w:w="4480" w:type="dxa"/>
            <w:vAlign w:val="bottom"/>
          </w:tcPr>
          <w:p>
            <w:pPr>
              <w:ind w:left="320"/>
              <w:spacing w:after="0" w:line="198" w:lineRule="exact"/>
              <w:rPr>
                <w:sz w:val="20"/>
                <w:szCs w:val="20"/>
                <w:color w:val="auto"/>
              </w:rPr>
            </w:pPr>
            <w:r>
              <w:rPr>
                <w:rFonts w:ascii="Courier New" w:cs="Courier New" w:eastAsia="Courier New" w:hAnsi="Courier New"/>
                <w:sz w:val="18"/>
                <w:szCs w:val="18"/>
                <w:color w:val="auto"/>
              </w:rPr>
              <w:t>3, 1994</w:t>
            </w:r>
          </w:p>
        </w:tc>
        <w:tc>
          <w:tcPr>
            <w:tcW w:w="220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16 &amp;</w:t>
            </w:r>
          </w:p>
        </w:tc>
        <w:tc>
          <w:tcPr>
            <w:tcW w:w="26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17</w:t>
            </w:r>
          </w:p>
        </w:tc>
      </w:tr>
      <w:tr>
        <w:trPr>
          <w:trHeight w:val="608"/>
        </w:trPr>
        <w:tc>
          <w:tcPr>
            <w:tcW w:w="5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27</w:t>
            </w:r>
          </w:p>
        </w:tc>
        <w:tc>
          <w:tcPr>
            <w:tcW w:w="4480" w:type="dxa"/>
            <w:vAlign w:val="bottom"/>
          </w:tcPr>
          <w:p>
            <w:pPr>
              <w:ind w:left="320"/>
              <w:spacing w:after="0"/>
              <w:rPr>
                <w:sz w:val="20"/>
                <w:szCs w:val="20"/>
                <w:color w:val="auto"/>
              </w:rPr>
            </w:pPr>
            <w:r>
              <w:rPr>
                <w:rFonts w:ascii="Courier New" w:cs="Courier New" w:eastAsia="Courier New" w:hAnsi="Courier New"/>
                <w:sz w:val="18"/>
                <w:szCs w:val="18"/>
                <w:color w:val="auto"/>
              </w:rPr>
              <w:t>Financial Data Schedule</w:t>
            </w:r>
          </w:p>
        </w:tc>
        <w:tc>
          <w:tcPr>
            <w:tcW w:w="2200" w:type="dxa"/>
            <w:vAlign w:val="bottom"/>
          </w:tcPr>
          <w:p>
            <w:pPr>
              <w:jc w:val="right"/>
              <w:spacing w:after="0"/>
              <w:rPr>
                <w:sz w:val="20"/>
                <w:szCs w:val="20"/>
                <w:color w:val="auto"/>
              </w:rPr>
            </w:pPr>
            <w:r>
              <w:rPr>
                <w:rFonts w:ascii="Courier New" w:cs="Courier New" w:eastAsia="Courier New" w:hAnsi="Courier New"/>
                <w:sz w:val="18"/>
                <w:szCs w:val="18"/>
                <w:color w:val="auto"/>
              </w:rPr>
              <w:t>18</w:t>
            </w:r>
          </w:p>
        </w:tc>
        <w:tc>
          <w:tcPr>
            <w:tcW w:w="260" w:type="dxa"/>
            <w:vAlign w:val="bottom"/>
          </w:tcPr>
          <w:p>
            <w:pPr>
              <w:spacing w:after="0"/>
              <w:rPr>
                <w:sz w:val="24"/>
                <w:szCs w:val="24"/>
                <w:color w:val="auto"/>
              </w:rPr>
            </w:pPr>
          </w:p>
        </w:tc>
      </w:tr>
    </w:tbl>
    <w:p>
      <w:pPr>
        <w:spacing w:after="0" w:line="200" w:lineRule="exact"/>
        <w:rPr>
          <w:sz w:val="20"/>
          <w:szCs w:val="20"/>
          <w:color w:val="auto"/>
        </w:rPr>
      </w:pPr>
    </w:p>
    <w:p>
      <w:pPr>
        <w:spacing w:after="0" w:line="209" w:lineRule="exact"/>
        <w:rPr>
          <w:sz w:val="20"/>
          <w:szCs w:val="20"/>
          <w:color w:val="auto"/>
        </w:rPr>
      </w:pPr>
    </w:p>
    <w:p>
      <w:pPr>
        <w:ind w:right="3259" w:firstLine="8"/>
        <w:spacing w:after="0" w:line="235" w:lineRule="auto"/>
        <w:tabs>
          <w:tab w:leader="none" w:pos="42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 did not file any reports on Form 8-K during the quarter ended March 2, 1995.</w:t>
      </w:r>
    </w:p>
    <w:p>
      <w:pPr>
        <w:spacing w:after="0" w:line="200" w:lineRule="exact"/>
        <w:rPr>
          <w:sz w:val="20"/>
          <w:szCs w:val="20"/>
          <w:color w:val="auto"/>
        </w:rPr>
      </w:pP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17" w:right="1440" w:bottom="1440" w:gutter="0" w:footer="0" w:header="0"/>
        </w:sectPr>
      </w:pPr>
    </w:p>
    <w:bookmarkStart w:id="16" w:name="page17"/>
    <w:bookmarkEnd w:id="16"/>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Micron Technology, Inc.</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20, 1995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/s/ Wilbur G. Stover, Jr. -------------------------------------------- Wilbur G. Stover, Jr. Vice President, Finance, and Chief Financial Officer (Principal Financial and Accounting Officer)</w:t>
      </w:r>
    </w:p>
    <w:p>
      <w:pPr>
        <w:spacing w:after="0" w:line="200" w:lineRule="exact"/>
        <w:rPr>
          <w:sz w:val="20"/>
          <w:szCs w:val="20"/>
          <w:color w:val="auto"/>
        </w:rPr>
      </w:pPr>
    </w:p>
    <w:p>
      <w:pPr>
        <w:sectPr>
          <w:pgSz w:w="11900" w:h="16838" w:orient="portrait"/>
          <w:cols w:equalWidth="0" w:num="3">
            <w:col w:w="640" w:space="220"/>
            <w:col w:w="2000" w:space="720"/>
            <w:col w:w="6639"/>
          </w:cols>
          <w:pgMar w:left="240" w:top="717" w:right="1440" w:bottom="1440" w:gutter="0" w:footer="0" w:header="0"/>
          <w:type w:val="continuous"/>
        </w:sect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17" w:right="1440" w:bottom="1440" w:gutter="0" w:footer="0" w:header="0"/>
          <w:type w:val="continuous"/>
        </w:sectPr>
      </w:pPr>
    </w:p>
    <w:bookmarkStart w:id="17" w:name="page18"/>
    <w:bookmarkEnd w:id="17"/>
    <w:p>
      <w:pPr>
        <w:ind w:left="2740"/>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Exhibit 11</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Computation of Per Share Amounts</w:t>
      </w:r>
    </w:p>
    <w:p>
      <w:pPr>
        <w:ind w:left="1480"/>
        <w:spacing w:after="0" w:line="238" w:lineRule="auto"/>
        <w:rPr>
          <w:sz w:val="20"/>
          <w:szCs w:val="20"/>
          <w:color w:val="auto"/>
        </w:rPr>
      </w:pPr>
      <w:r>
        <w:rPr>
          <w:rFonts w:ascii="Courier New" w:cs="Courier New" w:eastAsia="Courier New" w:hAnsi="Courier New"/>
          <w:sz w:val="18"/>
          <w:szCs w:val="18"/>
          <w:color w:val="auto"/>
        </w:rPr>
        <w:t>(Amounts in millions except for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Courier New" w:cs="Courier New" w:eastAsia="Courier New" w:hAnsi="Courier New"/>
                <w:sz w:val="18"/>
                <w:szCs w:val="18"/>
                <w:color w:val="auto"/>
              </w:rPr>
              <w:t>March</w:t>
            </w:r>
          </w:p>
        </w:tc>
        <w:tc>
          <w:tcPr>
            <w:tcW w:w="88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2,</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March</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3,</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Quarter Ended</w:t>
            </w:r>
          </w:p>
        </w:tc>
        <w:tc>
          <w:tcPr>
            <w:tcW w:w="2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1995</w:t>
            </w:r>
          </w:p>
        </w:tc>
        <w:tc>
          <w:tcPr>
            <w:tcW w:w="8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1994</w:t>
            </w:r>
          </w:p>
        </w:tc>
        <w:tc>
          <w:tcPr>
            <w:tcW w:w="260" w:type="dxa"/>
            <w:vAlign w:val="bottom"/>
          </w:tcPr>
          <w:p>
            <w:pPr>
              <w:spacing w:after="0"/>
              <w:rPr>
                <w:sz w:val="17"/>
                <w:szCs w:val="17"/>
                <w:color w:val="auto"/>
              </w:rPr>
            </w:pPr>
          </w:p>
        </w:tc>
      </w:tr>
    </w:tbl>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PRIMARY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40" w:type="dxa"/>
            <w:vAlign w:val="bottom"/>
          </w:tcPr>
          <w:p>
            <w:pPr>
              <w:ind w:left="220"/>
              <w:spacing w:after="0"/>
              <w:rPr>
                <w:sz w:val="20"/>
                <w:szCs w:val="20"/>
                <w:color w:val="auto"/>
              </w:rPr>
            </w:pPr>
            <w:r>
              <w:rPr>
                <w:rFonts w:ascii="Courier New" w:cs="Courier New" w:eastAsia="Courier New" w:hAnsi="Courier New"/>
                <w:sz w:val="18"/>
                <w:szCs w:val="18"/>
                <w:color w:val="auto"/>
              </w:rPr>
              <w:t>Weighted average shares</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outstanding</w:t>
            </w:r>
          </w:p>
        </w:tc>
        <w:tc>
          <w:tcPr>
            <w:tcW w:w="200" w:type="dxa"/>
            <w:vAlign w:val="bottom"/>
          </w:tcPr>
          <w:p>
            <w:pPr>
              <w:spacing w:after="0"/>
              <w:rPr>
                <w:sz w:val="17"/>
                <w:szCs w:val="17"/>
                <w:color w:val="auto"/>
              </w:rPr>
            </w:pPr>
          </w:p>
        </w:tc>
        <w:tc>
          <w:tcPr>
            <w:tcW w:w="12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102.3</w:t>
            </w:r>
          </w:p>
        </w:tc>
        <w:tc>
          <w:tcPr>
            <w:tcW w:w="84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100.9</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Stock options using average market price</w:t>
            </w:r>
          </w:p>
        </w:tc>
        <w:tc>
          <w:tcPr>
            <w:tcW w:w="200" w:type="dxa"/>
            <w:vAlign w:val="bottom"/>
          </w:tcPr>
          <w:p>
            <w:pPr>
              <w:spacing w:after="0"/>
              <w:rPr>
                <w:sz w:val="17"/>
                <w:szCs w:val="17"/>
                <w:color w:val="auto"/>
              </w:rPr>
            </w:pPr>
          </w:p>
        </w:tc>
        <w:tc>
          <w:tcPr>
            <w:tcW w:w="12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4.1</w:t>
            </w:r>
          </w:p>
        </w:tc>
        <w:tc>
          <w:tcPr>
            <w:tcW w:w="84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w:t>
            </w:r>
          </w:p>
        </w:tc>
      </w:tr>
      <w:tr>
        <w:trPr>
          <w:trHeight w:val="203"/>
        </w:trPr>
        <w:tc>
          <w:tcPr>
            <w:tcW w:w="4440" w:type="dxa"/>
            <w:vAlign w:val="bottom"/>
          </w:tcPr>
          <w:p>
            <w:pPr>
              <w:spacing w:after="0"/>
              <w:rPr>
                <w:sz w:val="17"/>
                <w:szCs w:val="17"/>
                <w:color w:val="auto"/>
              </w:rPr>
            </w:pPr>
          </w:p>
        </w:tc>
        <w:tc>
          <w:tcPr>
            <w:tcW w:w="146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w w:val="94"/>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shares</w:t>
            </w:r>
          </w:p>
        </w:tc>
        <w:tc>
          <w:tcPr>
            <w:tcW w:w="200" w:type="dxa"/>
            <w:vAlign w:val="bottom"/>
          </w:tcPr>
          <w:p>
            <w:pPr>
              <w:spacing w:after="0"/>
              <w:rPr>
                <w:sz w:val="17"/>
                <w:szCs w:val="17"/>
                <w:color w:val="auto"/>
              </w:rPr>
            </w:pPr>
          </w:p>
        </w:tc>
        <w:tc>
          <w:tcPr>
            <w:tcW w:w="12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106.4</w:t>
            </w:r>
          </w:p>
        </w:tc>
        <w:tc>
          <w:tcPr>
            <w:tcW w:w="84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104.3</w:t>
            </w:r>
          </w:p>
        </w:tc>
      </w:tr>
      <w:tr>
        <w:trPr>
          <w:trHeight w:val="203"/>
        </w:trPr>
        <w:tc>
          <w:tcPr>
            <w:tcW w:w="4440" w:type="dxa"/>
            <w:vAlign w:val="bottom"/>
          </w:tcPr>
          <w:p>
            <w:pPr>
              <w:spacing w:after="0"/>
              <w:rPr>
                <w:sz w:val="17"/>
                <w:szCs w:val="17"/>
                <w:color w:val="auto"/>
              </w:rPr>
            </w:pPr>
          </w:p>
        </w:tc>
        <w:tc>
          <w:tcPr>
            <w:tcW w:w="146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w w:val="94"/>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40" w:type="dxa"/>
            <w:vAlign w:val="bottom"/>
          </w:tcPr>
          <w:p>
            <w:pPr>
              <w:ind w:left="220"/>
              <w:spacing w:after="0"/>
              <w:rPr>
                <w:sz w:val="20"/>
                <w:szCs w:val="20"/>
                <w:color w:val="auto"/>
              </w:rPr>
            </w:pPr>
            <w:r>
              <w:rPr>
                <w:rFonts w:ascii="Courier New" w:cs="Courier New" w:eastAsia="Courier New" w:hAnsi="Courier New"/>
                <w:sz w:val="18"/>
                <w:szCs w:val="18"/>
                <w:color w:val="auto"/>
              </w:rPr>
              <w:t>Net income</w:t>
            </w:r>
          </w:p>
        </w:tc>
        <w:tc>
          <w:tcPr>
            <w:tcW w:w="2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73"/>
              </w:rPr>
              <w:t>$</w:t>
            </w:r>
          </w:p>
        </w:tc>
        <w:tc>
          <w:tcPr>
            <w:tcW w:w="12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183.5</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86.8</w:t>
            </w:r>
          </w:p>
        </w:tc>
      </w:tr>
      <w:tr>
        <w:trPr>
          <w:trHeight w:val="203"/>
        </w:trPr>
        <w:tc>
          <w:tcPr>
            <w:tcW w:w="4440" w:type="dxa"/>
            <w:vAlign w:val="bottom"/>
          </w:tcPr>
          <w:p>
            <w:pPr>
              <w:spacing w:after="0"/>
              <w:rPr>
                <w:sz w:val="17"/>
                <w:szCs w:val="17"/>
                <w:color w:val="auto"/>
              </w:rPr>
            </w:pPr>
          </w:p>
        </w:tc>
        <w:tc>
          <w:tcPr>
            <w:tcW w:w="146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w w:val="94"/>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40" w:type="dxa"/>
            <w:vAlign w:val="bottom"/>
          </w:tcPr>
          <w:p>
            <w:pPr>
              <w:ind w:left="220"/>
              <w:spacing w:after="0"/>
              <w:rPr>
                <w:sz w:val="20"/>
                <w:szCs w:val="20"/>
                <w:color w:val="auto"/>
              </w:rPr>
            </w:pPr>
            <w:r>
              <w:rPr>
                <w:rFonts w:ascii="Courier New" w:cs="Courier New" w:eastAsia="Courier New" w:hAnsi="Courier New"/>
                <w:sz w:val="18"/>
                <w:szCs w:val="18"/>
                <w:color w:val="auto"/>
              </w:rPr>
              <w:t>Per share amount</w:t>
            </w:r>
          </w:p>
        </w:tc>
        <w:tc>
          <w:tcPr>
            <w:tcW w:w="200" w:type="dxa"/>
            <w:vAlign w:val="bottom"/>
          </w:tcPr>
          <w:p>
            <w:pPr>
              <w:spacing w:after="0"/>
              <w:rPr>
                <w:sz w:val="24"/>
                <w:szCs w:val="24"/>
                <w:color w:val="auto"/>
              </w:rPr>
            </w:pPr>
          </w:p>
        </w:tc>
        <w:tc>
          <w:tcPr>
            <w:tcW w:w="12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$1.72</w:t>
            </w:r>
          </w:p>
        </w:tc>
        <w:tc>
          <w:tcPr>
            <w:tcW w:w="8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$0.83</w:t>
            </w:r>
          </w:p>
        </w:tc>
      </w:tr>
      <w:tr>
        <w:trPr>
          <w:trHeight w:val="203"/>
        </w:trPr>
        <w:tc>
          <w:tcPr>
            <w:tcW w:w="4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4440" w:type="dxa"/>
            <w:vAlign w:val="bottom"/>
          </w:tcPr>
          <w:p>
            <w:pPr>
              <w:spacing w:after="0"/>
              <w:rPr>
                <w:sz w:val="20"/>
                <w:szCs w:val="20"/>
                <w:color w:val="auto"/>
              </w:rPr>
            </w:pPr>
            <w:r>
              <w:rPr>
                <w:rFonts w:ascii="Courier New" w:cs="Courier New" w:eastAsia="Courier New" w:hAnsi="Courier New"/>
                <w:sz w:val="18"/>
                <w:szCs w:val="18"/>
                <w:color w:val="auto"/>
              </w:rPr>
              <w:t>FULLY DILUTED</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05"/>
        </w:trPr>
        <w:tc>
          <w:tcPr>
            <w:tcW w:w="4440" w:type="dxa"/>
            <w:vAlign w:val="bottom"/>
          </w:tcPr>
          <w:p>
            <w:pPr>
              <w:ind w:left="220"/>
              <w:spacing w:after="0"/>
              <w:rPr>
                <w:sz w:val="20"/>
                <w:szCs w:val="20"/>
                <w:color w:val="auto"/>
              </w:rPr>
            </w:pPr>
            <w:r>
              <w:rPr>
                <w:rFonts w:ascii="Courier New" w:cs="Courier New" w:eastAsia="Courier New" w:hAnsi="Courier New"/>
                <w:sz w:val="18"/>
                <w:szCs w:val="18"/>
                <w:color w:val="auto"/>
              </w:rPr>
              <w:t>Weighted average shares outstanding</w:t>
            </w:r>
          </w:p>
        </w:tc>
        <w:tc>
          <w:tcPr>
            <w:tcW w:w="200" w:type="dxa"/>
            <w:vAlign w:val="bottom"/>
          </w:tcPr>
          <w:p>
            <w:pPr>
              <w:spacing w:after="0"/>
              <w:rPr>
                <w:sz w:val="24"/>
                <w:szCs w:val="24"/>
                <w:color w:val="auto"/>
              </w:rPr>
            </w:pPr>
          </w:p>
        </w:tc>
        <w:tc>
          <w:tcPr>
            <w:tcW w:w="12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102.3</w:t>
            </w:r>
          </w:p>
        </w:tc>
        <w:tc>
          <w:tcPr>
            <w:tcW w:w="8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100.9</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Stock options using greater of average</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or ending market price</w:t>
            </w:r>
          </w:p>
        </w:tc>
        <w:tc>
          <w:tcPr>
            <w:tcW w:w="200" w:type="dxa"/>
            <w:vAlign w:val="bottom"/>
          </w:tcPr>
          <w:p>
            <w:pPr>
              <w:spacing w:after="0"/>
              <w:rPr>
                <w:sz w:val="17"/>
                <w:szCs w:val="17"/>
                <w:color w:val="auto"/>
              </w:rPr>
            </w:pPr>
          </w:p>
        </w:tc>
        <w:tc>
          <w:tcPr>
            <w:tcW w:w="12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4.9</w:t>
            </w:r>
          </w:p>
        </w:tc>
        <w:tc>
          <w:tcPr>
            <w:tcW w:w="84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w:t>
            </w:r>
          </w:p>
        </w:tc>
      </w:tr>
      <w:tr>
        <w:trPr>
          <w:trHeight w:val="203"/>
        </w:trPr>
        <w:tc>
          <w:tcPr>
            <w:tcW w:w="4440" w:type="dxa"/>
            <w:vAlign w:val="bottom"/>
          </w:tcPr>
          <w:p>
            <w:pPr>
              <w:spacing w:after="0"/>
              <w:rPr>
                <w:sz w:val="17"/>
                <w:szCs w:val="17"/>
                <w:color w:val="auto"/>
              </w:rPr>
            </w:pPr>
          </w:p>
        </w:tc>
        <w:tc>
          <w:tcPr>
            <w:tcW w:w="146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w w:val="94"/>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shares</w:t>
            </w:r>
          </w:p>
        </w:tc>
        <w:tc>
          <w:tcPr>
            <w:tcW w:w="200" w:type="dxa"/>
            <w:vAlign w:val="bottom"/>
          </w:tcPr>
          <w:p>
            <w:pPr>
              <w:spacing w:after="0"/>
              <w:rPr>
                <w:sz w:val="17"/>
                <w:szCs w:val="17"/>
                <w:color w:val="auto"/>
              </w:rPr>
            </w:pPr>
          </w:p>
        </w:tc>
        <w:tc>
          <w:tcPr>
            <w:tcW w:w="12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107.2</w:t>
            </w:r>
          </w:p>
        </w:tc>
        <w:tc>
          <w:tcPr>
            <w:tcW w:w="84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105.1</w:t>
            </w:r>
          </w:p>
        </w:tc>
      </w:tr>
      <w:tr>
        <w:trPr>
          <w:trHeight w:val="203"/>
        </w:trPr>
        <w:tc>
          <w:tcPr>
            <w:tcW w:w="4440" w:type="dxa"/>
            <w:vAlign w:val="bottom"/>
          </w:tcPr>
          <w:p>
            <w:pPr>
              <w:spacing w:after="0"/>
              <w:rPr>
                <w:sz w:val="17"/>
                <w:szCs w:val="17"/>
                <w:color w:val="auto"/>
              </w:rPr>
            </w:pPr>
          </w:p>
        </w:tc>
        <w:tc>
          <w:tcPr>
            <w:tcW w:w="146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w w:val="94"/>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40" w:type="dxa"/>
            <w:vAlign w:val="bottom"/>
          </w:tcPr>
          <w:p>
            <w:pPr>
              <w:ind w:left="220"/>
              <w:spacing w:after="0"/>
              <w:rPr>
                <w:sz w:val="20"/>
                <w:szCs w:val="20"/>
                <w:color w:val="auto"/>
              </w:rPr>
            </w:pPr>
            <w:r>
              <w:rPr>
                <w:rFonts w:ascii="Courier New" w:cs="Courier New" w:eastAsia="Courier New" w:hAnsi="Courier New"/>
                <w:sz w:val="18"/>
                <w:szCs w:val="18"/>
                <w:color w:val="auto"/>
              </w:rPr>
              <w:t>Net income</w:t>
            </w:r>
          </w:p>
        </w:tc>
        <w:tc>
          <w:tcPr>
            <w:tcW w:w="2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73"/>
              </w:rPr>
              <w:t>$</w:t>
            </w:r>
          </w:p>
        </w:tc>
        <w:tc>
          <w:tcPr>
            <w:tcW w:w="12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183.5</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86.8</w:t>
            </w:r>
          </w:p>
        </w:tc>
      </w:tr>
      <w:tr>
        <w:trPr>
          <w:trHeight w:val="203"/>
        </w:trPr>
        <w:tc>
          <w:tcPr>
            <w:tcW w:w="4440" w:type="dxa"/>
            <w:vAlign w:val="bottom"/>
          </w:tcPr>
          <w:p>
            <w:pPr>
              <w:spacing w:after="0"/>
              <w:rPr>
                <w:sz w:val="17"/>
                <w:szCs w:val="17"/>
                <w:color w:val="auto"/>
              </w:rPr>
            </w:pPr>
          </w:p>
        </w:tc>
        <w:tc>
          <w:tcPr>
            <w:tcW w:w="146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w w:val="94"/>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40" w:type="dxa"/>
            <w:vAlign w:val="bottom"/>
          </w:tcPr>
          <w:p>
            <w:pPr>
              <w:ind w:left="220"/>
              <w:spacing w:after="0"/>
              <w:rPr>
                <w:sz w:val="20"/>
                <w:szCs w:val="20"/>
                <w:color w:val="auto"/>
              </w:rPr>
            </w:pPr>
            <w:r>
              <w:rPr>
                <w:rFonts w:ascii="Courier New" w:cs="Courier New" w:eastAsia="Courier New" w:hAnsi="Courier New"/>
                <w:sz w:val="18"/>
                <w:szCs w:val="18"/>
                <w:color w:val="auto"/>
              </w:rPr>
              <w:t>Per share amount</w:t>
            </w:r>
          </w:p>
        </w:tc>
        <w:tc>
          <w:tcPr>
            <w:tcW w:w="200" w:type="dxa"/>
            <w:vAlign w:val="bottom"/>
          </w:tcPr>
          <w:p>
            <w:pPr>
              <w:spacing w:after="0"/>
              <w:rPr>
                <w:sz w:val="24"/>
                <w:szCs w:val="24"/>
                <w:color w:val="auto"/>
              </w:rPr>
            </w:pPr>
          </w:p>
        </w:tc>
        <w:tc>
          <w:tcPr>
            <w:tcW w:w="12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$1.71</w:t>
            </w:r>
          </w:p>
        </w:tc>
        <w:tc>
          <w:tcPr>
            <w:tcW w:w="8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$0.83</w:t>
            </w:r>
          </w:p>
        </w:tc>
      </w:tr>
      <w:tr>
        <w:trPr>
          <w:trHeight w:val="203"/>
        </w:trPr>
        <w:tc>
          <w:tcPr>
            <w:tcW w:w="4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Exhibit 11</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Computation of Per Share Amounts</w:t>
      </w:r>
    </w:p>
    <w:p>
      <w:pPr>
        <w:ind w:left="1380"/>
        <w:spacing w:after="0" w:line="238" w:lineRule="auto"/>
        <w:rPr>
          <w:sz w:val="20"/>
          <w:szCs w:val="20"/>
          <w:color w:val="auto"/>
        </w:rPr>
      </w:pPr>
      <w:r>
        <w:rPr>
          <w:rFonts w:ascii="Courier New" w:cs="Courier New" w:eastAsia="Courier New" w:hAnsi="Courier New"/>
          <w:sz w:val="18"/>
          <w:szCs w:val="18"/>
          <w:color w:val="auto"/>
        </w:rPr>
        <w:t>(Amounts in millions except for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6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Courier New" w:cs="Courier New" w:eastAsia="Courier New" w:hAnsi="Courier New"/>
                <w:sz w:val="18"/>
                <w:szCs w:val="18"/>
                <w:color w:val="auto"/>
              </w:rPr>
              <w:t>March</w:t>
            </w:r>
          </w:p>
        </w:tc>
        <w:tc>
          <w:tcPr>
            <w:tcW w:w="88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2,</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March</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3,</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Six Months Ended</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1995</w:t>
            </w:r>
          </w:p>
        </w:tc>
        <w:tc>
          <w:tcPr>
            <w:tcW w:w="8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1994</w:t>
            </w:r>
          </w:p>
        </w:tc>
        <w:tc>
          <w:tcPr>
            <w:tcW w:w="26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44" w:right="1440" w:bottom="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4"/>
        </w:trPr>
        <w:tc>
          <w:tcPr>
            <w:tcW w:w="4440" w:type="dxa"/>
            <w:vAlign w:val="bottom"/>
          </w:tcPr>
          <w:p>
            <w:pPr>
              <w:spacing w:after="0"/>
              <w:rPr>
                <w:sz w:val="20"/>
                <w:szCs w:val="20"/>
                <w:color w:val="auto"/>
              </w:rPr>
            </w:pPr>
            <w:r>
              <w:rPr>
                <w:rFonts w:ascii="Courier New" w:cs="Courier New" w:eastAsia="Courier New" w:hAnsi="Courier New"/>
                <w:sz w:val="18"/>
                <w:szCs w:val="18"/>
                <w:color w:val="auto"/>
              </w:rPr>
              <w:t>PRIMARY</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405"/>
        </w:trPr>
        <w:tc>
          <w:tcPr>
            <w:tcW w:w="4440" w:type="dxa"/>
            <w:vAlign w:val="bottom"/>
          </w:tcPr>
          <w:p>
            <w:pPr>
              <w:ind w:left="220"/>
              <w:spacing w:after="0"/>
              <w:rPr>
                <w:sz w:val="20"/>
                <w:szCs w:val="20"/>
                <w:color w:val="auto"/>
              </w:rPr>
            </w:pPr>
            <w:r>
              <w:rPr>
                <w:rFonts w:ascii="Courier New" w:cs="Courier New" w:eastAsia="Courier New" w:hAnsi="Courier New"/>
                <w:sz w:val="18"/>
                <w:szCs w:val="18"/>
                <w:color w:val="auto"/>
              </w:rPr>
              <w:t>Weighted average shares</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outstanding</w:t>
            </w:r>
          </w:p>
        </w:tc>
        <w:tc>
          <w:tcPr>
            <w:tcW w:w="200" w:type="dxa"/>
            <w:vAlign w:val="bottom"/>
          </w:tcPr>
          <w:p>
            <w:pPr>
              <w:spacing w:after="0"/>
              <w:rPr>
                <w:sz w:val="17"/>
                <w:szCs w:val="17"/>
                <w:color w:val="auto"/>
              </w:rPr>
            </w:pPr>
          </w:p>
        </w:tc>
        <w:tc>
          <w:tcPr>
            <w:tcW w:w="12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102.2</w:t>
            </w:r>
          </w:p>
        </w:tc>
        <w:tc>
          <w:tcPr>
            <w:tcW w:w="84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100.7</w:t>
            </w:r>
          </w:p>
        </w:tc>
      </w:tr>
      <w:tr>
        <w:trPr>
          <w:trHeight w:val="405"/>
        </w:trPr>
        <w:tc>
          <w:tcPr>
            <w:tcW w:w="4440" w:type="dxa"/>
            <w:vAlign w:val="bottom"/>
          </w:tcPr>
          <w:p>
            <w:pPr>
              <w:ind w:left="220"/>
              <w:spacing w:after="0"/>
              <w:rPr>
                <w:sz w:val="20"/>
                <w:szCs w:val="20"/>
                <w:color w:val="auto"/>
              </w:rPr>
            </w:pPr>
            <w:r>
              <w:rPr>
                <w:rFonts w:ascii="Courier New" w:cs="Courier New" w:eastAsia="Courier New" w:hAnsi="Courier New"/>
                <w:sz w:val="18"/>
                <w:szCs w:val="18"/>
                <w:color w:val="auto"/>
                <w:w w:val="97"/>
              </w:rPr>
              <w:t>Stock options using average market price</w:t>
            </w:r>
          </w:p>
        </w:tc>
        <w:tc>
          <w:tcPr>
            <w:tcW w:w="200" w:type="dxa"/>
            <w:vAlign w:val="bottom"/>
          </w:tcPr>
          <w:p>
            <w:pPr>
              <w:spacing w:after="0"/>
              <w:rPr>
                <w:sz w:val="24"/>
                <w:szCs w:val="24"/>
                <w:color w:val="auto"/>
              </w:rPr>
            </w:pPr>
          </w:p>
        </w:tc>
        <w:tc>
          <w:tcPr>
            <w:tcW w:w="12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3.6</w:t>
            </w:r>
          </w:p>
        </w:tc>
        <w:tc>
          <w:tcPr>
            <w:tcW w:w="8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3.0</w:t>
            </w:r>
          </w:p>
        </w:tc>
      </w:tr>
      <w:tr>
        <w:trPr>
          <w:trHeight w:val="203"/>
        </w:trPr>
        <w:tc>
          <w:tcPr>
            <w:tcW w:w="4440" w:type="dxa"/>
            <w:vAlign w:val="bottom"/>
          </w:tcPr>
          <w:p>
            <w:pPr>
              <w:spacing w:after="0"/>
              <w:rPr>
                <w:sz w:val="17"/>
                <w:szCs w:val="17"/>
                <w:color w:val="auto"/>
              </w:rPr>
            </w:pPr>
          </w:p>
        </w:tc>
        <w:tc>
          <w:tcPr>
            <w:tcW w:w="146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w w:val="94"/>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shares</w:t>
            </w:r>
          </w:p>
        </w:tc>
        <w:tc>
          <w:tcPr>
            <w:tcW w:w="200" w:type="dxa"/>
            <w:vAlign w:val="bottom"/>
          </w:tcPr>
          <w:p>
            <w:pPr>
              <w:spacing w:after="0"/>
              <w:rPr>
                <w:sz w:val="17"/>
                <w:szCs w:val="17"/>
                <w:color w:val="auto"/>
              </w:rPr>
            </w:pPr>
          </w:p>
        </w:tc>
        <w:tc>
          <w:tcPr>
            <w:tcW w:w="12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105.8</w:t>
            </w:r>
          </w:p>
        </w:tc>
        <w:tc>
          <w:tcPr>
            <w:tcW w:w="84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103.7</w:t>
            </w:r>
          </w:p>
        </w:tc>
      </w:tr>
      <w:tr>
        <w:trPr>
          <w:trHeight w:val="203"/>
        </w:trPr>
        <w:tc>
          <w:tcPr>
            <w:tcW w:w="4440" w:type="dxa"/>
            <w:vAlign w:val="bottom"/>
          </w:tcPr>
          <w:p>
            <w:pPr>
              <w:spacing w:after="0"/>
              <w:rPr>
                <w:sz w:val="17"/>
                <w:szCs w:val="17"/>
                <w:color w:val="auto"/>
              </w:rPr>
            </w:pPr>
          </w:p>
        </w:tc>
        <w:tc>
          <w:tcPr>
            <w:tcW w:w="146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w w:val="94"/>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40" w:type="dxa"/>
            <w:vAlign w:val="bottom"/>
          </w:tcPr>
          <w:p>
            <w:pPr>
              <w:ind w:left="220"/>
              <w:spacing w:after="0"/>
              <w:rPr>
                <w:sz w:val="20"/>
                <w:szCs w:val="20"/>
                <w:color w:val="auto"/>
              </w:rPr>
            </w:pPr>
            <w:r>
              <w:rPr>
                <w:rFonts w:ascii="Courier New" w:cs="Courier New" w:eastAsia="Courier New" w:hAnsi="Courier New"/>
                <w:sz w:val="18"/>
                <w:szCs w:val="18"/>
                <w:color w:val="auto"/>
              </w:rPr>
              <w:t>Net income</w:t>
            </w:r>
          </w:p>
        </w:tc>
        <w:tc>
          <w:tcPr>
            <w:tcW w:w="2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73"/>
              </w:rPr>
              <w:t>$</w:t>
            </w:r>
          </w:p>
        </w:tc>
        <w:tc>
          <w:tcPr>
            <w:tcW w:w="12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342.8</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154.3</w:t>
            </w:r>
          </w:p>
        </w:tc>
      </w:tr>
      <w:tr>
        <w:trPr>
          <w:trHeight w:val="203"/>
        </w:trPr>
        <w:tc>
          <w:tcPr>
            <w:tcW w:w="4440" w:type="dxa"/>
            <w:vAlign w:val="bottom"/>
          </w:tcPr>
          <w:p>
            <w:pPr>
              <w:spacing w:after="0"/>
              <w:rPr>
                <w:sz w:val="17"/>
                <w:szCs w:val="17"/>
                <w:color w:val="auto"/>
              </w:rPr>
            </w:pPr>
          </w:p>
        </w:tc>
        <w:tc>
          <w:tcPr>
            <w:tcW w:w="146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w w:val="94"/>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40" w:type="dxa"/>
            <w:vAlign w:val="bottom"/>
          </w:tcPr>
          <w:p>
            <w:pPr>
              <w:ind w:left="220"/>
              <w:spacing w:after="0"/>
              <w:rPr>
                <w:sz w:val="20"/>
                <w:szCs w:val="20"/>
                <w:color w:val="auto"/>
              </w:rPr>
            </w:pPr>
            <w:r>
              <w:rPr>
                <w:rFonts w:ascii="Courier New" w:cs="Courier New" w:eastAsia="Courier New" w:hAnsi="Courier New"/>
                <w:sz w:val="18"/>
                <w:szCs w:val="18"/>
                <w:color w:val="auto"/>
              </w:rPr>
              <w:t>Per share amount</w:t>
            </w:r>
          </w:p>
        </w:tc>
        <w:tc>
          <w:tcPr>
            <w:tcW w:w="200" w:type="dxa"/>
            <w:vAlign w:val="bottom"/>
          </w:tcPr>
          <w:p>
            <w:pPr>
              <w:spacing w:after="0"/>
              <w:rPr>
                <w:sz w:val="24"/>
                <w:szCs w:val="24"/>
                <w:color w:val="auto"/>
              </w:rPr>
            </w:pPr>
          </w:p>
        </w:tc>
        <w:tc>
          <w:tcPr>
            <w:tcW w:w="12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$3.24</w:t>
            </w:r>
          </w:p>
        </w:tc>
        <w:tc>
          <w:tcPr>
            <w:tcW w:w="8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$1.49</w:t>
            </w:r>
          </w:p>
        </w:tc>
      </w:tr>
      <w:tr>
        <w:trPr>
          <w:trHeight w:val="203"/>
        </w:trPr>
        <w:tc>
          <w:tcPr>
            <w:tcW w:w="4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4440" w:type="dxa"/>
            <w:vAlign w:val="bottom"/>
          </w:tcPr>
          <w:p>
            <w:pPr>
              <w:spacing w:after="0"/>
              <w:rPr>
                <w:sz w:val="20"/>
                <w:szCs w:val="20"/>
                <w:color w:val="auto"/>
              </w:rPr>
            </w:pPr>
            <w:r>
              <w:rPr>
                <w:rFonts w:ascii="Courier New" w:cs="Courier New" w:eastAsia="Courier New" w:hAnsi="Courier New"/>
                <w:sz w:val="18"/>
                <w:szCs w:val="18"/>
                <w:color w:val="auto"/>
              </w:rPr>
              <w:t>FULLY DILUTED</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05"/>
        </w:trPr>
        <w:tc>
          <w:tcPr>
            <w:tcW w:w="4440" w:type="dxa"/>
            <w:vAlign w:val="bottom"/>
          </w:tcPr>
          <w:p>
            <w:pPr>
              <w:ind w:left="220"/>
              <w:spacing w:after="0"/>
              <w:rPr>
                <w:sz w:val="20"/>
                <w:szCs w:val="20"/>
                <w:color w:val="auto"/>
              </w:rPr>
            </w:pPr>
            <w:r>
              <w:rPr>
                <w:rFonts w:ascii="Courier New" w:cs="Courier New" w:eastAsia="Courier New" w:hAnsi="Courier New"/>
                <w:sz w:val="18"/>
                <w:szCs w:val="18"/>
                <w:color w:val="auto"/>
              </w:rPr>
              <w:t>Weighted average shares outstanding</w:t>
            </w:r>
          </w:p>
        </w:tc>
        <w:tc>
          <w:tcPr>
            <w:tcW w:w="200" w:type="dxa"/>
            <w:vAlign w:val="bottom"/>
          </w:tcPr>
          <w:p>
            <w:pPr>
              <w:spacing w:after="0"/>
              <w:rPr>
                <w:sz w:val="24"/>
                <w:szCs w:val="24"/>
                <w:color w:val="auto"/>
              </w:rPr>
            </w:pPr>
          </w:p>
        </w:tc>
        <w:tc>
          <w:tcPr>
            <w:tcW w:w="12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102.2</w:t>
            </w:r>
          </w:p>
        </w:tc>
        <w:tc>
          <w:tcPr>
            <w:tcW w:w="8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100.7</w:t>
            </w:r>
          </w:p>
        </w:tc>
      </w:tr>
      <w:tr>
        <w:trPr>
          <w:trHeight w:val="405"/>
        </w:trPr>
        <w:tc>
          <w:tcPr>
            <w:tcW w:w="4440" w:type="dxa"/>
            <w:vAlign w:val="bottom"/>
          </w:tcPr>
          <w:p>
            <w:pPr>
              <w:ind w:left="220"/>
              <w:spacing w:after="0"/>
              <w:rPr>
                <w:sz w:val="20"/>
                <w:szCs w:val="20"/>
                <w:color w:val="auto"/>
              </w:rPr>
            </w:pPr>
            <w:r>
              <w:rPr>
                <w:rFonts w:ascii="Courier New" w:cs="Courier New" w:eastAsia="Courier New" w:hAnsi="Courier New"/>
                <w:sz w:val="18"/>
                <w:szCs w:val="18"/>
                <w:color w:val="auto"/>
              </w:rPr>
              <w:t>Stock options using greater of average</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or ending market price</w:t>
            </w:r>
          </w:p>
        </w:tc>
        <w:tc>
          <w:tcPr>
            <w:tcW w:w="200" w:type="dxa"/>
            <w:vAlign w:val="bottom"/>
          </w:tcPr>
          <w:p>
            <w:pPr>
              <w:spacing w:after="0"/>
              <w:rPr>
                <w:sz w:val="17"/>
                <w:szCs w:val="17"/>
                <w:color w:val="auto"/>
              </w:rPr>
            </w:pPr>
          </w:p>
        </w:tc>
        <w:tc>
          <w:tcPr>
            <w:tcW w:w="12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4.6</w:t>
            </w:r>
          </w:p>
        </w:tc>
        <w:tc>
          <w:tcPr>
            <w:tcW w:w="84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w:t>
            </w:r>
          </w:p>
        </w:tc>
      </w:tr>
      <w:tr>
        <w:trPr>
          <w:trHeight w:val="203"/>
        </w:trPr>
        <w:tc>
          <w:tcPr>
            <w:tcW w:w="4440" w:type="dxa"/>
            <w:vAlign w:val="bottom"/>
          </w:tcPr>
          <w:p>
            <w:pPr>
              <w:spacing w:after="0"/>
              <w:rPr>
                <w:sz w:val="17"/>
                <w:szCs w:val="17"/>
                <w:color w:val="auto"/>
              </w:rPr>
            </w:pPr>
          </w:p>
        </w:tc>
        <w:tc>
          <w:tcPr>
            <w:tcW w:w="146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w w:val="94"/>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shares</w:t>
            </w:r>
          </w:p>
        </w:tc>
        <w:tc>
          <w:tcPr>
            <w:tcW w:w="200" w:type="dxa"/>
            <w:vAlign w:val="bottom"/>
          </w:tcPr>
          <w:p>
            <w:pPr>
              <w:spacing w:after="0"/>
              <w:rPr>
                <w:sz w:val="17"/>
                <w:szCs w:val="17"/>
                <w:color w:val="auto"/>
              </w:rPr>
            </w:pPr>
          </w:p>
        </w:tc>
        <w:tc>
          <w:tcPr>
            <w:tcW w:w="12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106.8</w:t>
            </w:r>
          </w:p>
        </w:tc>
        <w:tc>
          <w:tcPr>
            <w:tcW w:w="84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104.5</w:t>
            </w:r>
          </w:p>
        </w:tc>
      </w:tr>
      <w:tr>
        <w:trPr>
          <w:trHeight w:val="203"/>
        </w:trPr>
        <w:tc>
          <w:tcPr>
            <w:tcW w:w="4440" w:type="dxa"/>
            <w:vAlign w:val="bottom"/>
          </w:tcPr>
          <w:p>
            <w:pPr>
              <w:spacing w:after="0"/>
              <w:rPr>
                <w:sz w:val="17"/>
                <w:szCs w:val="17"/>
                <w:color w:val="auto"/>
              </w:rPr>
            </w:pPr>
          </w:p>
        </w:tc>
        <w:tc>
          <w:tcPr>
            <w:tcW w:w="146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w w:val="94"/>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40" w:type="dxa"/>
            <w:vAlign w:val="bottom"/>
          </w:tcPr>
          <w:p>
            <w:pPr>
              <w:ind w:left="220"/>
              <w:spacing w:after="0"/>
              <w:rPr>
                <w:sz w:val="20"/>
                <w:szCs w:val="20"/>
                <w:color w:val="auto"/>
              </w:rPr>
            </w:pPr>
            <w:r>
              <w:rPr>
                <w:rFonts w:ascii="Courier New" w:cs="Courier New" w:eastAsia="Courier New" w:hAnsi="Courier New"/>
                <w:sz w:val="18"/>
                <w:szCs w:val="18"/>
                <w:color w:val="auto"/>
              </w:rPr>
              <w:t>Net income</w:t>
            </w:r>
          </w:p>
        </w:tc>
        <w:tc>
          <w:tcPr>
            <w:tcW w:w="2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73"/>
              </w:rPr>
              <w:t>$</w:t>
            </w:r>
          </w:p>
        </w:tc>
        <w:tc>
          <w:tcPr>
            <w:tcW w:w="12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342.8</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154.3</w:t>
            </w:r>
          </w:p>
        </w:tc>
      </w:tr>
      <w:tr>
        <w:trPr>
          <w:trHeight w:val="203"/>
        </w:trPr>
        <w:tc>
          <w:tcPr>
            <w:tcW w:w="4440" w:type="dxa"/>
            <w:vAlign w:val="bottom"/>
          </w:tcPr>
          <w:p>
            <w:pPr>
              <w:spacing w:after="0"/>
              <w:rPr>
                <w:sz w:val="17"/>
                <w:szCs w:val="17"/>
                <w:color w:val="auto"/>
              </w:rPr>
            </w:pPr>
          </w:p>
        </w:tc>
        <w:tc>
          <w:tcPr>
            <w:tcW w:w="146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w w:val="94"/>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40" w:type="dxa"/>
            <w:vAlign w:val="bottom"/>
          </w:tcPr>
          <w:p>
            <w:pPr>
              <w:ind w:left="220"/>
              <w:spacing w:after="0"/>
              <w:rPr>
                <w:sz w:val="20"/>
                <w:szCs w:val="20"/>
                <w:color w:val="auto"/>
              </w:rPr>
            </w:pPr>
            <w:r>
              <w:rPr>
                <w:rFonts w:ascii="Courier New" w:cs="Courier New" w:eastAsia="Courier New" w:hAnsi="Courier New"/>
                <w:sz w:val="18"/>
                <w:szCs w:val="18"/>
                <w:color w:val="auto"/>
              </w:rPr>
              <w:t>Per share amount</w:t>
            </w:r>
          </w:p>
        </w:tc>
        <w:tc>
          <w:tcPr>
            <w:tcW w:w="200" w:type="dxa"/>
            <w:vAlign w:val="bottom"/>
          </w:tcPr>
          <w:p>
            <w:pPr>
              <w:spacing w:after="0"/>
              <w:rPr>
                <w:sz w:val="24"/>
                <w:szCs w:val="24"/>
                <w:color w:val="auto"/>
              </w:rPr>
            </w:pPr>
          </w:p>
        </w:tc>
        <w:tc>
          <w:tcPr>
            <w:tcW w:w="12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$3.21</w:t>
            </w:r>
          </w:p>
        </w:tc>
        <w:tc>
          <w:tcPr>
            <w:tcW w:w="8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$1.48</w:t>
            </w:r>
          </w:p>
        </w:tc>
      </w:tr>
      <w:tr>
        <w:trPr>
          <w:trHeight w:val="203"/>
        </w:trPr>
        <w:tc>
          <w:tcPr>
            <w:tcW w:w="4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136" w:right="1440" w:bottom="1440" w:gutter="0" w:footer="0" w:header="0"/>
        </w:sectPr>
      </w:pPr>
    </w:p>
    <w:bookmarkStart w:id="19" w:name="page20"/>
    <w:bookmarkEnd w:id="19"/>
    <w:p>
      <w:pPr>
        <w:ind w:left="8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2599" w:firstLine="527"/>
        <w:spacing w:after="0" w:line="236" w:lineRule="auto"/>
        <w:rPr>
          <w:sz w:val="20"/>
          <w:szCs w:val="20"/>
          <w:color w:val="auto"/>
        </w:rPr>
      </w:pPr>
      <w:r>
        <w:rPr>
          <w:rFonts w:ascii="Courier New" w:cs="Courier New" w:eastAsia="Courier New" w:hAnsi="Courier New"/>
          <w:sz w:val="18"/>
          <w:szCs w:val="18"/>
          <w:color w:val="auto"/>
        </w:rPr>
        <w:t>This schedule contains summary financial information extracted from the accompanying financial statements and is qualified in its entirety by reference to such financial statements.</w:t>
      </w:r>
    </w:p>
    <w:p>
      <w:pPr>
        <w:spacing w:after="0" w:line="203"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1,000,000</w:t>
      </w:r>
    </w:p>
    <w:p>
      <w:pPr>
        <w:spacing w:after="0" w:line="200" w:lineRule="exact"/>
        <w:rPr>
          <w:sz w:val="20"/>
          <w:szCs w:val="20"/>
          <w:color w:val="auto"/>
        </w:rPr>
      </w:pPr>
    </w:p>
    <w:p>
      <w:pPr>
        <w:spacing w:after="0" w:line="204"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6-MOS</w:t>
      </w:r>
    </w:p>
    <w:p>
      <w:pPr>
        <w:ind w:left="2700"/>
        <w:spacing w:after="0" w:line="238" w:lineRule="auto"/>
        <w:rPr>
          <w:sz w:val="20"/>
          <w:szCs w:val="20"/>
          <w:color w:val="auto"/>
        </w:rPr>
      </w:pPr>
      <w:r>
        <w:rPr>
          <w:rFonts w:ascii="Courier New" w:cs="Courier New" w:eastAsia="Courier New" w:hAnsi="Courier New"/>
          <w:sz w:val="18"/>
          <w:szCs w:val="18"/>
          <w:color w:val="auto"/>
        </w:rPr>
        <w:t>AUG-31-1995</w:t>
      </w:r>
    </w:p>
    <w:p>
      <w:pPr>
        <w:ind w:left="3340"/>
        <w:spacing w:after="0"/>
        <w:rPr>
          <w:sz w:val="20"/>
          <w:szCs w:val="20"/>
          <w:color w:val="auto"/>
        </w:rPr>
      </w:pPr>
      <w:r>
        <w:rPr>
          <w:rFonts w:ascii="Courier New" w:cs="Courier New" w:eastAsia="Courier New" w:hAnsi="Courier New"/>
          <w:sz w:val="18"/>
          <w:szCs w:val="18"/>
          <w:color w:val="auto"/>
        </w:rPr>
        <w:t>MAR-2-1995</w:t>
      </w:r>
    </w:p>
    <w:p>
      <w:pPr>
        <w:jc w:val="center"/>
        <w:ind w:right="339"/>
        <w:spacing w:after="0" w:line="237" w:lineRule="auto"/>
        <w:rPr>
          <w:sz w:val="20"/>
          <w:szCs w:val="20"/>
          <w:color w:val="auto"/>
        </w:rPr>
      </w:pPr>
      <w:r>
        <w:rPr>
          <w:rFonts w:ascii="Courier New" w:cs="Courier New" w:eastAsia="Courier New" w:hAnsi="Courier New"/>
          <w:sz w:val="18"/>
          <w:szCs w:val="18"/>
          <w:color w:val="auto"/>
        </w:rPr>
        <w:t>82</w:t>
      </w:r>
    </w:p>
    <w:p>
      <w:pPr>
        <w:ind w:left="4080"/>
        <w:spacing w:after="0" w:line="238" w:lineRule="auto"/>
        <w:rPr>
          <w:sz w:val="20"/>
          <w:szCs w:val="20"/>
          <w:color w:val="auto"/>
        </w:rPr>
      </w:pPr>
      <w:r>
        <w:rPr>
          <w:rFonts w:ascii="Courier New" w:cs="Courier New" w:eastAsia="Courier New" w:hAnsi="Courier New"/>
          <w:sz w:val="18"/>
          <w:szCs w:val="18"/>
          <w:color w:val="auto"/>
        </w:rPr>
        <w:t>495</w:t>
      </w:r>
    </w:p>
    <w:p>
      <w:pPr>
        <w:ind w:left="3980"/>
        <w:spacing w:after="0"/>
        <w:rPr>
          <w:sz w:val="20"/>
          <w:szCs w:val="20"/>
          <w:color w:val="auto"/>
        </w:rPr>
      </w:pPr>
      <w:r>
        <w:rPr>
          <w:rFonts w:ascii="Courier New" w:cs="Courier New" w:eastAsia="Courier New" w:hAnsi="Courier New"/>
          <w:sz w:val="18"/>
          <w:szCs w:val="18"/>
          <w:color w:val="auto"/>
        </w:rPr>
        <w:t>275</w:t>
      </w:r>
    </w:p>
    <w:p>
      <w:pPr>
        <w:jc w:val="center"/>
        <w:ind w:right="1499"/>
        <w:spacing w:after="0" w:line="237" w:lineRule="auto"/>
        <w:rPr>
          <w:sz w:val="20"/>
          <w:szCs w:val="20"/>
          <w:color w:val="auto"/>
        </w:rPr>
      </w:pPr>
      <w:r>
        <w:rPr>
          <w:rFonts w:ascii="Courier New" w:cs="Courier New" w:eastAsia="Courier New" w:hAnsi="Courier New"/>
          <w:sz w:val="18"/>
          <w:szCs w:val="18"/>
          <w:color w:val="auto"/>
        </w:rPr>
        <w:t>9</w:t>
      </w:r>
    </w:p>
    <w:p>
      <w:pPr>
        <w:jc w:val="center"/>
        <w:ind w:right="1499"/>
        <w:spacing w:after="0"/>
        <w:rPr>
          <w:sz w:val="20"/>
          <w:szCs w:val="20"/>
          <w:color w:val="auto"/>
        </w:rPr>
      </w:pPr>
      <w:r>
        <w:rPr>
          <w:rFonts w:ascii="Courier New" w:cs="Courier New" w:eastAsia="Courier New" w:hAnsi="Courier New"/>
          <w:sz w:val="18"/>
          <w:szCs w:val="18"/>
          <w:color w:val="auto"/>
        </w:rPr>
        <w:t>143</w:t>
      </w:r>
    </w:p>
    <w:p>
      <w:pPr>
        <w:ind w:left="3440"/>
        <w:spacing w:after="0" w:line="237" w:lineRule="auto"/>
        <w:rPr>
          <w:sz w:val="20"/>
          <w:szCs w:val="20"/>
          <w:color w:val="auto"/>
        </w:rPr>
      </w:pPr>
      <w:r>
        <w:rPr>
          <w:rFonts w:ascii="Courier New" w:cs="Courier New" w:eastAsia="Courier New" w:hAnsi="Courier New"/>
          <w:sz w:val="18"/>
          <w:szCs w:val="18"/>
          <w:color w:val="auto"/>
        </w:rPr>
        <w:t>1,010</w:t>
      </w:r>
    </w:p>
    <w:p>
      <w:pPr>
        <w:ind w:left="4500"/>
        <w:spacing w:after="0"/>
        <w:rPr>
          <w:sz w:val="20"/>
          <w:szCs w:val="20"/>
          <w:color w:val="auto"/>
        </w:rPr>
      </w:pPr>
      <w:r>
        <w:rPr>
          <w:rFonts w:ascii="Courier New" w:cs="Courier New" w:eastAsia="Courier New" w:hAnsi="Courier New"/>
          <w:sz w:val="18"/>
          <w:szCs w:val="18"/>
          <w:color w:val="auto"/>
        </w:rPr>
        <w:t>1,422</w:t>
      </w:r>
    </w:p>
    <w:p>
      <w:pPr>
        <w:ind w:left="3860"/>
        <w:spacing w:after="0" w:line="237" w:lineRule="auto"/>
        <w:rPr>
          <w:sz w:val="20"/>
          <w:szCs w:val="20"/>
          <w:color w:val="auto"/>
        </w:rPr>
      </w:pPr>
      <w:r>
        <w:rPr>
          <w:rFonts w:ascii="Courier New" w:cs="Courier New" w:eastAsia="Courier New" w:hAnsi="Courier New"/>
          <w:sz w:val="18"/>
          <w:szCs w:val="18"/>
          <w:color w:val="auto"/>
        </w:rPr>
        <w:t>554</w:t>
      </w:r>
    </w:p>
    <w:p>
      <w:pPr>
        <w:ind w:left="3660"/>
        <w:spacing w:after="0" w:line="238" w:lineRule="auto"/>
        <w:rPr>
          <w:sz w:val="20"/>
          <w:szCs w:val="20"/>
          <w:color w:val="auto"/>
        </w:rPr>
      </w:pPr>
      <w:r>
        <w:rPr>
          <w:rFonts w:ascii="Courier New" w:cs="Courier New" w:eastAsia="Courier New" w:hAnsi="Courier New"/>
          <w:sz w:val="18"/>
          <w:szCs w:val="18"/>
          <w:color w:val="auto"/>
        </w:rPr>
        <w:t>1,957</w:t>
      </w:r>
    </w:p>
    <w:p>
      <w:pPr>
        <w:ind w:left="3120"/>
        <w:spacing w:after="0"/>
        <w:rPr>
          <w:sz w:val="20"/>
          <w:szCs w:val="20"/>
          <w:color w:val="auto"/>
        </w:rPr>
      </w:pPr>
      <w:r>
        <w:rPr>
          <w:rFonts w:ascii="Courier New" w:cs="Courier New" w:eastAsia="Courier New" w:hAnsi="Courier New"/>
          <w:sz w:val="18"/>
          <w:szCs w:val="18"/>
          <w:color w:val="auto"/>
        </w:rPr>
        <w:t>301</w:t>
      </w:r>
    </w:p>
    <w:p>
      <w:pPr>
        <w:jc w:val="center"/>
        <w:ind w:right="439"/>
        <w:spacing w:after="0" w:line="237" w:lineRule="auto"/>
        <w:rPr>
          <w:sz w:val="20"/>
          <w:szCs w:val="20"/>
          <w:color w:val="auto"/>
        </w:rPr>
      </w:pPr>
      <w:r>
        <w:rPr>
          <w:rFonts w:ascii="Courier New" w:cs="Courier New" w:eastAsia="Courier New" w:hAnsi="Courier New"/>
          <w:sz w:val="18"/>
          <w:szCs w:val="18"/>
          <w:color w:val="auto"/>
        </w:rPr>
        <w:t>0</w:t>
      </w:r>
    </w:p>
    <w:p>
      <w:pPr>
        <w:ind w:left="4600"/>
        <w:spacing w:after="0"/>
        <w:rPr>
          <w:sz w:val="20"/>
          <w:szCs w:val="20"/>
          <w:color w:val="auto"/>
        </w:rPr>
      </w:pPr>
      <w:r>
        <w:rPr>
          <w:rFonts w:ascii="Courier New" w:cs="Courier New" w:eastAsia="Courier New" w:hAnsi="Courier New"/>
          <w:sz w:val="18"/>
          <w:szCs w:val="18"/>
          <w:color w:val="auto"/>
        </w:rPr>
        <w:t>10</w:t>
      </w:r>
    </w:p>
    <w:p>
      <w:pPr>
        <w:ind w:left="3340"/>
        <w:spacing w:after="0" w:line="237" w:lineRule="auto"/>
        <w:rPr>
          <w:sz w:val="20"/>
          <w:szCs w:val="20"/>
          <w:color w:val="auto"/>
        </w:rPr>
      </w:pPr>
      <w:r>
        <w:rPr>
          <w:rFonts w:ascii="Courier New" w:cs="Courier New" w:eastAsia="Courier New" w:hAnsi="Courier New"/>
          <w:sz w:val="18"/>
          <w:szCs w:val="18"/>
          <w:color w:val="auto"/>
        </w:rPr>
        <w:t>0</w:t>
      </w:r>
    </w:p>
    <w:p>
      <w:pPr>
        <w:ind w:left="4400"/>
        <w:spacing w:after="0"/>
        <w:rPr>
          <w:sz w:val="20"/>
          <w:szCs w:val="20"/>
          <w:color w:val="auto"/>
        </w:rPr>
      </w:pPr>
      <w:r>
        <w:rPr>
          <w:rFonts w:ascii="Courier New" w:cs="Courier New" w:eastAsia="Courier New" w:hAnsi="Courier New"/>
          <w:sz w:val="18"/>
          <w:szCs w:val="18"/>
          <w:color w:val="auto"/>
        </w:rPr>
        <w:t>0</w:t>
      </w:r>
    </w:p>
    <w:p>
      <w:pPr>
        <w:ind w:left="4080"/>
        <w:spacing w:after="0" w:line="237" w:lineRule="auto"/>
        <w:rPr>
          <w:sz w:val="20"/>
          <w:szCs w:val="20"/>
          <w:color w:val="auto"/>
        </w:rPr>
      </w:pPr>
      <w:r>
        <w:rPr>
          <w:rFonts w:ascii="Courier New" w:cs="Courier New" w:eastAsia="Courier New" w:hAnsi="Courier New"/>
          <w:sz w:val="18"/>
          <w:szCs w:val="18"/>
          <w:color w:val="auto"/>
        </w:rPr>
        <w:t>1,386</w:t>
      </w:r>
    </w:p>
    <w:p>
      <w:pPr>
        <w:ind w:left="2180"/>
        <w:spacing w:after="0" w:line="238" w:lineRule="auto"/>
        <w:rPr>
          <w:sz w:val="20"/>
          <w:szCs w:val="20"/>
          <w:color w:val="auto"/>
        </w:rPr>
      </w:pPr>
      <w:r>
        <w:rPr>
          <w:rFonts w:ascii="Courier New" w:cs="Courier New" w:eastAsia="Courier New" w:hAnsi="Courier New"/>
          <w:sz w:val="18"/>
          <w:szCs w:val="18"/>
          <w:color w:val="auto"/>
        </w:rPr>
        <w:t>1,957</w:t>
      </w:r>
    </w:p>
    <w:p>
      <w:pPr>
        <w:ind w:left="4400"/>
        <w:spacing w:after="0"/>
        <w:rPr>
          <w:sz w:val="20"/>
          <w:szCs w:val="20"/>
          <w:color w:val="auto"/>
        </w:rPr>
      </w:pPr>
      <w:r>
        <w:rPr>
          <w:rFonts w:ascii="Courier New" w:cs="Courier New" w:eastAsia="Courier New" w:hAnsi="Courier New"/>
          <w:sz w:val="18"/>
          <w:szCs w:val="18"/>
          <w:color w:val="auto"/>
        </w:rPr>
        <w:t>1,164</w:t>
      </w:r>
    </w:p>
    <w:p>
      <w:pPr>
        <w:ind w:left="3440"/>
        <w:spacing w:after="0" w:line="237" w:lineRule="auto"/>
        <w:rPr>
          <w:sz w:val="20"/>
          <w:szCs w:val="20"/>
          <w:color w:val="auto"/>
        </w:rPr>
      </w:pPr>
      <w:r>
        <w:rPr>
          <w:rFonts w:ascii="Courier New" w:cs="Courier New" w:eastAsia="Courier New" w:hAnsi="Courier New"/>
          <w:sz w:val="18"/>
          <w:szCs w:val="18"/>
          <w:color w:val="auto"/>
        </w:rPr>
        <w:t>1,164</w:t>
      </w:r>
    </w:p>
    <w:p>
      <w:pPr>
        <w:jc w:val="center"/>
        <w:ind w:right="239"/>
        <w:spacing w:after="0"/>
        <w:rPr>
          <w:sz w:val="20"/>
          <w:szCs w:val="20"/>
          <w:color w:val="auto"/>
        </w:rPr>
      </w:pPr>
      <w:r>
        <w:rPr>
          <w:rFonts w:ascii="Courier New" w:cs="Courier New" w:eastAsia="Courier New" w:hAnsi="Courier New"/>
          <w:sz w:val="18"/>
          <w:szCs w:val="18"/>
          <w:color w:val="auto"/>
        </w:rPr>
        <w:t>492</w:t>
      </w:r>
    </w:p>
    <w:p>
      <w:pPr>
        <w:ind w:left="3980"/>
        <w:spacing w:after="0" w:line="237" w:lineRule="auto"/>
        <w:rPr>
          <w:sz w:val="20"/>
          <w:szCs w:val="20"/>
          <w:color w:val="auto"/>
        </w:rPr>
      </w:pPr>
      <w:r>
        <w:rPr>
          <w:rFonts w:ascii="Courier New" w:cs="Courier New" w:eastAsia="Courier New" w:hAnsi="Courier New"/>
          <w:sz w:val="18"/>
          <w:szCs w:val="18"/>
          <w:color w:val="auto"/>
        </w:rPr>
        <w:t>492</w:t>
      </w:r>
    </w:p>
    <w:p>
      <w:pPr>
        <w:jc w:val="right"/>
        <w:ind w:right="6199"/>
        <w:spacing w:after="0"/>
        <w:rPr>
          <w:sz w:val="20"/>
          <w:szCs w:val="20"/>
          <w:color w:val="auto"/>
        </w:rPr>
      </w:pPr>
      <w:r>
        <w:rPr>
          <w:rFonts w:ascii="Courier New" w:cs="Courier New" w:eastAsia="Courier New" w:hAnsi="Courier New"/>
          <w:sz w:val="18"/>
          <w:szCs w:val="18"/>
          <w:color w:val="auto"/>
        </w:rPr>
        <w:t>133</w:t>
      </w:r>
    </w:p>
    <w:p>
      <w:pPr>
        <w:jc w:val="right"/>
        <w:ind w:right="6199"/>
        <w:spacing w:after="0" w:line="237" w:lineRule="auto"/>
        <w:rPr>
          <w:sz w:val="20"/>
          <w:szCs w:val="20"/>
          <w:color w:val="auto"/>
        </w:rPr>
      </w:pPr>
      <w:r>
        <w:rPr>
          <w:rFonts w:ascii="Courier New" w:cs="Courier New" w:eastAsia="Courier New" w:hAnsi="Courier New"/>
          <w:sz w:val="18"/>
          <w:szCs w:val="18"/>
          <w:color w:val="auto"/>
        </w:rPr>
        <w:t>0</w:t>
      </w:r>
    </w:p>
    <w:p>
      <w:pPr>
        <w:ind w:left="3340"/>
        <w:spacing w:after="0"/>
        <w:rPr>
          <w:sz w:val="20"/>
          <w:szCs w:val="20"/>
          <w:color w:val="auto"/>
        </w:rPr>
      </w:pPr>
      <w:r>
        <w:rPr>
          <w:rFonts w:ascii="Courier New" w:cs="Courier New" w:eastAsia="Courier New" w:hAnsi="Courier New"/>
          <w:sz w:val="18"/>
          <w:szCs w:val="18"/>
          <w:color w:val="auto"/>
        </w:rPr>
        <w:t>(10)</w:t>
      </w:r>
    </w:p>
    <w:p>
      <w:pPr>
        <w:ind w:left="3760"/>
        <w:spacing w:after="0" w:line="237" w:lineRule="auto"/>
        <w:rPr>
          <w:sz w:val="20"/>
          <w:szCs w:val="20"/>
          <w:color w:val="auto"/>
        </w:rPr>
      </w:pPr>
      <w:r>
        <w:rPr>
          <w:rFonts w:ascii="Courier New" w:cs="Courier New" w:eastAsia="Courier New" w:hAnsi="Courier New"/>
          <w:sz w:val="18"/>
          <w:szCs w:val="18"/>
          <w:color w:val="auto"/>
        </w:rPr>
        <w:t>549</w:t>
      </w:r>
    </w:p>
    <w:p>
      <w:pPr>
        <w:ind w:left="4080"/>
        <w:spacing w:after="0" w:line="238" w:lineRule="auto"/>
        <w:rPr>
          <w:sz w:val="20"/>
          <w:szCs w:val="20"/>
          <w:color w:val="auto"/>
        </w:rPr>
      </w:pPr>
      <w:r>
        <w:rPr>
          <w:rFonts w:ascii="Courier New" w:cs="Courier New" w:eastAsia="Courier New" w:hAnsi="Courier New"/>
          <w:sz w:val="18"/>
          <w:szCs w:val="18"/>
          <w:color w:val="auto"/>
        </w:rPr>
        <w:t>206</w:t>
      </w:r>
    </w:p>
    <w:p>
      <w:pPr>
        <w:ind w:left="3540"/>
        <w:spacing w:after="0"/>
        <w:rPr>
          <w:sz w:val="20"/>
          <w:szCs w:val="20"/>
          <w:color w:val="auto"/>
        </w:rPr>
      </w:pPr>
      <w:r>
        <w:rPr>
          <w:rFonts w:ascii="Courier New" w:cs="Courier New" w:eastAsia="Courier New" w:hAnsi="Courier New"/>
          <w:sz w:val="18"/>
          <w:szCs w:val="18"/>
          <w:color w:val="auto"/>
        </w:rPr>
        <w:t>0</w:t>
      </w:r>
    </w:p>
    <w:p>
      <w:pPr>
        <w:ind w:left="4080"/>
        <w:spacing w:after="0" w:line="237" w:lineRule="auto"/>
        <w:rPr>
          <w:sz w:val="20"/>
          <w:szCs w:val="20"/>
          <w:color w:val="auto"/>
        </w:rPr>
      </w:pPr>
      <w:r>
        <w:rPr>
          <w:rFonts w:ascii="Courier New" w:cs="Courier New" w:eastAsia="Courier New" w:hAnsi="Courier New"/>
          <w:sz w:val="18"/>
          <w:szCs w:val="18"/>
          <w:color w:val="auto"/>
        </w:rPr>
        <w:t>0</w:t>
      </w:r>
    </w:p>
    <w:p>
      <w:pPr>
        <w:ind w:left="3980"/>
        <w:spacing w:after="0"/>
        <w:rPr>
          <w:sz w:val="20"/>
          <w:szCs w:val="20"/>
          <w:color w:val="auto"/>
        </w:rPr>
      </w:pPr>
      <w:r>
        <w:rPr>
          <w:rFonts w:ascii="Courier New" w:cs="Courier New" w:eastAsia="Courier New" w:hAnsi="Courier New"/>
          <w:sz w:val="18"/>
          <w:szCs w:val="18"/>
          <w:color w:val="auto"/>
        </w:rPr>
        <w:t>0</w:t>
      </w:r>
    </w:p>
    <w:p>
      <w:pPr>
        <w:ind w:left="4600"/>
        <w:spacing w:after="0" w:line="237" w:lineRule="auto"/>
        <w:rPr>
          <w:sz w:val="20"/>
          <w:szCs w:val="20"/>
          <w:color w:val="auto"/>
        </w:rPr>
      </w:pPr>
      <w:r>
        <w:rPr>
          <w:rFonts w:ascii="Courier New" w:cs="Courier New" w:eastAsia="Courier New" w:hAnsi="Courier New"/>
          <w:sz w:val="18"/>
          <w:szCs w:val="18"/>
          <w:color w:val="auto"/>
        </w:rPr>
        <w:t>0</w:t>
      </w:r>
    </w:p>
    <w:p>
      <w:pPr>
        <w:ind w:left="4080"/>
        <w:spacing w:after="0"/>
        <w:rPr>
          <w:sz w:val="20"/>
          <w:szCs w:val="20"/>
          <w:color w:val="auto"/>
        </w:rPr>
      </w:pPr>
      <w:r>
        <w:rPr>
          <w:rFonts w:ascii="Courier New" w:cs="Courier New" w:eastAsia="Courier New" w:hAnsi="Courier New"/>
          <w:sz w:val="18"/>
          <w:szCs w:val="18"/>
          <w:color w:val="auto"/>
        </w:rPr>
        <w:t>343</w:t>
      </w:r>
    </w:p>
    <w:p>
      <w:pPr>
        <w:ind w:left="3860"/>
        <w:spacing w:after="0" w:line="237" w:lineRule="auto"/>
        <w:rPr>
          <w:sz w:val="20"/>
          <w:szCs w:val="20"/>
          <w:color w:val="auto"/>
        </w:rPr>
      </w:pPr>
      <w:r>
        <w:rPr>
          <w:rFonts w:ascii="Courier New" w:cs="Courier New" w:eastAsia="Courier New" w:hAnsi="Courier New"/>
          <w:sz w:val="18"/>
          <w:szCs w:val="18"/>
          <w:color w:val="auto"/>
        </w:rPr>
        <w:t>3.24</w:t>
      </w:r>
    </w:p>
    <w:p>
      <w:pPr>
        <w:ind w:left="3860"/>
        <w:spacing w:after="0" w:line="238" w:lineRule="auto"/>
        <w:rPr>
          <w:sz w:val="20"/>
          <w:szCs w:val="20"/>
          <w:color w:val="auto"/>
        </w:rPr>
      </w:pPr>
      <w:r>
        <w:rPr>
          <w:rFonts w:ascii="Courier New" w:cs="Courier New" w:eastAsia="Courier New" w:hAnsi="Courier New"/>
          <w:sz w:val="18"/>
          <w:szCs w:val="18"/>
          <w:color w:val="auto"/>
        </w:rPr>
        <w:t>3.21</w:t>
      </w:r>
    </w:p>
    <w:sectPr>
      <w:pgSz w:w="11900" w:h="16838" w:orient="portrait"/>
      <w:cols w:equalWidth="0" w:num="1">
        <w:col w:w="10179"/>
      </w:cols>
      <w:pgMar w:left="28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upperLetter"/>
      <w:start w:val="24"/>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1."/>
      <w:numFmt w:val="decimal"/>
      <w:start w:val="8"/>
    </w:lvl>
  </w:abstractNum>
  <w:abstractNum w:abstractNumId="6">
    <w:nsid w:val="1190CDE7"/>
    <w:multiLevelType w:val="hybridMultilevel"/>
    <w:lvl w:ilvl="0">
      <w:lvlJc w:val="left"/>
      <w:lvlText w:val="%1."/>
      <w:numFmt w:val="decimal"/>
      <w:start w:val="9"/>
    </w:lvl>
  </w:abstractNum>
  <w:abstractNum w:abstractNumId="7">
    <w:nsid w:val="66EF438D"/>
    <w:multiLevelType w:val="hybridMultilevel"/>
    <w:lvl w:ilvl="0">
      <w:lvlJc w:val="left"/>
      <w:lvlText w:val="%1."/>
      <w:numFmt w:val="decimal"/>
      <w:start w:val="10"/>
    </w:lvl>
  </w:abstractNum>
  <w:abstractNum w:abstractNumId="8">
    <w:nsid w:val="140E0F76"/>
    <w:multiLevelType w:val="hybridMultilevel"/>
    <w:lvl w:ilvl="0">
      <w:lvlJc w:val="left"/>
      <w:lvlText w:val="%1."/>
      <w:numFmt w:val="decimal"/>
      <w:start w:val="1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1)"/>
      <w:numFmt w:val="lowerLetter"/>
      <w:start w:val="2"/>
    </w:lvl>
  </w:abstractNum>
  <w:abstractNum w:abstractNumId="12">
    <w:nsid w:val="7FDCC233"/>
    <w:multiLevelType w:val="hybridMultilevel"/>
    <w:lvl w:ilvl="0">
      <w:lvlJc w:val="left"/>
      <w:lvlText w:val="(%1)"/>
      <w:numFmt w:val="lowerLetter"/>
      <w:start w:val="4"/>
    </w:lvl>
  </w:abstractNum>
  <w:abstractNum w:abstractNumId="13">
    <w:nsid w:val="1BEFD79F"/>
    <w:multiLevelType w:val="hybridMultilevel"/>
    <w:lvl w:ilvl="0">
      <w:lvlJc w:val="left"/>
      <w:lvlText w:val="%1"/>
      <w:numFmt w:val="decimal"/>
      <w:start w:val="11"/>
    </w:lvl>
  </w:abstractNum>
  <w:abstractNum w:abstractNumId="14">
    <w:nsid w:val="41A7C4C9"/>
    <w:multiLevelType w:val="hybridMultilevel"/>
    <w:lvl w:ilvl="0">
      <w:lvlJc w:val="left"/>
      <w:lvlText w:val="(%1)"/>
      <w:numFmt w:val="lowerLetter"/>
      <w:start w:val="2"/>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2019-12-13T13:31:30Z</dcterms:created>
  <dcterms:modified xsi:type="dcterms:W3CDTF">2019-12-13T13:31:30Z</dcterms:modified>
</cp:coreProperties>
</file>